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55,053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14,279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$355M and projected 20-year economic impact of $1.42B.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55,053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14,279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55,053 students served, 14,279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2026-10-14T14:35:42.842Z</dcterms:created>
  <dcterms:modified xsi:type="dcterms:W3CDTF">2026-10-14T14:35:42.842Z</dcterms:modified>
</cp:coreProperties>
</file>

<file path=docProps/custom.xml><?xml version="1.0" encoding="utf-8"?>
<Properties xmlns="http://schemas.openxmlformats.org/officeDocument/2006/custom-properties" xmlns:vt="http://schemas.openxmlformats.org/officeDocument/2006/docPropsVTypes"/>
</file>