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2.1  Statewide Credit Recommendations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$1,563,900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288 Cumulative credit recommendations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2,200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288/200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288/400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288/600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288/800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288/1,000</w:t>
            </w:r>
          </w:p>
        </w:tc>
      </w:tr>
    </w:tbl>
    <w:p>
      <w:pPr>
        <w:pStyle w:val="Heading2"/>
      </w:pPr>
      <w:r>
        <w:t xml:space="preserve">Description</w:t>
      </w:r>
    </w:p>
    <w:p>
      <w:pPr>
        <w:spacing w:after="160"/>
      </w:pPr>
      <w:r>
        <w:rPr>
          <w:color w:val="444444"/>
          <w:sz w:val="21"/>
          <w:szCs w:val="21"/>
          <w:rFonts w:ascii="Cambria" w:cs="Cambria" w:eastAsia="Cambria" w:hAnsi="Cambria"/>
        </w:rPr>
        <w:t xml:space="preserve">Create and adopt statewide CPL credit recommendations through ASCCC faculty workgroups.</w:t>
      </w:r>
    </w:p>
    <w:p>
      <w:pPr>
        <w:pStyle w:val="Heading2"/>
      </w:pPr>
      <w:r>
        <w:t xml:space="preserve">Latest Update</w:t>
      </w:r>
    </w:p>
    <w:p>
      <w:pPr>
        <w:spacing w:after="60"/>
      </w:pPr>
      <w:r>
        <w:rPr>
          <w:color w:val="666666"/>
          <w:sz w:val="18"/>
          <w:szCs w:val="18"/>
          <w:rFonts w:ascii="Cambria" w:cs="Cambria" w:eastAsia="Cambria" w:hAnsi="Cambria"/>
        </w:rPr>
        <w:t xml:space="preserve">Date: 2026-10-18</w:t>
      </w:r>
    </w:p>
    <w:p>
      <w:pPr>
        <w:spacing w:after="160"/>
      </w:pPr>
      <w:r>
        <w:rPr>
          <w:color w:val="444444"/>
          <w:sz w:val="21"/>
          <w:szCs w:val="21"/>
          <w:rFonts w:ascii="Cambria" w:cs="Cambria" w:eastAsia="Cambria" w:hAnsi="Cambria"/>
        </w:rPr>
        <w:t xml:space="preserve">We have expanded statewide credit recommendations to include construction management and HVAC programs, with specific counts of new exhibits and credit recommendations to be added once received from the team. We are now awaiting the ASCCC Pathways to Credit work to commence with faculty statewide credit recommendations. The goal for Item 2.1 is met and we are aiming to meet the stretch goal now.</w:t>
      </w:r>
    </w:p>
    <w:p>
      <w:pPr>
        <w:pStyle w:val="Heading2"/>
      </w:pPr>
      <w:r>
        <w:t xml:space="preserve">Workplan Notes</w:t>
      </w:r>
    </w:p>
    <w:p>
      <w:pPr>
        <w:spacing w:after="160"/>
      </w:pPr>
      <w:r>
        <w:rPr>
          <w:color w:val="444444"/>
          <w:sz w:val="21"/>
          <w:szCs w:val="21"/>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p>
      <w:pPr>
        <w:pStyle w:val="Heading2"/>
      </w:pPr>
      <w:r>
        <w:t xml:space="preserve">Milestones</w:t>
      </w:r>
    </w:p>
    <w:p>
      <w:pPr>
        <w:spacing w:after="160"/>
      </w:pPr>
      <w:r>
        <w:rPr>
          <w:color w:val="444444"/>
          <w:sz w:val="21"/>
          <w:szCs w:val="21"/>
          <w:rFonts w:ascii="Cambria" w:cs="Cambria" w:eastAsia="Cambria" w:hAnsi="Cambria"/>
        </w:rPr>
        <w:t xml:space="preserve">June 2026: 650+ cumulative adopted recommendations; 2030: 1,000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288 cumulative credit recommendations; 281 adopted this year; 230 in progress through adoption workflow</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288 cumulative credit recommendations; 281 adopted this year; 230 in progress through adoption workflow</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Statewide Credit Recommendations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2026-10-19T17:08:15.987Z</dcterms:created>
  <dcterms:modified xsi:type="dcterms:W3CDTF">2026-10-19T17:08:15.987Z</dcterms:modified>
</cp:coreProperties>
</file>

<file path=docProps/custom.xml><?xml version="1.0" encoding="utf-8"?>
<Properties xmlns="http://schemas.openxmlformats.org/officeDocument/2006/custom-properties" xmlns:vt="http://schemas.openxmlformats.org/officeDocument/2006/docPropsVTypes"/>
</file>