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58,020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278k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$394M and projected 20-year economic impact of $1.6B.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58,020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2026-10-27T18:11:29.837Z</dcterms:created>
  <dcterms:modified xsi:type="dcterms:W3CDTF">2026-10-27T18:11:29.838Z</dcterms:modified>
</cp:coreProperties>
</file>

<file path=docProps/custom.xml><?xml version="1.0" encoding="utf-8"?>
<Properties xmlns="http://schemas.openxmlformats.org/officeDocument/2006/custom-properties" xmlns:vt="http://schemas.openxmlformats.org/officeDocument/2006/docPropsVTypes"/>
</file>