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3.1.4  CPL Offers &amp; Awards Tracking — Other Populations</w:t>
      </w:r>
    </w:p>
    <w:p>
      <w:pPr>
        <w:spacing w:after="80"/>
        <w:jc w:val="center"/>
      </w:pPr>
      <w:r>
        <w:rPr>
          <w:b/>
          <w:bCs/>
          <w:color w:val="666666"/>
          <w:sz w:val="24"/>
          <w:szCs w:val="24"/>
          <w:rFonts w:ascii="Cambria" w:cs="Cambria" w:eastAsia="Cambria" w:hAnsi="Cambria"/>
        </w:rPr>
        <w:t xml:space="preserve">○ Not Started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3: Scale CPL Access, Awards, and Procedures  |  Goal 2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13,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666666"/>
                <w:sz w:val="20"/>
                <w:szCs w:val="20"/>
                <w:rFonts w:ascii="Cambria" w:cs="Cambria" w:eastAsia="Cambria" w:hAnsi="Cambria"/>
              </w:rPr>
              <w:t xml:space="preserve">Not Started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666666"/>
                <w:sz w:val="20"/>
                <w:szCs w:val="20"/>
                <w:rFonts w:ascii="Cambria" w:cs="Cambria" w:eastAsia="Cambria" w:hAnsi="Cambria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Terence Nelson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N/A 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Track CPL offers and awards for other priority populations—first responders, allied health, rising scholars, and noncredit/adult-education learners—within the 250,000 cumulative Goal 1 target.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13,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CPL Offers &amp; Awards Tracking — Other Populations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2026-10-13T18:26:21.066Z</dcterms:created>
  <dcterms:modified xsi:type="dcterms:W3CDTF">2026-10-13T18:26:21.066Z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