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2.1  Statewide Credit Recommendations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$1,563,900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288 Cumulative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2,200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288/400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288/600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288/800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288/1,000</w:t>
            </w:r>
          </w:p>
        </w:tc>
      </w:tr>
    </w:tbl>
    <w:p>
      <w:pPr>
        <w:pStyle w:val="Heading2"/>
      </w:pPr>
      <w:r>
        <w:t xml:space="preserve">Description</w:t>
      </w:r>
    </w:p>
    <w:p>
      <w:pPr>
        <w:spacing w:after="160"/>
      </w:pPr>
      <w:r>
        <w:rPr>
          <w:color w:val="444444"/>
          <w:sz w:val="21"/>
          <w:szCs w:val="21"/>
          <w:rFonts w:ascii="Cambria" w:cs="Cambria" w:eastAsia="Cambria" w:hAnsi="Cambria"/>
        </w:rPr>
        <w:t xml:space="preserve">Create and adopt statewide CPL credit recommendations through ASCCC faculty workgroups.</w:t>
      </w:r>
    </w:p>
    <w:p>
      <w:pPr>
        <w:pStyle w:val="Heading2"/>
      </w:pPr>
      <w:r>
        <w:t xml:space="preserve">Latest Update</w:t>
      </w:r>
    </w:p>
    <w:p>
      <w:pPr>
        <w:spacing w:after="60"/>
      </w:pPr>
      <w:r>
        <w:rPr>
          <w:color w:val="666666"/>
          <w:sz w:val="18"/>
          <w:szCs w:val="18"/>
          <w:rFonts w:ascii="Cambria" w:cs="Cambria" w:eastAsia="Cambria" w:hAnsi="Cambria"/>
        </w:rPr>
        <w:t xml:space="preserve">Date: 2026-10-24</w:t>
      </w:r>
    </w:p>
    <w:p>
      <w:pPr>
        <w:spacing w:after="160"/>
      </w:pPr>
      <w:r>
        <w:rPr>
          <w:color w:val="444444"/>
          <w:sz w:val="21"/>
          <w:szCs w:val="21"/>
          <w:rFonts w:ascii="Cambria" w:cs="Cambria" w:eastAsia="Cambria" w:hAnsi="Cambria"/>
        </w:rPr>
        <w:t xml:space="preserve">As of 10/23/2026, colleges continue to advance Credit for Prior Learning (CPL) efforts through the review and adoption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pStyle w:val="Heading2"/>
      </w:pPr>
      <w:r>
        <w:t xml:space="preserve">Workplan Notes</w:t>
      </w:r>
    </w:p>
    <w:p>
      <w:pPr>
        <w:spacing w:after="160"/>
      </w:pPr>
      <w:r>
        <w:rPr>
          <w:color w:val="444444"/>
          <w:sz w:val="21"/>
          <w:szCs w:val="21"/>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p>
      <w:pPr>
        <w:pStyle w:val="Heading2"/>
      </w:pPr>
      <w:r>
        <w:t xml:space="preserve">Milestones</w:t>
      </w:r>
    </w:p>
    <w:p>
      <w:pPr>
        <w:spacing w:after="160"/>
      </w:pPr>
      <w:r>
        <w:rPr>
          <w:color w:val="444444"/>
          <w:sz w:val="21"/>
          <w:szCs w:val="21"/>
          <w:rFonts w:ascii="Cambria" w:cs="Cambria" w:eastAsia="Cambria" w:hAnsi="Cambria"/>
        </w:rPr>
        <w:t xml:space="preserve">June 2026: 650+ cumulative adopted recommendations; 2030: 1,000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Credit Recommendations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2026-10-25T12:45:37.108Z</dcterms:created>
  <dcterms:modified xsi:type="dcterms:W3CDTF">2026-10-25T12:45:37.108Z</dcterms:modified>
</cp:coreProperties>
</file>

<file path=docProps/custom.xml><?xml version="1.0" encoding="utf-8"?>
<Properties xmlns="http://schemas.openxmlformats.org/officeDocument/2006/custom-properties" xmlns:vt="http://schemas.openxmlformats.org/officeDocument/2006/docPropsVTypes"/>
</file>