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1.4  California Credential Registry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4A90D9"/>
          <w:sz w:val="24"/>
          <w:szCs w:val="24"/>
        </w:rPr>
        <w:t xml:space="preserve">◎ Foundational Year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1: AI-Enhanced CPL Infrastructure  |  Goal 2;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Foundational Year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4A90D9"/>
                <w:sz w:val="20"/>
                <w:szCs w:val="20"/>
              </w:rPr>
              <w:t xml:space="preserve">15%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0 Cumulative credentials published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250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900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0/50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0/175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0/250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CPL-qualified credentials are hosted on the credential registry.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yet; full launch not targeted until 2026-27; schema development underway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No credentials published in registry this period. Full launch not targeted until 2026-27. Standardized credential data schema incorporating TOP and CIP codes is in preparation for the registry pipeline.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2026: Standardized credential data schema with TOP/CIP codes; 2026-27: Registry launch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in registry this period. Full launch not targeted until 2026-27. Standardized credential data schema incorporating TOP and CIP codes is in preparation for the registry pipeline.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No credentials published yet; full launch not targeted until 2026-27; schema development underway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California Credential Registry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2026-04-08T16:28:15.913Z</dcterms:created>
  <dcterms:modified xsi:type="dcterms:W3CDTF">2026-04-08T16:28:15.913Z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