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Convene 25 statewide faculty workgroups (11 active; 40 disciplines by 2030) for credential analysis and skills validation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2026-04-07T19:26:32.531Z</dcterms:created>
  <dcterms:modified xsi:type="dcterms:W3CDTF">2026-04-07T19:26:32.531Z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