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43,630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$278M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43,630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AI-enhanced CPL platform with 50+ dev tickets; student portal, dashboard, landing pages, AI-assisted JST parsing, credential matching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50+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Credential Engine CTDL integration, eTranscript alignment, Career Passport planning, CCCApply JST authorization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AI-enabled portal for students to search, match, request CPL; Phase 1 launch May 2026, Phase 2 (career tools integration) Dec 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Validated credential registry with 250+ credentials mapped to CCC courses; full launch 2026-27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Generate 1,000 statewide CPL credit recommendations through ASCCC faculty workgroups across 40 disciplines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650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Convene 25 statewide faculty workgroups (11 active; 40 disciplines by 2030) for credential analysis and skills validation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AI-Assisted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 tools for faculty/counselors to review, approve, and guide CPL requests; minimum 20 validated crosswalks by June 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parallel development approaches underway (Electrical, Carpentry, AI-assisted); dependent on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Common Course Crosswalk Descriptors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250 common course crosswalk descriptors for consistent, equitable credit awarding across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AI-Assisted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Common Course Crosswalk Descriptors: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63% average  |  6 of 8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by 2030 (42,958 cumulative as of 3/20/2026)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35000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42,958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42,958 cumulative students with CPL awards; exceeded 2025-26 annual target of 35,000</w:t>
            </w:r>
          </w:p>
          <w:p>
            <w:pPr>
              <w:pStyle w:val="ListParagraph"/>
              <w:numPr>
                <w:ilvl w:val="0"/>
                <w:numId w:val="3"/>
              </w:numPr>
              <w:spacing w:after="60"/>
            </w:pPr>
            <w:r>
              <w:rPr>
                <w:rFonts w:ascii="Cambria" w:cs="Cambria" w:eastAsia="Cambria" w:hAnsi="Cambria"/>
                <w:sz w:val="20"/>
                <w:szCs w:val="20"/>
              </w:rPr>
              <w:t xml:space="preserve">42,958 cumulative students offered some form of CPL as of 3/20/2026 per the CPL Dashboard. Exceeds the 2025-26 annual target of 35,000. Includes military (20,845), non-military (22,045), and apprentices (692).</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 96,449 transcripted as of 3/20/2026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85000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96,449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84 colleges at active threshold; 114 of 115 received $50K implementation grants; 53 at implementation stage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116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84 colleges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32 student stories published on My CPL Story; AI-assisted capture tool 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Dashboard-based monitoring, equity gap analysis, MAP College of the Year awards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3.6 College Tracking &amp; Recognition: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5.4 RP Group CPL Field Survey: $57,275 (RP Group Field CPL Survey (V0639))</w:t>
      </w:r>
    </w:p>
    <w:p>
      <w:pPr>
        <w:pStyle w:val="ListParagraph"/>
        <w:numPr>
          <w:ilvl w:val="0"/>
          <w:numId w:val="2"/>
        </w:numPr>
        <w:spacing w:after="40"/>
      </w:pPr>
      <w:r>
        <w:rPr>
          <w:rFonts w:ascii="Cambria" w:cs="Cambria" w:eastAsia="Cambria" w:hAnsi="Cambria"/>
          <w:color w:val="444444"/>
          <w:sz w:val="19"/>
          <w:szCs w:val="19"/>
        </w:rPr>
        <w:t xml:space="preserve">5.7 MIS Data Reconciliation: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49% average  |  5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4.1a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4.1b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678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4.1c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all 116 colleges through targeted outreach, implementation grants, and technical assistance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116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4.1d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20+ partnerships with industry, state agencies, labor unions, and education segments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Title 5 updates, AB 123 implementation, draft trailer bill for additional funding; SCFF integration pathway</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Secure long-term CPL funding; $89M five-year plan through 2029-30; distribute college implementation grants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89000000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5,900,000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4.1a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4.1b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4.1c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4.1d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4.5 Sustainable Funding: $89,000,000 (5-yr plan) (All CPL funding sources)</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200"/>
        <w:gridCol w:w="1800"/>
        <w:gridCol w:w="1800"/>
      </w:tblGrid>
      <w:tr>
        <w:tc>
          <w:tcPr>
            <w:tcW w:type="dxa" w:w="4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Progress</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Actual</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58%</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AI-Assisted Course Crosswalks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Common Course Crosswalk Descriptors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35000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42,958</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85000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4.1a Veteran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4.1b Apprenticeship Sprint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678</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4.1c Statewide Adoption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4.1d 29 Palms Marine Corps Base Demo</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5,900,000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43,630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7,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7,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2026-04-07T21:27:51.565Z</dcterms:created>
  <dcterms:modified xsi:type="dcterms:W3CDTF">2026-04-07T21:27:51.565Z</dcterms:modified>
</cp:coreProperties>
</file>

<file path=docProps/custom.xml><?xml version="1.0" encoding="utf-8"?>
<Properties xmlns="http://schemas.openxmlformats.org/officeDocument/2006/custom-properties" xmlns:vt="http://schemas.openxmlformats.org/officeDocument/2006/docPropsVTypes"/>
</file>