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3.3  Institutional Participation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CPL Data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73%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$5,900,000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84 colleges at active participation threshold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84/100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Colleges. IHLs, and agencies throughout the system and state actively use the MAP CPL infrastructure to offer, document and award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All but one community college has accepted 2025/26 funding and the established funding priorities. We anticipate exceeding expectations with over 110 community colleges participating in the CPL Initiative by June 2027.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84 colleges meet the active threshold (10+ students and 5+ articulations). 114 of 115 credit colleges and 4 noncredit campuses received $50,000 CPL implementation funding. 53 at implementation stage, 13 showing growth.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 target: 50 colleges active (exceeded at 84); 114 colleges funded; 53 at implementation stage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institutions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Institutional Participation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2026-07-21T11:21:22.713Z</dcterms:created>
  <dcterms:modified xsi:type="dcterms:W3CDTF">2026-07-21T11:21:22.713Z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