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 draft outcomes-based funding model has been developed using three key metrics to demonstrate funding potential for each college in the system. This model will support a future public dashboard enabling colleges to monitor their outcomes and funding performance in real-time.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2026-07-15T08:39:05.902Z</dcterms:created>
  <dcterms:modified xsi:type="dcterms:W3CDTF">2026-07-15T08:39:05.902Z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