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5,900,000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Secure long-term CPL funding; $89M five-year plan through 2029-30; distribute college implementation grants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2026-04-07T22:44:17.969Z</dcterms:created>
  <dcterms:modified xsi:type="dcterms:W3CDTF">2026-04-07T22:44:17.969Z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