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July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July 17,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50,399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236k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12,694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55 JSTs to MAP, with estimated student savings of $326M and projected 20-year economic impact of $1.32B.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50,399</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236k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12,694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$326M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$1.32B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AI-ENHANCED CPL INFRASTRUCTURE</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5.2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5.3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5.6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Activity 1: AI-Enhanced CPL Infrastructure</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5.2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5.3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5.6 WestEd CPL Scope of Work: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Activity 2: Faculty Workgroups &amp; Credit Recommendations</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CPL DATA INFRASTRUCTURE</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3.1.2a  CPL Offers &amp; Awards Tracking — Apprentice Cohort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Institutional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5.4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5.7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Activity 3: CPL Data Infrastructure</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3.1.2a CPL Offers &amp; Awards Tracking — Apprentice Cohort: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Institutional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SPRINTS, PROJECTS &amp; PARTNERSHIPS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55% average  |  6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Sprints and Projects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 sprints, pilot projects, CPL outreach, and demonstration projects are supported with new CPL opportunities and resources.</w:t>
            </w:r>
          </w:p>
        </w:tc>
      </w:tr>
    </w:tbl>
    <w:p>
      <w:pPr>
        <w:spacing w:before="60" w:after="40"/>
      </w:pPr>
      <w:r>
        <w:rPr>
          <w:i/>
          <w:iCs/>
          <w:color w:val="666666"/>
          <w:sz w:val="18"/>
          <w:szCs w:val="18"/>
          <w:rFonts w:ascii="Cambria" w:cs="Cambria" w:eastAsia="Cambria" w:hAnsi="Cambria"/>
        </w:rPr>
        <w:t xml:space="preserve">2030 Goal: 15  Stretch: 23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4.1.3  Statewide Adoption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Accelerate CPL adoption across colleges statewide through targeted outreach, implementation grants, and technical assistance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114 of 115 colleges funded; 84 meet active participation threshold; 96 showing some engagement</w:t>
            </w:r>
          </w:p>
          <w:p>
            <w:pPr>
              <w:pStyle w:val="ListParagraph"/>
              <w:numPr>
                <w:ilvl w:val="0"/>
                <w:numId w:val="3"/>
              </w:numPr>
              <w:spacing w:after="60"/>
            </w:pPr>
            <w:r>
              <w:rPr>
                <w:sz w:val="20"/>
                <w:szCs w:val="20"/>
                <w:rFonts w:ascii="Cambria" w:cs="Cambria" w:eastAsia="Cambria" w:hAnsi="Cambria"/>
              </w:rPr>
              <w:t xml:space="preserve">Statewide Adoption Sprint: 114 of 115 credit colleges plus 4 noncredit campuses received $50K CPL implementation grants. 84 meet active participation threshold. 96 showing some engagement level.</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3.3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4.1.4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 draft outcomes-based funding model has been developed using three key metrics to demonstrate funding potential for each college in the system. This model will support a future public dashboard enabling colleges to monitor their outcomes and funding performance in real-time.</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5.5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5.8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Proposed funding in Governor's budget; monitoring and providing evidence to support advancement</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p>
      <w:pPr>
        <w:pStyle w:val="Heading3"/>
      </w:pPr>
      <w:r>
        <w:t xml:space="preserve">Budget Allocation: Activity 4: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Sprints and Projects: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4.1.3 Statewide Adoption Sprint: Included in 3.3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4.1.4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4.3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1: AI-Enhanced CPL Infrastructure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5.2 AI Certification-to-Course Matching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5.3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5.6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2: Faculty Workgroups &amp;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3: CPL Data Infrastructure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3.1.2a CPL Offers &amp; Awards Tracking — Apprentice Cohort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Institutional Participation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5.4 RP Group CPL Field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5.7 MIS Data Reconciliation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4: 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Sprints and Projects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4.1.3 Statewide Adoption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114/1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4.1.4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Strategic Partnerships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Technical Assistance &amp; Training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5.5 VRC CPL Module Revision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5.8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50,399 students served, 12,694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July 17,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2026-07-17T14:09:03.943Z</dcterms:created>
  <dcterms:modified xsi:type="dcterms:W3CDTF">2026-07-17T14:09:03.943Z</dcterms:modified>
</cp:coreProperties>
</file>

<file path=docProps/custom.xml><?xml version="1.0" encoding="utf-8"?>
<Properties xmlns="http://schemas.openxmlformats.org/officeDocument/2006/custom-properties" xmlns:vt="http://schemas.openxmlformats.org/officeDocument/2006/docPropsVTypes"/>
</file>