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3.9  Futuro Behavioral Healthcare Project</w:t>
      </w:r>
    </w:p>
    <w:p>
      <w:pPr>
        <w:spacing w:after="80"/>
        <w:jc w:val="center"/>
      </w:pPr>
      <w:r>
        <w:rPr>
          <w:b/>
          <w:bCs/>
          <w:color w:val="666666"/>
          <w:sz w:val="24"/>
          <w:szCs w:val="24"/>
          <w:rFonts w:ascii="Cambria" w:cs="Cambria" w:eastAsia="Cambria" w:hAnsi="Cambria"/>
        </w:rPr>
        <w:t xml:space="preserve">○ Not Started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3: Scale CPL Access, Awards, and Procedures  |  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13,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666666"/>
                <w:sz w:val="20"/>
                <w:szCs w:val="20"/>
                <w:rFonts w:ascii="Cambria" w:cs="Cambria" w:eastAsia="Cambria" w:hAnsi="Cambria"/>
              </w:rPr>
              <w:t xml:space="preserve">Not Started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666666"/>
                <w:sz w:val="20"/>
                <w:szCs w:val="20"/>
                <w:rFonts w:ascii="Cambria" w:cs="Cambria" w:eastAsia="Cambria" w:hAnsi="Cambria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N/A 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—/4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13,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Futuro Behavioral Healthcare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2026-10-13T04:48:09.292Z</dcterms:created>
  <dcterms:modified xsi:type="dcterms:W3CDTF">2026-10-13T04:48:09.292Z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