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400"/>
      </w:pPr>
    </w:p>
    <w:p>
      <w:pPr>
        <w:jc w:val="center"/>
      </w:pPr>
      <w:r>
        <w:rPr>
          <w:b/>
          <w:bCs/>
          <w:color w:val="0A2240"/>
          <w:sz w:val="32"/>
          <w:szCs w:val="32"/>
          <w:rFonts w:ascii="Cambria" w:cs="Cambria" w:eastAsia="Cambria" w:hAnsi="Cambria"/>
        </w:rPr>
        <w:t xml:space="preserve">4.4  Technical Assistance &amp; Training</w:t>
      </w:r>
    </w:p>
    <w:p>
      <w:pPr>
        <w:spacing w:after="80"/>
        <w:jc w:val="center"/>
      </w:pPr>
      <w:r>
        <w:rPr>
          <w:b/>
          <w:bCs/>
          <w:color w:val="2A7D4F"/>
          <w:sz w:val="24"/>
          <w:szCs w:val="24"/>
          <w:rFonts w:ascii="Cambria" w:cs="Cambria" w:eastAsia="Cambria" w:hAnsi="Cambria"/>
        </w:rPr>
        <w:t xml:space="preserve">✔ Goal Met  </w:t>
      </w:r>
      <w:r>
        <w:rPr>
          <w:b/>
          <w:bCs/>
          <w:color w:val="C9A84C"/>
          <w:sz w:val="24"/>
          <w:szCs w:val="24"/>
          <w:rFonts w:ascii="Cambria" w:cs="Cambria" w:eastAsia="Cambria" w:hAnsi="Cambria"/>
        </w:rPr>
        <w:t xml:space="preserve">★ Stretch Met</w:t>
      </w:r>
    </w:p>
    <w:p>
      <w:pPr>
        <w:pBdr>
          <w:bottom w:val="single" w:color="C9A84C" w:sz="4" w:space="8"/>
        </w:pBdr>
        <w:spacing w:after="300"/>
        <w:jc w:val="center"/>
      </w:pPr>
      <w:r>
        <w:rPr>
          <w:color w:val="666666"/>
          <w:sz w:val="19"/>
          <w:szCs w:val="19"/>
          <w:rFonts w:ascii="Cambria" w:cs="Cambria" w:eastAsia="Cambria" w:hAnsi="Cambria"/>
        </w:rPr>
        <w:t xml:space="preserve">Activity 4: Sprints, Projects &amp; Partnerships  |  Goal 1; Goal 3  |  </w:t>
      </w:r>
      <w:r>
        <w:rPr>
          <w:color w:val="666666"/>
          <w:sz w:val="19"/>
          <w:szCs w:val="19"/>
          <w:rFonts w:ascii="Cambria" w:cs="Cambria" w:eastAsia="Cambria" w:hAnsi="Cambria"/>
        </w:rPr>
        <w:t xml:space="preserve">October 14, 2026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7200"/>
      </w:tblGrid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Status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2A7D4F"/>
                <w:sz w:val="20"/>
                <w:szCs w:val="20"/>
                <w:rFonts w:ascii="Cambria" w:cs="Cambria" w:eastAsia="Cambria" w:hAnsi="Cambria"/>
              </w:rPr>
              <w:t xml:space="preserve">Stretch Met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Progress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2A7D4F"/>
                <w:sz w:val="20"/>
                <w:szCs w:val="20"/>
                <w:rFonts w:ascii="Cambria" w:cs="Cambria" w:eastAsia="Cambria" w:hAnsi="Cambria"/>
              </w:rPr>
              <w:t xml:space="preserve">85%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Lead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Crystal Nasio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Budget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$233,589 (CCC Foundation Regional Trainings)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KPI Current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25 trainings delivered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Goal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60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Stretch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96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25-26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25/10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26-27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25/23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27-28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25/35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28-29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25/48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29-30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25/60</w:t>
            </w:r>
          </w:p>
        </w:tc>
      </w:tr>
    </w:tbl>
    <w:p>
      <w:pPr>
        <w:pStyle w:val="Heading2"/>
      </w:pPr>
      <w:r>
        <w:t xml:space="preserve">Description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Deliver local, regional, and statewide CPL training; 25+ events reaching 1,000+ participants</w:t>
      </w:r>
    </w:p>
    <w:p>
      <w:pPr>
        <w:pStyle w:val="Heading2"/>
      </w:pPr>
      <w:r>
        <w:t xml:space="preserve">Latest Update</w:t>
      </w:r>
    </w:p>
    <w:p>
      <w:pPr>
        <w:spacing w:after="6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Date: 2026-04-07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25 trainings delivered incl. 6th Annual CPL Summit and 4 Regional Trainings; 1,000+ staff/faculty/admins trained</w:t>
      </w:r>
    </w:p>
    <w:p>
      <w:pPr>
        <w:pStyle w:val="Heading2"/>
      </w:pPr>
      <w:r>
        <w:t xml:space="preserve">Workplan Notes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25 trainings delivered including the 6th Annual CPL Summit and 4 CPL Regional Training Workshops. Over 1,000 staff, faculty, and administrators trained. Individual technical assistance and office hours ongoing.</w:t>
      </w:r>
    </w:p>
    <w:p>
      <w:pPr>
        <w:pStyle w:val="Heading2"/>
      </w:pPr>
      <w:r>
        <w:t xml:space="preserve">Milestones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2025-26: Remaining regional workshops; focus on newly-funded colleges</w:t>
      </w:r>
    </w:p>
    <w:p>
      <w:pPr>
        <w:pStyle w:val="Heading2"/>
      </w:pPr>
      <w:r>
        <w:t xml:space="preserve">Update Log</w:t>
      </w:r>
    </w:p>
    <w:p>
      <w:pPr>
        <w:spacing w:after="10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3 logged updates — newest first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1600"/>
        <w:gridCol w:w="7400"/>
      </w:tblGrid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Date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Type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Note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AB 123 chaptered ($5M ongoing + $15M one-time); Title 5 updates advanced; $2M + $35M proposed in Governor's 2026 budget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C9A84C"/>
                <w:sz w:val="17"/>
                <w:szCs w:val="17"/>
                <w:rFonts w:ascii="Cambria" w:cs="Cambria" w:eastAsia="Cambria" w:hAnsi="Cambria"/>
              </w:rPr>
              <w:t xml:space="preserve">Workplan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AB 123 chaptered establishing first-ever ongoing CPL state funding ($5M ongoing + $15M one-time). Title 5 regulatory updates advanced to reduce residency and access barriers. Draft trailer bill for additional $2M ongoing + $35M one-time under review.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2026-03-20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AB 123 chaptered ($5M ongoing + $15M one-time); Title 5 updates advanced; $2M + $35M proposed in Governor's 2026 budget</w:t>
            </w:r>
          </w:p>
        </w:tc>
      </w:tr>
    </w:tbl>
    <w:sectPr>
      <w:headerReference w:type="default" r:id="rId6"/>
      <w:footerReference w:type="default" r:id="rId7"/>
      <w:pgSz w:w="12240" w:h="15840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DDDDD" w:sz="2" w:space="4"/>
      </w:pBdr>
      <w:tabs>
        <w:tab w:val="right" w:pos="9026"/>
      </w:tabs>
    </w:pPr>
    <w:r>
      <w:rPr>
        <w:color w:val="666666"/>
        <w:sz w:val="14"/>
        <w:szCs w:val="14"/>
        <w:rFonts w:ascii="Cambria" w:cs="Cambria" w:eastAsia="Cambria" w:hAnsi="Cambria"/>
      </w:rPr>
      <w:t xml:space="preserve">Generated October 14, 2026  |  California Community Colleges  |  CPL Initiative</w:t>
    </w:r>
    <w:r>
      <w:rPr>
        <w:rFonts w:ascii="Cambria" w:cs="Cambria" w:eastAsia="Cambria" w:hAnsi="Cambria"/>
      </w:rPr>
      <w:t xml:space="preserve">	</w:t>
    </w:r>
    <w:r>
      <w:rPr>
        <w:color w:val="666666"/>
        <w:sz w:val="14"/>
        <w:szCs w:val="14"/>
        <w:rFonts w:ascii="Cambria" w:cs="Cambria" w:eastAsia="Cambria" w:hAnsi="Cambria"/>
      </w:rPr>
      <w:t xml:space="preserve">Page </w:t>
    </w:r>
    <w:r>
      <w:rPr>
        <w:color w:val="666666"/>
        <w:sz w:val="14"/>
        <w:szCs w:val="14"/>
        <w:rFonts w:ascii="Cambria" w:cs="Cambria" w:eastAsia="Cambria" w:hAnsi="Cambria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9A84C" w:sz="4" w:space="4"/>
      </w:pBdr>
      <w:tabs>
        <w:tab w:val="right" w:pos="9026"/>
      </w:tabs>
    </w:pPr>
    <w:r>
      <w:rPr>
        <w:b/>
        <w:bCs/>
        <w:color w:val="0A2240"/>
        <w:sz w:val="16"/>
        <w:szCs w:val="16"/>
        <w:rFonts w:ascii="Cambria" w:cs="Cambria" w:eastAsia="Cambria" w:hAnsi="Cambria"/>
      </w:rPr>
      <w:t xml:space="preserve">Credit for Prior Learning Workplan  </w:t>
    </w:r>
    <w:r>
      <w:rPr>
        <w:color w:val="666666"/>
        <w:sz w:val="16"/>
        <w:szCs w:val="16"/>
        <w:rFonts w:ascii="Cambria" w:cs="Cambria" w:eastAsia="Cambria" w:hAnsi="Cambria"/>
      </w:rPr>
      <w:t xml:space="preserve">|  Technical Assistance &amp; Training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sz w:val="22"/>
        <w:szCs w:val="22"/>
        <w:rFonts w:ascii="Cambria" w:cs="Cambria" w:eastAsia="Cambria" w:hAnsi="Cambria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before="300" w:after="160"/>
      <w:outlineLvl w:val="0"/>
    </w:pPr>
    <w:rPr>
      <w:b/>
      <w:bCs/>
      <w:color w:val="0A2240"/>
      <w:sz w:val="32"/>
      <w:szCs w:val="32"/>
      <w:rFonts w:ascii="Cambria" w:cs="Cambria" w:eastAsia="Cambria" w:hAnsi="Cambria"/>
    </w:rPr>
  </w:style>
  <w:style w:type="paragraph" w:styleId="Heading2">
    <w:name w:val="Heading 2"/>
    <w:basedOn w:val="Normal"/>
    <w:next w:val="Normal"/>
    <w:qFormat/>
    <w:pPr>
      <w:spacing w:before="240" w:after="120"/>
      <w:outlineLvl w:val="1"/>
    </w:pPr>
    <w:rPr>
      <w:b/>
      <w:bCs/>
      <w:color w:val="163A5F"/>
      <w:sz w:val="26"/>
      <w:szCs w:val="26"/>
      <w:rFonts w:ascii="Cambria" w:cs="Cambria" w:eastAsia="Cambria" w:hAnsi="Cambria"/>
    </w:rPr>
  </w:style>
  <w:style w:type="paragraph" w:styleId="Heading3">
    <w:name w:val="Heading 3"/>
    <w:basedOn w:val="Normal"/>
    <w:next w:val="Normal"/>
    <w:qFormat/>
    <w:pPr>
      <w:spacing w:before="180" w:after="100"/>
      <w:outlineLvl w:val="2"/>
    </w:pPr>
    <w:rPr>
      <w:b/>
      <w:bCs/>
      <w:color w:val="163A5F"/>
      <w:sz w:val="23"/>
      <w:szCs w:val="23"/>
      <w:rFonts w:ascii="Cambria" w:cs="Cambria" w:eastAsia="Cambria" w:hAnsi="Cambria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2026-10-14T14:35:43.343Z</dcterms:created>
  <dcterms:modified xsi:type="dcterms:W3CDTF">2026-10-14T14:35:43.343Z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