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3.3  Institutional Participation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institutions meet active threshold; 114 received $50K grants; 53 at implementation stage, 13 showing growth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140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140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2026-04-08T15:03:53.746Z</dcterms:created>
  <dcterms:modified xsi:type="dcterms:W3CDTF">2026-04-08T15:03:53.746Z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