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3.1.1  CPL Offers &amp; Awards Tracking — Working Adults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September 4,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21,552 cumulative working adults and others served with CPL</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160,000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283,000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21,552/9,500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21,552/47,500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21,552/82,500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21,552/122,500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21,552/160,000</w:t>
            </w:r>
          </w:p>
        </w:tc>
      </w:tr>
    </w:tbl>
    <w:p>
      <w:pPr>
        <w:pStyle w:val="Heading2"/>
      </w:pPr>
      <w:r>
        <w:t xml:space="preserve">Description</w:t>
      </w:r>
    </w:p>
    <w:p>
      <w:pPr>
        <w:spacing w:after="160"/>
      </w:pPr>
      <w:r>
        <w:rPr>
          <w:color w:val="444444"/>
          <w:sz w:val="21"/>
          <w:szCs w:val="21"/>
          <w:rFonts w:ascii="Cambria" w:cs="Cambria" w:eastAsia="Cambria" w:hAnsi="Cambria"/>
        </w:rPr>
        <w:t xml:space="preserve">Of the 250,000, expand equitable CPL access to 160,000 cumulative working adults and others with prior learning by 2030.</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Building on existing infrastructure, 1,088 apprenticeship CPL articulation records are now in place across 34 colleges and 648 unique courses, representing 6,000+ eligible apprenticeship CPL units with an estimated $9M in student savings and $37M 20-year economic impact (Beacon Economics). Fire Technology leads with 293 records, 753 apprenticeship students are recognized in MAP, and 30,000+ DAS historical records are targeted for import in year 1 of the Apprenticeship Sprint. In July 2026, apprenticeship student numbers will increase to over 5000 students with the upload from our top Apprenticeship Colleges, American River College, Santiago Canyon College, and Cerritos College.</w:t>
      </w:r>
    </w:p>
    <w:p>
      <w:pPr>
        <w:pStyle w:val="Heading2"/>
      </w:pPr>
      <w:r>
        <w:t xml:space="preserve">Workplan Notes</w:t>
      </w:r>
    </w:p>
    <w:p>
      <w:pPr>
        <w:spacing w:after="160"/>
      </w:pPr>
      <w:r>
        <w:rPr>
          <w:color w:val="444444"/>
          <w:sz w:val="21"/>
          <w:szCs w:val="21"/>
          <w:rFonts w:ascii="Cambria" w:cs="Cambria" w:eastAsia="Cambria" w:hAnsi="Cambria"/>
        </w:rPr>
        <w:t xml:space="preserve">22149 cumulative working adults and others offered some form of CPL as of 4/7/2026 per the CPL Dashboard. Exceeds the 2025-26 annual target of 95,000.</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working adults and other students served with CPL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22149 cumulative working adults and others offered some form of CPL as of 4/7/2026 per the CPL Dashboard. Exceeds the 2025-26 annual target of 95,000.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4,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Working Adults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2026-09-04T13:36:33.481Z</dcterms:created>
  <dcterms:modified xsi:type="dcterms:W3CDTF">2026-09-04T13:36:33.481Z</dcterms:modified>
</cp:coreProperties>
</file>

<file path=docProps/custom.xml><?xml version="1.0" encoding="utf-8"?>
<Properties xmlns="http://schemas.openxmlformats.org/officeDocument/2006/custom-properties" xmlns:vt="http://schemas.openxmlformats.org/officeDocument/2006/docPropsVTypes"/>
</file>