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1.4  California Credential Registry</w:t>
      </w:r>
    </w:p>
    <w:p>
      <w:pPr>
        <w:spacing w:after="80"/>
        <w:jc w:val="center"/>
      </w:pPr>
      <w:r>
        <w:rPr>
          <w:b/>
          <w:bCs/>
          <w:color w:val="4A90D9"/>
          <w:sz w:val="24"/>
          <w:szCs w:val="24"/>
          <w:rFonts w:ascii="Cambria" w:cs="Cambria" w:eastAsia="Cambria" w:hAnsi="Cambria"/>
        </w:rPr>
        <w:t xml:space="preserve">◎ Foundational Year</w:t>
      </w:r>
    </w:p>
    <w:p>
      <w:pPr>
        <w:pBdr>
          <w:bottom w:val="single" w:color="C9A84C" w:sz="4" w:space="8"/>
        </w:pBdr>
        <w:spacing w:after="300"/>
        <w:jc w:val="center"/>
      </w:pPr>
      <w:r>
        <w:rPr>
          <w:color w:val="666666"/>
          <w:sz w:val="19"/>
          <w:szCs w:val="19"/>
          <w:rFonts w:ascii="Cambria" w:cs="Cambria" w:eastAsia="Cambria" w:hAnsi="Cambria"/>
        </w:rPr>
        <w:t xml:space="preserve">Activity 1: AI-Enhanced CPL Infrastructure  |  Goal 2; Goal 3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Foundational Year</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4A90D9"/>
                <w:sz w:val="20"/>
                <w:szCs w:val="20"/>
                <w:rFonts w:ascii="Cambria" w:cs="Cambria" w:eastAsia="Cambria" w:hAnsi="Cambria"/>
              </w:rPr>
              <w:t xml:space="preserve">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1.2 (CPL Credential Registry - WestEd (V0719))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credentials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900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CPL-qualified credentials are hosted on the credential registry.</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MAP participated in a multi-stakeholder planning session with the Chancellor's Office, LWDA, WestEd, Cradle to Career, and Career Passport to align on the California Credential Registry vision and approach. The group clarified that the Credential Registry will serve as statewide infrastructure for comprehensive credential information, while Career Passport will function as the learner- and employer-facing application, with LWDA leading initial development in coordination with MAP. Next steps include developing shared technical requirements, aligning registry features across related tools, and establishing a governance structure.</w:t>
      </w:r>
    </w:p>
    <w:p>
      <w:pPr>
        <w:pStyle w:val="Heading2"/>
      </w:pPr>
      <w:r>
        <w:t xml:space="preserve">Workplan Notes</w:t>
      </w:r>
    </w:p>
    <w:p>
      <w:pPr>
        <w:spacing w:after="160"/>
      </w:pPr>
      <w:r>
        <w:rPr>
          <w:color w:val="444444"/>
          <w:sz w:val="21"/>
          <w:szCs w:val="21"/>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p>
      <w:pPr>
        <w:pStyle w:val="Heading2"/>
      </w:pPr>
      <w:r>
        <w:t xml:space="preserve">Milestones</w:t>
      </w:r>
    </w:p>
    <w:p>
      <w:pPr>
        <w:spacing w:after="160"/>
      </w:pPr>
      <w:r>
        <w:rPr>
          <w:color w:val="444444"/>
          <w:sz w:val="21"/>
          <w:szCs w:val="21"/>
          <w:rFonts w:ascii="Cambria" w:cs="Cambria" w:eastAsia="Cambria" w:hAnsi="Cambria"/>
        </w:rPr>
        <w:t xml:space="preserve">2026: Standardized credential data schema with TOP/CIP codes; 2026-27: Registry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in registry this period. Full launch not targeted until 2026-27. Standardized credential data schema incorporating TOP and CIP codes is in preparation for the registry pipeline.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credentials published yet; full launch not targeted until 2026-27; schema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California Credential Registry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2026-09-23T11:45:13.686Z</dcterms:created>
  <dcterms:modified xsi:type="dcterms:W3CDTF">2026-09-23T11:45:13.686Z</dcterms:modified>
</cp:coreProperties>
</file>

<file path=docProps/custom.xml><?xml version="1.0" encoding="utf-8"?>
<Properties xmlns="http://schemas.openxmlformats.org/officeDocument/2006/custom-properties" xmlns:vt="http://schemas.openxmlformats.org/officeDocument/2006/docPropsVTypes"/>
</file>