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at active threshold; 114 of 115 received $50K implementation grants; 53 at implementation stage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2026-04-07T22:13:04.684Z</dcterms:created>
  <dcterms:modified xsi:type="dcterms:W3CDTF">2026-04-07T22:13:04.684Z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