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2.4  Validated Skills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September 22,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skills catalogued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0/65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CPL-eligible credentials will include faculty-validated skills, which are ported to eTranscript and/or Career Passport.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Heading2"/>
      </w:pPr>
      <w:r>
        <w:t xml:space="preserve">Workplan Notes</w:t>
      </w:r>
    </w:p>
    <w:p>
      <w:pPr>
        <w:spacing w:after="160"/>
      </w:pPr>
      <w:r>
        <w:rPr>
          <w:color w:val="444444"/>
          <w:sz w:val="21"/>
          <w:szCs w:val="21"/>
          <w:rFonts w:ascii="Cambria" w:cs="Cambria" w:eastAsia="Cambria" w:hAnsi="Cambria"/>
        </w:rPr>
        <w:t xml:space="preserve">Functionality enabling creation of common course crosswalks is a component of the MAP Exhibit module scheduled for April 2026. Development underway but dependent on that release.</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enables functionality; 2030: 250 descriptors target</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Validated Skills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2026-09-22T17:11:49.529Z</dcterms:created>
  <dcterms:modified xsi:type="dcterms:W3CDTF">2026-09-22T17:11:49.529Z</dcterms:modified>
</cp:coreProperties>
</file>

<file path=docProps/custom.xml><?xml version="1.0" encoding="utf-8"?>
<Properties xmlns="http://schemas.openxmlformats.org/officeDocument/2006/custom-properties" xmlns:vt="http://schemas.openxmlformats.org/officeDocument/2006/docPropsVTypes"/>
</file>