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October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October 18,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57,422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276k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14,503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62 JSTs to MAP, with estimated student savings of $391M and projected 20-year economic impact of $1.59B.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57,422</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276k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14,503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62</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$391M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$1.59B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48% average  |  2 of 6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June, MAP has delivered improvements across the Student Portal, intake and matching, dashboards, notifications, accessibility, security, bulk data processing, and articulation workflows, including a recent Student Portal release addressing approximately 30 tickets. The Exhibit Module is undergoing intensive QA and remediation for email routing and new-data-model regressions before production release.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pilot generated approximately 33,000 proposed credit recommendations across 115 industry certifications, extending Phase 1 work. A 90-day transition of code, database, algorithm, and documentation from EQS to the Foundation/MAP team is underway, with priorities focused on reproducing, securing, and documenting the system before MAP integration and faculty validation.</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Phase 1 is complete, and follow-on work has advanced into Credential Registry technical design, governance, user-centered design, and workforce and apprenticeship data integration. Contracting and coordination are progressing among WestEd, the Chancellor's Office, Labor Agency, Credential Engine, Career Passport, and MAP, with current focus on clarifying roles, data requirements, governance, and initial registry experience.</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System Integration &amp; Interoperability work continues across multiple fronts: MAP-to-CTDL mapping has advanced from planning to detailed schema and sample publishing; Program Pathways Mapper Phase 1 is complete; integration efforts are ongoing with Credential Engine, ACE, Career Passport, CVC, COCI, SIS vendors, and other statewide systems; and a project with N2N demonstrated MAP's API integration capabilities with third-party systems. Local API implementation conversations have begun with Chaffey College IT, with the API complete and functional but not yet in production use.</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Student Portal is live and recently received a major release of roughly 30 enhancements, including improved college location mapping, a simpler CPL profile builder, accessibility updates, and petition language revised to align with the Landing Page. Upcoming improvements will display the colleges that match a student’s CPL profile while also giving students an easy way to contact any college, whether or not a match was found. A new user-supplied credential tagging feature will further improve match accuracy. Near-term priorities remain production verification and usage measurement. We have also released custom Student Portal Quick Start guides for Veterans and Workforce Board clients.</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California Credential Registry planning has advanced across three coordinated tracks: technical infrastructure, statewide governance, and user-centered design. COCI data has been received and CTDL-aligned sample publishing is underway, while stakeholders are defining authoritative publishing responsibilities and a phased implementation approach.</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2026, significant progress has been made on CCR assembly and curation, with S. Lee leading AI-based tool development including SkyView, an interactive systemwide instructional data viewer that may serve as the future platform for consolidating currently disconnected instructional data.</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Exhibit Module’s Credential Engine competency-search and tagging functionality has been built and is being tested. MAP-to-CTDL mapping and AI-assisted skill extraction are also advancing, with faculty approval remaining the point at which competencies become validated skills. The reported count remains at zero until the module is released and the faculty-validation workflow produces approved results. Other possible avenues for collecting and documenting validated skills are being explored as well including Career Passport, Credential Engine, Vametric, and others, though no sustainable source of validated skills has been found at this time. The infrastructure is there though when these are found.</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October 15, 2026, the statewide CPL Dashboard reports 83,917 transcribed CPL units and 239,997 eligible units across 55,133 students served. Current transcription represents 43% of the 2026–27 cumulative goal of 195,000 units and approximately 22% of the stretch target of 390,000 units.
Statewide efforts continue to focus on increasing CPL transcription through expanded college participation, improved institutional processes, faculty and counselor training, and MAP implementation support. With approximately 156,080 eligible units not yet transcribed, continued emphasis is being placed on helping colleges move students from CPL eligibility to awarded and transcribed credit.</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formal Student Impact Rate Survey has not yet launched. However, the Student Portal infrastructure needed to identify participants, capture CPL activity, and support future survey distribution has advanced significantly. Parallel student-story collection has exceeded its initial goal, but the survey instrument, automated triggers, and reporting workflow still need to be designed and deployed. With the student portal now live, this work can begin.</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are up to 50 student success stories, collected from various statewide and role-based groups.</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has progressed from scoping into active reconciliation tasks including source tracking, student-status rules, bulk-upload validation, veteran/active-duty classifications, and college-level outlier review, with current priority on validating MAP and MIS figures before recognition or funding reporting. A significant slow-down in CO data sharing has decreased velocity, prompting MAP to initiate college workgroups discussing transcription and MIS reporting best practices. Procedures and supporting tools are delayed due to the data sharing, though best practices and effort on the college side still slated for completion by end of 2026.</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0% average  |  0 of 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4.7  EMS Corps   </w:t>
            </w:r>
            <w:r>
              <w:rPr>
                <w:b/>
                <w:bCs/>
                <w:color w:val="666666"/>
                <w:sz w:val="20"/>
                <w:szCs w:val="20"/>
                <w:rFonts w:ascii="Cambria" w:cs="Cambria" w:eastAsia="Cambria" w:hAnsi="Cambria"/>
              </w:rPr>
              <w:t xml:space="preserve">○ Not Started</w:t>
            </w:r>
          </w:p>
        </w:tc>
      </w:tr>
    </w:tbl>
    <w:p>
      <w:pPr>
        <w:spacing w:before="60" w:after="40"/>
      </w:pPr>
      <w:r>
        <w:rPr>
          <w:i/>
          <w:iCs/>
          <w:color w:val="666666"/>
          <w:sz w:val="18"/>
          <w:szCs w:val="18"/>
          <w:rFonts w:ascii="Cambria" w:cs="Cambria" w:eastAsia="Cambria" w:hAnsi="Cambria"/>
        </w:rPr>
        <w:t xml:space="preserve">2030 Goal: 2  Stretch: 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46% average  |  4 of 10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4.2.1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N2N/Prism pilot has expanded from Santiago Canyon to American River College and additional statewide use cases, achieving 93–95% course-mapping accuracy with human review, petition generation, and approved CPL data push to MAP. PeopleSoft integration is planned for American River, and MAP is evaluating complementary competency-reconstruction tools for apprenticeship-to-course comparison while prioritizing reliable implementation at initial colleges.</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continue to engage with new and continuing partnerships, including LWDA on the Credential Registry, Career Passport, and projects such as EMS Corps and a potential International Rescue Committee (IRC) collaboration. A growing data share partnership with ACE is emerging, which has far-reaching potential for our service members. We are in discussions with vendors working with North Far North colleges on a portfolio approach to CPL; and we continue to deepen our relationship with the CA Dept. of Education around the Advanced CTE Framework and apprentice and pre-apprentice skills and certifications. We engaged in a follow-on contract with WestEd to continue our planning to support the forthcoming Credential Registry, which links to our ongoing contract with Credential Engine to support interoperability of CPL opportunities beyond MAP and the state. We continue to partner with the CCC Foundation on our work leveraging AI to match skills to course outcomes, and are seeing good outcomes from our contract with N2N Lightleap on AI-enabled Apprenticeship tools supporting completions, CPL awards, and outreach.</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expansion of statewide CPL technical assistance and professional development, with trainings delivered weekly to support college implementation. Most recently, the CPL Counselor and Coordinator Training reached over 300 attendees, and six additional colleges are scheduled for department-wide counseling professional development sessions. Ongoing efforts include statewide webinars, regional workshops, college-specific trainings, office hours, and individualized technical assistance. Training delivery continues to exceed previously reported totals, with updated participation and training counts being compiled.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Vision Resource Center technical assistance modules focused on CPL policy, procedure, resources, tools, integrations, opportunities for all constituents.</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progress on CPL Vision Resource Center module revision: 10 of 14 modules (71%) are finalized, with 8 submitted to VRC, 2 awaiting handoff, and 4 in development or review. Current focus is on completing remaining reviews, incorporating subject matter expert feedback, and submitting outstanding modules.</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4.8  Futuro Behavioral Healthcare Project   </w:t>
            </w:r>
            <w:r>
              <w:rPr>
                <w:b/>
                <w:bCs/>
                <w:color w:val="666666"/>
                <w:sz w:val="20"/>
                <w:szCs w:val="20"/>
                <w:rFonts w:ascii="Cambria" w:cs="Cambria" w:eastAsia="Cambria" w:hAnsi="Cambria"/>
              </w:rPr>
              <w:t xml:space="preserve">○ Not Started</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4.2.1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4.7 EMS Corps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4.2.1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4.8 Futuro Behavioral Healthcare Project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57,422 students served, 14,503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October 18,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2026-10-18T17:48:13.216Z</dcterms:created>
  <dcterms:modified xsi:type="dcterms:W3CDTF">2026-10-18T17:48:13.216Z</dcterms:modified>
</cp:coreProperties>
</file>

<file path=docProps/custom.xml><?xml version="1.0" encoding="utf-8"?>
<Properties xmlns="http://schemas.openxmlformats.org/officeDocument/2006/custom-properties" xmlns:vt="http://schemas.openxmlformats.org/officeDocument/2006/docPropsVTypes"/>
</file>