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1.2  System Integration &amp; Interoperability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November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Cumulative integrations established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Related systems feature integrated, interoperable, and AI-Assisted CPL to support student access, planning, completion, transfer, tracking and research.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 Integration &amp; Interoperability work continues across multiple fronts: MAP-to-CTDL mapping has advanced from planning to detailed schema and sample publishing; Program Pathways Mapper Phase 1 is complete; integration efforts are ongoing with Credential Engine, ACE, Career Passport, CVC, COCI, SIS vendors, and other statewide systems; and a project with N2N demonstrated MAP's API integration capabilities with third-party systems. Local API implementation conversations have begun with Chaffey College IT, with the API complete and functional but not yet in production use.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Credential Engine integration established supporting competency-level alignment with CTDL. Interoperability with eTranscript, Career Passport, and CCCApply is in planning/development phases.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CTDL tagging for skills and certifications; 2027: Full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underway; Phase 1 Program Pathways Mapper integration complete; CVC integration underway; Career Passport integration planned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November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System Integration &amp; Interoperability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2026-11-01T05:19:33.840Z</dcterms:created>
  <dcterms:modified xsi:type="dcterms:W3CDTF">2026-11-01T05:19:33.840Z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