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November 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2026-10-18</w:t>
      </w:r>
    </w:p>
    <w:p>
      <w:pPr>
        <w:spacing w:after="160"/>
      </w:pPr>
      <w:r>
        <w:rPr>
          <w:color w:val="444444"/>
          <w:sz w:val="21"/>
          <w:szCs w:val="21"/>
          <w:rFonts w:ascii="Cambria" w:cs="Cambria" w:eastAsia="Cambria" w:hAnsi="Cambria"/>
        </w:rPr>
        <w:t xml:space="preserve">As of October 2026, the Faculty Discipline Workgroups have grown to 13 distinct groups, including the HVAC workgroup that concluded in September 2026. Leadership of these workgroups is transitioning to ASCCC Pathways to Credit.</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November 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2026-11-01T05:19:33.884Z</dcterms:created>
  <dcterms:modified xsi:type="dcterms:W3CDTF">2026-11-01T05:19:33.884Z</dcterms:modified>
</cp:coreProperties>
</file>

<file path=docProps/custom.xml><?xml version="1.0" encoding="utf-8"?>
<Properties xmlns="http://schemas.openxmlformats.org/officeDocument/2006/custom-properties" xmlns:vt="http://schemas.openxmlformats.org/officeDocument/2006/docPropsVTypes"/>
</file>