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3.3  Statewide Adoption &amp; Participation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$5,900,000 (CPL Infrastructure &amp; Scaling ($15M one-time))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84 colleges at active participation threshold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130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84/90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84/100</w:t>
            </w:r>
          </w:p>
        </w:tc>
      </w:tr>
    </w:tbl>
    <w:p>
      <w:pPr>
        <w:pStyle w:val="Heading2"/>
      </w:pPr>
      <w:r>
        <w:t xml:space="preserve">Description</w:t>
      </w:r>
    </w:p>
    <w:p>
      <w:pPr>
        <w:spacing w:after="160"/>
      </w:pPr>
      <w:r>
        <w:rPr>
          <w:color w:val="444444"/>
          <w:sz w:val="21"/>
          <w:szCs w:val="21"/>
          <w:rFonts w:ascii="Cambria" w:cs="Cambria" w:eastAsia="Cambria" w:hAnsi="Cambria"/>
        </w:rPr>
        <w:t xml:space="preserve">Colleges. IHLs, and agencies throughout the system and state actively use the MAP CPL infrastructure to offer, document and award CPL.</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We have exceeded our goal with over 60 colleges now active in the MAP Platform and successfully onboarded one of three target CSU campuses ahead of the June 2027 milestone. This activity is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p>
      <w:pPr>
        <w:pStyle w:val="Heading2"/>
      </w:pPr>
      <w:r>
        <w:t xml:space="preserve">Milestones</w:t>
      </w:r>
    </w:p>
    <w:p>
      <w:pPr>
        <w:spacing w:after="160"/>
      </w:pPr>
      <w:r>
        <w:rPr>
          <w:color w:val="444444"/>
          <w:sz w:val="21"/>
          <w:szCs w:val="21"/>
          <w:rFonts w:ascii="Cambria" w:cs="Cambria" w:eastAsia="Cambria" w:hAnsi="Cambria"/>
        </w:rPr>
        <w:t xml:space="preserve">2025-26 target: 50 colleges active (exceeded at 84); 114 colleges funded; 53 at implementation stage</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institutions meet active threshold; 114 received $50K grants; 53 at implementation stage, 13 showing growth</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84 colleges meet active threshold; 114 received $50K grants; 53 at implementation stage, 13 showing growth</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84 colleges meet active threshold; 114 received $50K grants; 53 at implementation stage, 13 showing growth</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Statewide Adoption &amp; Participation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2026-10-19T18:49:37.004Z</dcterms:created>
  <dcterms:modified xsi:type="dcterms:W3CDTF">2026-10-19T18:49:37.004Z</dcterms:modified>
</cp:coreProperties>
</file>

<file path=docProps/custom.xml><?xml version="1.0" encoding="utf-8"?>
<Properties xmlns="http://schemas.openxmlformats.org/officeDocument/2006/custom-properties" xmlns:vt="http://schemas.openxmlformats.org/officeDocument/2006/docPropsVTypes"/>
</file>