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5.4  RP Group CPL Field Survey</w:t>
      </w:r>
    </w:p>
    <w:p>
      <w:pPr>
        <w:spacing w:after="80"/>
        <w:jc w:val="center"/>
      </w:pPr>
      <w:r>
        <w:rPr>
          <w:b/>
          <w:bCs/>
          <w:color w:val="2A7D4F"/>
          <w:sz w:val="24"/>
          <w:szCs w:val="24"/>
          <w:rFonts w:ascii="Cambria" w:cs="Cambria" w:eastAsia="Cambria" w:hAnsi="Cambria"/>
        </w:rPr>
        <w:t xml:space="preserve">✔ Goal Met</w:t>
      </w:r>
    </w:p>
    <w:p>
      <w:pPr>
        <w:pBdr>
          <w:bottom w:val="single" w:color="C9A84C" w:sz="4" w:space="8"/>
        </w:pBdr>
        <w:spacing w:after="300"/>
        <w:jc w:val="center"/>
      </w:pPr>
      <w:r>
        <w:rPr>
          <w:color w:val="666666"/>
          <w:sz w:val="19"/>
          <w:szCs w:val="19"/>
          <w:rFonts w:ascii="Cambria" w:cs="Cambria" w:eastAsia="Cambria" w:hAnsi="Cambria"/>
        </w:rPr>
        <w:t xml:space="preserve">Activity 3: CPL Data Infrastructure  |  Goal 2  |  </w:t>
      </w:r>
      <w:r>
        <w:rPr>
          <w:color w:val="666666"/>
          <w:sz w:val="19"/>
          <w:szCs w:val="19"/>
          <w:rFonts w:ascii="Cambria" w:cs="Cambria" w:eastAsia="Cambria" w:hAnsi="Cambria"/>
        </w:rPr>
        <w:t xml:space="preserve">July 16,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Goal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100%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RP Group</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$57,275 (RP Group Field CPL Survey (V0639))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survey completed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bl>
    <w:p>
      <w:pPr>
        <w:pStyle w:val="Heading2"/>
      </w:pPr>
      <w:r>
        <w:t xml:space="preserve">Description</w:t>
      </w:r>
    </w:p>
    <w:p>
      <w:pPr>
        <w:spacing w:after="160"/>
      </w:pPr>
      <w:r>
        <w:rPr>
          <w:color w:val="444444"/>
          <w:sz w:val="21"/>
          <w:szCs w:val="21"/>
          <w:rFonts w:ascii="Cambria" w:cs="Cambria" w:eastAsia="Cambria" w:hAnsi="Cambria"/>
        </w:rPr>
        <w:t xml:space="preserve">Systemwide CPL implementation survey across all California community colleges</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RP Group CPL Field Survey will employ a mixed-methods research study combining quantitative analysis of student outcomes with qualitative data from institutional interviews, focus groups, and/or student surveys to examine how Credit for Prior Learning influences student success and institutional effectiveness across participating California Community Colleges. The study will analyze CPL's impact on certificate and degree completion, compare outcomes between CPL recipients and non-CPL students with attention to historically underserved populations, and assess institutional implementation practices to provide evidence-based recommendations for strengthening statewide CPL implementation and promoting equitable student success.</w:t>
      </w:r>
    </w:p>
    <w:p>
      <w:pPr>
        <w:pStyle w:val="Heading2"/>
      </w:pPr>
      <w:r>
        <w:t xml:space="preserve">Workplan Notes</w:t>
      </w:r>
    </w:p>
    <w:p>
      <w:pPr>
        <w:spacing w:after="160"/>
      </w:pPr>
      <w:r>
        <w:rPr>
          <w:color w:val="444444"/>
          <w:sz w:val="21"/>
          <w:szCs w:val="21"/>
          <w:rFonts w:ascii="Cambria" w:cs="Cambria" w:eastAsia="Cambria" w:hAnsi="Cambria"/>
        </w:rPr>
        <w:t xml:space="preserve">Systemwide CPL implementation survey completed 2025. Results informing implementation strategy and targeted assistance.</w:t>
      </w:r>
    </w:p>
    <w:p>
      <w:pPr>
        <w:pStyle w:val="Heading2"/>
      </w:pPr>
      <w:r>
        <w:t xml:space="preserve">Milestones</w:t>
      </w:r>
    </w:p>
    <w:p>
      <w:pPr>
        <w:spacing w:after="160"/>
      </w:pPr>
      <w:r>
        <w:rPr>
          <w:color w:val="444444"/>
          <w:sz w:val="21"/>
          <w:szCs w:val="21"/>
          <w:rFonts w:ascii="Cambria" w:cs="Cambria" w:eastAsia="Cambria" w:hAnsi="Cambria"/>
        </w:rPr>
        <w:t xml:space="preserve">Completed 2025</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completed; results informing implementation strategy and targeted assistance</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Systemwide CPL implementation survey completed 2025. Results informing implementation strategy and targeted assistance.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2025-06-30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completed; results informing implementation strategy and targeted assistance</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16,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RP Group CPL Field Survey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2026-07-16T00:40:57.811Z</dcterms:created>
  <dcterms:modified xsi:type="dcterms:W3CDTF">2026-07-16T00:40:57.811Z</dcterms:modified>
</cp:coreProperties>
</file>

<file path=docProps/custom.xml><?xml version="1.0" encoding="utf-8"?>
<Properties xmlns="http://schemas.openxmlformats.org/officeDocument/2006/custom-properties" xmlns:vt="http://schemas.openxmlformats.org/officeDocument/2006/docPropsVTypes"/>
</file>