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2.4  Validated Skills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August 19,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skills catalogued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0/65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CPL-eligible credentials will include faculty-validated skills, which are ported to eTranscript and/or Career Passport.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Heading2"/>
      </w:pPr>
      <w:r>
        <w:t xml:space="preserve">Workplan Notes</w:t>
      </w:r>
    </w:p>
    <w:p>
      <w:pPr>
        <w:spacing w:after="160"/>
      </w:pPr>
      <w:r>
        <w:rPr>
          <w:color w:val="444444"/>
          <w:sz w:val="21"/>
          <w:szCs w:val="21"/>
          <w:rFonts w:ascii="Cambria" w:cs="Cambria" w:eastAsia="Cambria" w:hAnsi="Cambria"/>
        </w:rPr>
        <w:t xml:space="preserve">Functionality enabling creation of common course crosswalks is a component of the MAP Exhibit module scheduled for April 2026. Development underway but dependent on that release.</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enables functionality; 2030: 250 descriptors target</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Validated Skills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2026-08-19T07:09:42.032Z</dcterms:created>
  <dcterms:modified xsi:type="dcterms:W3CDTF">2026-08-19T07:09:42.032Z</dcterms:modified>
</cp:coreProperties>
</file>

<file path=docProps/custom.xml><?xml version="1.0" encoding="utf-8"?>
<Properties xmlns="http://schemas.openxmlformats.org/officeDocument/2006/custom-properties" xmlns:vt="http://schemas.openxmlformats.org/officeDocument/2006/docPropsVTypes"/>
</file>