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  Technical Assistance &amp; Training</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Goal 3  |  </w:t>
      </w:r>
      <w:r>
        <w:rPr>
          <w:color w:val="666666"/>
          <w:sz w:val="19"/>
          <w:szCs w:val="19"/>
          <w:rFonts w:ascii="Cambria" w:cs="Cambria" w:eastAsia="Cambria" w:hAnsi="Cambria"/>
        </w:rPr>
        <w:t xml:space="preserve">October 29,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$233,589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 trainings delivered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25/48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25/60</w:t>
            </w:r>
          </w:p>
        </w:tc>
      </w:tr>
    </w:tbl>
    <w:p>
      <w:pPr>
        <w:pStyle w:val="Heading2"/>
      </w:pPr>
      <w:r>
        <w:t xml:space="preserve">Description</w:t>
      </w:r>
    </w:p>
    <w:p>
      <w:pPr>
        <w:spacing w:after="160"/>
      </w:pPr>
      <w:r>
        <w:rPr>
          <w:color w:val="444444"/>
          <w:sz w:val="21"/>
          <w:szCs w:val="21"/>
          <w:rFonts w:ascii="Cambria" w:cs="Cambria" w:eastAsia="Cambria" w:hAnsi="Cambria"/>
        </w:rPr>
        <w:t xml:space="preserve">Deliver local, regional, and statewide CPL training; 25+ events reaching 1,000+ participants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Continued expansion of statewide CPL technical assistance and professional development, with trainings delivered weekly to support college implementation. Most recently, the CPL Counselor and Coordinator Training reached over 300 attendees, and six additional colleges are scheduled for department-wide counseling professional development sessions. Ongoing efforts include statewide webinars, regional workshops, college-specific trainings, office hours, and individualized technical assistance. Training delivery continues to exceed previously reported totals, with updated participation and training counts being compiled.</w:t>
      </w:r>
    </w:p>
    <w:p>
      <w:pPr>
        <w:pStyle w:val="Heading2"/>
      </w:pPr>
      <w:r>
        <w:t xml:space="preserve">Workplan Notes</w:t>
      </w:r>
    </w:p>
    <w:p>
      <w:pPr>
        <w:spacing w:after="160"/>
      </w:pPr>
      <w:r>
        <w:rPr>
          <w:color w:val="444444"/>
          <w:sz w:val="21"/>
          <w:szCs w:val="21"/>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p>
      <w:pPr>
        <w:pStyle w:val="Heading2"/>
      </w:pPr>
      <w:r>
        <w:t xml:space="preserve">Milestones</w:t>
      </w:r>
    </w:p>
    <w:p>
      <w:pPr>
        <w:spacing w:after="160"/>
      </w:pPr>
      <w:r>
        <w:rPr>
          <w:color w:val="444444"/>
          <w:sz w:val="21"/>
          <w:szCs w:val="21"/>
          <w:rFonts w:ascii="Cambria" w:cs="Cambria" w:eastAsia="Cambria" w:hAnsi="Cambria"/>
        </w:rPr>
        <w:t xml:space="preserve">2025-26: Remaining regional workshops; focus on newly-funded colleges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AB 123 chaptered ($5M ongoing + $15M one-time); Title 5 updates advanced; $2M + $35M proposed in Governor's 2026 budget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Technical Assistance &amp; Training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2026-10-29T18:36:49.681Z</dcterms:created>
  <dcterms:modified xsi:type="dcterms:W3CDTF">2026-10-29T18:36:49.681Z</dcterms:modified>
</cp:coreProperties>
</file>

<file path=docProps/custom.xml><?xml version="1.0" encoding="utf-8"?>
<Properties xmlns="http://schemas.openxmlformats.org/officeDocument/2006/custom-properties" xmlns:vt="http://schemas.openxmlformats.org/officeDocument/2006/docPropsVTypes"/>
</file>