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2.1  Statewide Credit Recommendations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$1,563,900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288 Cumulative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2,200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288/400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288/600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288/800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288/1,000</w:t>
            </w:r>
          </w:p>
        </w:tc>
      </w:tr>
    </w:tbl>
    <w:p>
      <w:pPr>
        <w:pStyle w:val="Heading2"/>
      </w:pPr>
      <w:r>
        <w:t xml:space="preserve">Description</w:t>
      </w:r>
    </w:p>
    <w:p>
      <w:pPr>
        <w:spacing w:after="160"/>
      </w:pPr>
      <w:r>
        <w:rPr>
          <w:color w:val="444444"/>
          <w:sz w:val="21"/>
          <w:szCs w:val="21"/>
          <w:rFonts w:ascii="Cambria" w:cs="Cambria" w:eastAsia="Cambria" w:hAnsi="Cambria"/>
        </w:rPr>
        <w:t xml:space="preserve">Create and adopt statewide CPL credit recommendations through ASCCC faculty workgroups.</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As of October 2026, we have almost 15,000 statewide CRs for colleges to adopt locally. We have expanded statewide credit recommendations to include construction management and HVAC programs, with specific counts of new exhibits and credit recommendations to be added once received from the team. We are now awaiting the ASCCC Pathways to Credit work to commence with faculty statewide credit recommendations. The goal for Item 2.1 is met and we are aiming to meet the stretch goal now.</w:t>
      </w:r>
    </w:p>
    <w:p>
      <w:pPr>
        <w:pStyle w:val="Heading2"/>
      </w:pPr>
      <w:r>
        <w:t xml:space="preserve">Workplan Notes</w:t>
      </w:r>
    </w:p>
    <w:p>
      <w:pPr>
        <w:spacing w:after="160"/>
      </w:pPr>
      <w:r>
        <w:rPr>
          <w:color w:val="444444"/>
          <w:sz w:val="21"/>
          <w:szCs w:val="21"/>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p>
      <w:pPr>
        <w:pStyle w:val="Heading2"/>
      </w:pPr>
      <w:r>
        <w:t xml:space="preserve">Milestones</w:t>
      </w:r>
    </w:p>
    <w:p>
      <w:pPr>
        <w:spacing w:after="160"/>
      </w:pPr>
      <w:r>
        <w:rPr>
          <w:color w:val="444444"/>
          <w:sz w:val="21"/>
          <w:szCs w:val="21"/>
          <w:rFonts w:ascii="Cambria" w:cs="Cambria" w:eastAsia="Cambria" w:hAnsi="Cambria"/>
        </w:rPr>
        <w:t xml:space="preserve">June 2026: 650+ cumulative adopted recommendations; 2030: 1,000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credit recommendations; 281 adopted this year; 230 in progress through adoption workflow</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credit recommendations; 281 adopted this year; 230 in progress through adoption workflow</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Statewide Credit Recommendations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2026-10-22T12:01:37.956Z</dcterms:created>
  <dcterms:modified xsi:type="dcterms:W3CDTF">2026-10-22T12:01:37.956Z</dcterms:modified>
</cp:coreProperties>
</file>

<file path=docProps/custom.xml><?xml version="1.0" encoding="utf-8"?>
<Properties xmlns="http://schemas.openxmlformats.org/officeDocument/2006/custom-properties" xmlns:vt="http://schemas.openxmlformats.org/officeDocument/2006/docPropsVTypes"/>
</file>