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rFonts w:ascii="Cambria" w:cs="Cambria" w:eastAsia="Cambria" w:hAnsi="Cambria"/>
          <w:b/>
          <w:bCs/>
          <w:color w:val="0A2240"/>
          <w:sz w:val="32"/>
          <w:szCs w:val="32"/>
        </w:rPr>
        <w:t xml:space="preserve">3.3  Institutional Participation</w:t>
      </w:r>
    </w:p>
    <w:p>
      <w:pPr>
        <w:spacing w:after="80"/>
        <w:jc w:val="center"/>
      </w:pPr>
      <w:r>
        <w:rPr>
          <w:rFonts w:ascii="Cambria" w:cs="Cambria" w:eastAsia="Cambria" w:hAnsi="Cambria"/>
          <w:b/>
          <w:bCs/>
          <w:color w:val="2A7D4F"/>
          <w:sz w:val="24"/>
          <w:szCs w:val="24"/>
        </w:rPr>
        <w:t xml:space="preserve">✔ Goal Met  </w:t>
      </w:r>
      <w:r>
        <w:rPr>
          <w:rFonts w:ascii="Cambria" w:cs="Cambria" w:eastAsia="Cambria" w:hAnsi="Cambria"/>
          <w:b/>
          <w:bCs/>
          <w:color w:val="C9A84C"/>
          <w:sz w:val="24"/>
          <w:szCs w:val="24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rFonts w:ascii="Cambria" w:cs="Cambria" w:eastAsia="Cambria" w:hAnsi="Cambria"/>
          <w:color w:val="666666"/>
          <w:sz w:val="19"/>
          <w:szCs w:val="19"/>
        </w:rPr>
        <w:t xml:space="preserve">Activity 3: CPL Data Infrastructure  |  Goal 2  |  </w:t>
      </w:r>
      <w:r>
        <w:rPr>
          <w:rFonts w:ascii="Cambria" w:cs="Cambria" w:eastAsia="Cambria" w:hAnsi="Cambria"/>
          <w:color w:val="666666"/>
          <w:sz w:val="19"/>
          <w:szCs w:val="19"/>
        </w:rPr>
        <w:t xml:space="preserve">April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73%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$5,900,000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KPI Metric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84 colleges at active participation threshold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C9A84C"/>
                <w:sz w:val="20"/>
                <w:szCs w:val="20"/>
              </w:rPr>
              <w:t xml:space="preserve">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26-27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27-28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28-29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29-30 Goal (Vision 2030)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100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Colleges. IHLs, and agencies throughout the system and state actively use the MAP CPL infrastructure to offer, document and award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Date: 2026-04-08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Cumulative institutions meet active threshold; 114 received $50K grants; 53 at implementation stage, 13 showing growth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140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2025-26 target: 50 colleges active (exceeded at 84); 114 colleges funded; 53 at implementation stage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Cumulative institutions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140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84 colleges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84 colleges meet active threshold; 114 received $50K grants; 53 at implementation stage, 13 showing growth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rFonts w:ascii="Cambria" w:cs="Cambria" w:eastAsia="Cambria" w:hAnsi="Cambria"/>
        <w:color w:val="666666"/>
        <w:sz w:val="14"/>
        <w:szCs w:val="14"/>
      </w:rPr>
      <w:t xml:space="preserve">Generated April 8,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rFonts w:ascii="Cambria" w:cs="Cambria" w:eastAsia="Cambria" w:hAnsi="Cambria"/>
        <w:color w:val="666666"/>
        <w:sz w:val="14"/>
        <w:szCs w:val="14"/>
      </w:rPr>
      <w:t xml:space="preserve">Page </w:t>
    </w:r>
    <w:r>
      <w:rPr>
        <w:rFonts w:ascii="Cambria" w:cs="Cambria" w:eastAsia="Cambria" w:hAnsi="Cambria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rFonts w:ascii="Cambria" w:cs="Cambria" w:eastAsia="Cambria" w:hAnsi="Cambria"/>
        <w:b/>
        <w:bCs/>
        <w:color w:val="0A2240"/>
        <w:sz w:val="16"/>
        <w:szCs w:val="16"/>
      </w:rPr>
      <w:t xml:space="preserve">Credit for Prior Learning Workplan  </w:t>
    </w:r>
    <w:r>
      <w:rPr>
        <w:rFonts w:ascii="Cambria" w:cs="Cambria" w:eastAsia="Cambria" w:hAnsi="Cambria"/>
        <w:color w:val="666666"/>
        <w:sz w:val="16"/>
        <w:szCs w:val="16"/>
      </w:rPr>
      <w:t xml:space="preserve">|  Institutional Participation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Cambria" w:cs="Cambria" w:eastAsia="Cambria" w:hAnsi="Cambria"/>
      <w:b/>
      <w:bCs/>
      <w:color w:val="0A224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mbria" w:cs="Cambria" w:eastAsia="Cambria" w:hAnsi="Cambria"/>
      <w:b/>
      <w:bCs/>
      <w:color w:val="16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mbria" w:cs="Cambria" w:eastAsia="Cambria" w:hAnsi="Cambria"/>
      <w:b/>
      <w:bCs/>
      <w:color w:val="163A5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2026-04-08T14:42:43.586Z</dcterms:created>
  <dcterms:modified xsi:type="dcterms:W3CDTF">2026-04-08T14:42:43.586Z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