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2.2  Faculty Discipline Workgroups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2: Faculty Workgroups &amp; Credit Recommendations  |  Goal 1  |  </w:t>
      </w:r>
      <w:r>
        <w:rPr>
          <w:color w:val="666666"/>
          <w:sz w:val="19"/>
          <w:szCs w:val="19"/>
          <w:rFonts w:ascii="Cambria" w:cs="Cambria" w:eastAsia="Cambria" w:hAnsi="Cambria"/>
        </w:rPr>
        <w:t xml:space="preserve">October 31,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44%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ASCCC / 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2.1 (ASCCC Pathways to Credit (V0718))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11 Cumulative discipline faculty workgroups active</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36</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11/6</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11/15</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11/19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11/25</w:t>
            </w:r>
          </w:p>
        </w:tc>
      </w:tr>
    </w:tbl>
    <w:p>
      <w:pPr>
        <w:pStyle w:val="Heading2"/>
      </w:pPr>
      <w:r>
        <w:t xml:space="preserve">Description</w:t>
      </w:r>
    </w:p>
    <w:p>
      <w:pPr>
        <w:spacing w:after="160"/>
      </w:pPr>
      <w:r>
        <w:rPr>
          <w:color w:val="444444"/>
          <w:sz w:val="21"/>
          <w:szCs w:val="21"/>
          <w:rFonts w:ascii="Cambria" w:cs="Cambria" w:eastAsia="Cambria" w:hAnsi="Cambria"/>
        </w:rPr>
        <w:t xml:space="preserve">Faculty and industry workgroups are convened to make statewide credit recommendations.</w:t>
      </w:r>
    </w:p>
    <w:p>
      <w:pPr>
        <w:pStyle w:val="Heading2"/>
      </w:pPr>
      <w:r>
        <w:t xml:space="preserve">Latest Update</w:t>
      </w:r>
    </w:p>
    <w:p>
      <w:pPr>
        <w:spacing w:after="60"/>
      </w:pPr>
      <w:r>
        <w:rPr>
          <w:color w:val="666666"/>
          <w:sz w:val="18"/>
          <w:szCs w:val="18"/>
          <w:rFonts w:ascii="Cambria" w:cs="Cambria" w:eastAsia="Cambria" w:hAnsi="Cambria"/>
        </w:rPr>
        <w:t xml:space="preserve">Date: 2026-10-18</w:t>
      </w:r>
    </w:p>
    <w:p>
      <w:pPr>
        <w:spacing w:after="160"/>
      </w:pPr>
      <w:r>
        <w:rPr>
          <w:color w:val="444444"/>
          <w:sz w:val="21"/>
          <w:szCs w:val="21"/>
          <w:rFonts w:ascii="Cambria" w:cs="Cambria" w:eastAsia="Cambria" w:hAnsi="Cambria"/>
        </w:rPr>
        <w:t xml:space="preserve">As of October 2026, the Faculty Discipline Workgroups have grown to 13 distinct groups, including the HVAC workgroup that concluded in September 2026. Leadership of these workgroups is transitioning to ASCCC Pathways to Credit.</w:t>
      </w:r>
    </w:p>
    <w:p>
      <w:pPr>
        <w:pStyle w:val="Heading2"/>
      </w:pPr>
      <w:r>
        <w:t xml:space="preserve">Workplan Notes</w:t>
      </w:r>
    </w:p>
    <w:p>
      <w:pPr>
        <w:spacing w:after="160"/>
      </w:pPr>
      <w:r>
        <w:rPr>
          <w:color w:val="444444"/>
          <w:sz w:val="21"/>
          <w:szCs w:val="21"/>
          <w:rFonts w:ascii="Cambria" w:cs="Cambria" w:eastAsia="Cambria" w:hAnsi="Cambria"/>
        </w:rPr>
        <w:t xml:space="preserve">11 of 25 target statewide faculty workgroups convened, recommending CPL for credentials and military training across high-demand disciplines. 40 disciplines planned by 2030.</w:t>
      </w:r>
    </w:p>
    <w:p>
      <w:pPr>
        <w:pStyle w:val="Heading2"/>
      </w:pPr>
      <w:r>
        <w:t xml:space="preserve">Milestones</w:t>
      </w:r>
    </w:p>
    <w:p>
      <w:pPr>
        <w:spacing w:after="160"/>
      </w:pPr>
      <w:r>
        <w:rPr>
          <w:color w:val="444444"/>
          <w:sz w:val="21"/>
          <w:szCs w:val="21"/>
          <w:rFonts w:ascii="Cambria" w:cs="Cambria" w:eastAsia="Cambria" w:hAnsi="Cambria"/>
        </w:rPr>
        <w:t xml:space="preserve">2025-26: 11 of 25 workgroups active; June 2026: Additional disciplines onboarded</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of 25 target statewide faculty workgroups convened, recommending CPL for credentials and military training across high-demand disciplines. 40 disciplines planned by 2030.</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11 workgroups convened spanning high-demand fields; 101 credential exhibits documented</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31,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Faculty Discipline Workgroups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2026-10-31T19:34:00.158Z</dcterms:created>
  <dcterms:modified xsi:type="dcterms:W3CDTF">2026-10-31T19:34:00.158Z</dcterms:modified>
</cp:coreProperties>
</file>

<file path=docProps/custom.xml><?xml version="1.0" encoding="utf-8"?>
<Properties xmlns="http://schemas.openxmlformats.org/officeDocument/2006/custom-properties" xmlns:vt="http://schemas.openxmlformats.org/officeDocument/2006/docPropsVTypes"/>
</file>