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4.2.1  AI Apprenticeship CPL Tools</w:t>
      </w:r>
    </w:p>
    <w:p>
      <w:pPr>
        <w:spacing w:after="80"/>
        <w:jc w:val="center"/>
      </w:pPr>
      <w:r>
        <w:rPr>
          <w:b/>
          <w:bCs/>
          <w:color w:val="C9A84C"/>
          <w:sz w:val="24"/>
          <w:szCs w:val="24"/>
          <w:rFonts w:ascii="Cambria" w:cs="Cambria" w:eastAsia="Cambria" w:hAnsi="Cambria"/>
        </w:rPr>
        <w:t xml:space="preserve">↑ In Progress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4: Sprints, Projects &amp; Partnerships  |  Goal 1; Goal 2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23,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30%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Terence Nelson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$1,400,000 (MAP Addendum - N2N Lightleap AI + $54,764 pilot)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How it is counted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Outcomes are identified in the project contract and counted when accomplished.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—/0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AI tools for apprenticeship/journey worker CPL, degree-progress reports, and outreach; pilot with construction/electrician trades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2026-10-15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The N2N/Prism pilot has expanded from Santiago Canyon to American River College and additional statewide use cases, achieving 93–95% course-mapping accuracy with human review, petition generation, and approved CPL data push to MAP. PeopleSoft integration is planned for American River, and MAP is evaluating complementary competency-reconstruction tools for apprenticeship-to-course comparison while prioritizing reliable implementation at initial colleges.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AI apprenticeship CPL tools Phase 1 in progress with construction and electrician trades at Santiago Canyon College and Norco College. Proof-of-concept pilot funded ($54,764). Phase 2 will scale statewide.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Phase 1: Construction and electrician trades at SCC and Norco; Phase 2: Scale statewide with trade partners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23,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AI Apprenticeship CPL Tools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2026-10-23T14:19:07.845Z</dcterms:created>
  <dcterms:modified xsi:type="dcterms:W3CDTF">2026-10-23T14:19:07.845Z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