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application/vnd.openxmlformats-package.relationships+xml" Extension="rels"/>
  <Default ContentType="application/xml" Extension="xml"/>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settings+xml" PartName="/word/settings.xml"/>
  <Override ContentType="application/vnd.openxmlformats-officedocument.wordprocessingml.comments+xml" PartName="/word/comments.xml"/>
  <Override ContentType="application/vnd.openxmlformats-officedocument.wordprocessingml.header+xml" PartName="/word/header1.xml"/>
  <Override ContentType="application/vnd.openxmlformats-officedocument.wordprocessingml.footer+xml" PartName="/word/footer1.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spacing w:before="400"/>
      </w:pPr>
    </w:p>
    <w:p>
      <w:pPr>
        <w:jc w:val="center"/>
      </w:pPr>
      <w:r>
        <w:rPr>
          <w:b/>
          <w:bCs/>
          <w:color w:val="0A2240"/>
          <w:sz w:val="32"/>
          <w:szCs w:val="32"/>
          <w:rFonts w:ascii="Cambria" w:cs="Cambria" w:eastAsia="Cambria" w:hAnsi="Cambria"/>
        </w:rPr>
        <w:t xml:space="preserve">3.1.2  CPL Offers &amp; Awards Tracking — Veterans &amp; Service Members</w:t>
      </w:r>
    </w:p>
    <w:p>
      <w:pPr>
        <w:spacing w:after="80"/>
        <w:jc w:val="center"/>
      </w:pPr>
      <w:r>
        <w:rPr>
          <w:b/>
          <w:bCs/>
          <w:color w:val="2A7D4F"/>
          <w:sz w:val="24"/>
          <w:szCs w:val="24"/>
          <w:rFonts w:ascii="Cambria" w:cs="Cambria" w:eastAsia="Cambria" w:hAnsi="Cambria"/>
        </w:rPr>
        <w:t xml:space="preserve">✔ Goal Met  </w:t>
      </w:r>
      <w:r>
        <w:rPr>
          <w:b/>
          <w:bCs/>
          <w:color w:val="C9A84C"/>
          <w:sz w:val="24"/>
          <w:szCs w:val="24"/>
          <w:rFonts w:ascii="Cambria" w:cs="Cambria" w:eastAsia="Cambria" w:hAnsi="Cambria"/>
        </w:rPr>
        <w:t xml:space="preserve">★ Stretch Met</w:t>
      </w:r>
    </w:p>
    <w:p>
      <w:pPr>
        <w:pBdr>
          <w:bottom w:val="single" w:color="C9A84C" w:sz="4" w:space="8"/>
        </w:pBdr>
        <w:spacing w:after="300"/>
        <w:jc w:val="center"/>
      </w:pPr>
      <w:r>
        <w:rPr>
          <w:color w:val="666666"/>
          <w:sz w:val="19"/>
          <w:szCs w:val="19"/>
          <w:rFonts w:ascii="Cambria" w:cs="Cambria" w:eastAsia="Cambria" w:hAnsi="Cambria"/>
        </w:rPr>
        <w:t xml:space="preserve">Activity 3: Scale CPL Access, Awards, and Procedures  |  Goal 2  |  </w:t>
      </w:r>
      <w:r>
        <w:rPr>
          <w:color w:val="666666"/>
          <w:sz w:val="19"/>
          <w:szCs w:val="19"/>
          <w:rFonts w:ascii="Cambria" w:cs="Cambria" w:eastAsia="Cambria" w:hAnsi="Cambria"/>
        </w:rPr>
        <w:t xml:space="preserve">October 28, 2026</w:t>
      </w:r>
    </w:p>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3600"/>
        <w:gridCol w:w="7200"/>
      </w:tblGrid>
      <w:tr>
        <w:tc>
          <w:tcPr>
            <w:tcW w:type="dxa" w:w="36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Status</w:t>
            </w:r>
          </w:p>
        </w:tc>
        <w:tc>
          <w:tcPr>
            <w:tcW w:type="dxa" w:w="72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bCs/>
                <w:color w:val="2A7D4F"/>
                <w:sz w:val="20"/>
                <w:szCs w:val="20"/>
                <w:rFonts w:ascii="Cambria" w:cs="Cambria" w:eastAsia="Cambria" w:hAnsi="Cambria"/>
              </w:rPr>
              <w:t xml:space="preserve">Stretch Met</w:t>
            </w:r>
          </w:p>
        </w:tc>
      </w:tr>
      <w:tr>
        <w:tc>
          <w:tcPr>
            <w:tcW w:type="dxa" w:w="3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Progress</w:t>
            </w:r>
          </w:p>
        </w:tc>
        <w:tc>
          <w:tcPr>
            <w:tcW w:type="dxa" w:w="72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bCs/>
                <w:color w:val="2A7D4F"/>
                <w:sz w:val="20"/>
                <w:szCs w:val="20"/>
                <w:rFonts w:ascii="Cambria" w:cs="Cambria" w:eastAsia="Cambria" w:hAnsi="Cambria"/>
              </w:rPr>
              <w:t xml:space="preserve">85%</w:t>
            </w:r>
          </w:p>
        </w:tc>
      </w:tr>
      <w:tr>
        <w:tc>
          <w:tcPr>
            <w:tcW w:type="dxa" w:w="36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Lead</w:t>
            </w:r>
          </w:p>
        </w:tc>
        <w:tc>
          <w:tcPr>
            <w:tcW w:type="dxa" w:w="72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val="false"/>
                <w:bCs w:val="false"/>
                <w:color w:val="333333"/>
                <w:sz w:val="20"/>
                <w:szCs w:val="20"/>
                <w:rFonts w:ascii="Cambria" w:cs="Cambria" w:eastAsia="Cambria" w:hAnsi="Cambria"/>
              </w:rPr>
              <w:t xml:space="preserve">Samuel Lee / Crystal Nasio</w:t>
            </w:r>
          </w:p>
        </w:tc>
      </w:tr>
      <w:tr>
        <w:tc>
          <w:tcPr>
            <w:tcW w:type="dxa" w:w="3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Budget</w:t>
            </w:r>
          </w:p>
        </w:tc>
        <w:tc>
          <w:tcPr>
            <w:tcW w:type="dxa" w:w="72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val="false"/>
                <w:bCs w:val="false"/>
                <w:color w:val="333333"/>
                <w:sz w:val="20"/>
                <w:szCs w:val="20"/>
                <w:rFonts w:ascii="Cambria" w:cs="Cambria" w:eastAsia="Cambria" w:hAnsi="Cambria"/>
              </w:rPr>
              <w:t xml:space="preserve">Included in operations (CPL Operations (ongoing $5M))</w:t>
            </w:r>
          </w:p>
        </w:tc>
      </w:tr>
      <w:tr>
        <w:tc>
          <w:tcPr>
            <w:tcW w:type="dxa" w:w="36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KPI Current</w:t>
            </w:r>
          </w:p>
        </w:tc>
        <w:tc>
          <w:tcPr>
            <w:tcW w:type="dxa" w:w="72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val="false"/>
                <w:bCs w:val="false"/>
                <w:color w:val="0A2240"/>
                <w:sz w:val="20"/>
                <w:szCs w:val="20"/>
                <w:rFonts w:ascii="Cambria" w:cs="Cambria" w:eastAsia="Cambria" w:hAnsi="Cambria"/>
              </w:rPr>
              <w:t xml:space="preserve">22,149 cumulative veterans and service members served with CPL</w:t>
            </w:r>
          </w:p>
        </w:tc>
      </w:tr>
      <w:tr>
        <w:tc>
          <w:tcPr>
            <w:tcW w:type="dxa" w:w="3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2030 Goal</w:t>
            </w:r>
          </w:p>
        </w:tc>
        <w:tc>
          <w:tcPr>
            <w:tcW w:type="dxa" w:w="72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val="false"/>
                <w:bCs w:val="false"/>
                <w:color w:val="0A2240"/>
                <w:sz w:val="20"/>
                <w:szCs w:val="20"/>
                <w:rFonts w:ascii="Cambria" w:cs="Cambria" w:eastAsia="Cambria" w:hAnsi="Cambria"/>
              </w:rPr>
              <w:t xml:space="preserve">70,000</w:t>
            </w:r>
          </w:p>
        </w:tc>
      </w:tr>
      <w:tr>
        <w:tc>
          <w:tcPr>
            <w:tcW w:type="dxa" w:w="36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2030 Stretch</w:t>
            </w:r>
          </w:p>
        </w:tc>
        <w:tc>
          <w:tcPr>
            <w:tcW w:type="dxa" w:w="72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val="false"/>
                <w:bCs w:val="false"/>
                <w:color w:val="C9A84C"/>
                <w:sz w:val="20"/>
                <w:szCs w:val="20"/>
                <w:rFonts w:ascii="Cambria" w:cs="Cambria" w:eastAsia="Cambria" w:hAnsi="Cambria"/>
              </w:rPr>
              <w:t xml:space="preserve">85,000</w:t>
            </w:r>
          </w:p>
        </w:tc>
      </w:tr>
      <w:tr>
        <w:tc>
          <w:tcPr>
            <w:tcW w:type="dxa" w:w="3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25-26</w:t>
            </w:r>
          </w:p>
        </w:tc>
        <w:tc>
          <w:tcPr>
            <w:tcW w:type="dxa" w:w="72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val="false"/>
                <w:bCs w:val="false"/>
                <w:color w:val="333333"/>
                <w:sz w:val="20"/>
                <w:szCs w:val="20"/>
                <w:rFonts w:ascii="Cambria" w:cs="Cambria" w:eastAsia="Cambria" w:hAnsi="Cambria"/>
              </w:rPr>
              <w:t xml:space="preserve">22,149/30,000</w:t>
            </w:r>
          </w:p>
        </w:tc>
      </w:tr>
      <w:tr>
        <w:tc>
          <w:tcPr>
            <w:tcW w:type="dxa" w:w="36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26-27</w:t>
            </w:r>
          </w:p>
        </w:tc>
        <w:tc>
          <w:tcPr>
            <w:tcW w:type="dxa" w:w="72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val="false"/>
                <w:bCs w:val="false"/>
                <w:color w:val="333333"/>
                <w:sz w:val="20"/>
                <w:szCs w:val="20"/>
                <w:rFonts w:ascii="Cambria" w:cs="Cambria" w:eastAsia="Cambria" w:hAnsi="Cambria"/>
              </w:rPr>
              <w:t xml:space="preserve">22,149/40,000</w:t>
            </w:r>
          </w:p>
        </w:tc>
      </w:tr>
      <w:tr>
        <w:tc>
          <w:tcPr>
            <w:tcW w:type="dxa" w:w="3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27-28</w:t>
            </w:r>
          </w:p>
        </w:tc>
        <w:tc>
          <w:tcPr>
            <w:tcW w:type="dxa" w:w="72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val="false"/>
                <w:bCs w:val="false"/>
                <w:color w:val="333333"/>
                <w:sz w:val="20"/>
                <w:szCs w:val="20"/>
                <w:rFonts w:ascii="Cambria" w:cs="Cambria" w:eastAsia="Cambria" w:hAnsi="Cambria"/>
              </w:rPr>
              <w:t xml:space="preserve">22,149/50,000</w:t>
            </w:r>
          </w:p>
        </w:tc>
      </w:tr>
      <w:tr>
        <w:tc>
          <w:tcPr>
            <w:tcW w:type="dxa" w:w="36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28-29</w:t>
            </w:r>
          </w:p>
        </w:tc>
        <w:tc>
          <w:tcPr>
            <w:tcW w:type="dxa" w:w="72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val="false"/>
                <w:bCs w:val="false"/>
                <w:color w:val="333333"/>
                <w:sz w:val="20"/>
                <w:szCs w:val="20"/>
                <w:rFonts w:ascii="Cambria" w:cs="Cambria" w:eastAsia="Cambria" w:hAnsi="Cambria"/>
              </w:rPr>
              <w:t xml:space="preserve">22,149/60,000</w:t>
            </w:r>
          </w:p>
        </w:tc>
      </w:tr>
      <w:tr>
        <w:tc>
          <w:tcPr>
            <w:tcW w:type="dxa" w:w="3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29-30</w:t>
            </w:r>
          </w:p>
        </w:tc>
        <w:tc>
          <w:tcPr>
            <w:tcW w:type="dxa" w:w="72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val="false"/>
                <w:bCs w:val="false"/>
                <w:color w:val="333333"/>
                <w:sz w:val="20"/>
                <w:szCs w:val="20"/>
                <w:rFonts w:ascii="Cambria" w:cs="Cambria" w:eastAsia="Cambria" w:hAnsi="Cambria"/>
              </w:rPr>
              <w:t xml:space="preserve">22,149/70,000</w:t>
            </w:r>
          </w:p>
        </w:tc>
      </w:tr>
    </w:tbl>
    <w:p>
      <w:pPr>
        <w:pStyle w:val="Heading2"/>
      </w:pPr>
      <w:r>
        <w:t xml:space="preserve">Description</w:t>
      </w:r>
    </w:p>
    <w:p>
      <w:pPr>
        <w:spacing w:after="160"/>
      </w:pPr>
      <w:r>
        <w:rPr>
          <w:color w:val="444444"/>
          <w:sz w:val="21"/>
          <w:szCs w:val="21"/>
          <w:rFonts w:ascii="Cambria" w:cs="Cambria" w:eastAsia="Cambria" w:hAnsi="Cambria"/>
        </w:rPr>
        <w:t xml:space="preserve">Of the 250,000, expand equitable CPL access to 70,000 cumulative veterans and service members by 2030.</w:t>
      </w:r>
    </w:p>
    <w:p>
      <w:pPr>
        <w:pStyle w:val="Heading2"/>
      </w:pPr>
      <w:r>
        <w:t xml:space="preserve">Latest Update</w:t>
      </w:r>
    </w:p>
    <w:p>
      <w:pPr>
        <w:spacing w:after="60"/>
      </w:pPr>
      <w:r>
        <w:rPr>
          <w:color w:val="666666"/>
          <w:sz w:val="18"/>
          <w:szCs w:val="18"/>
          <w:rFonts w:ascii="Cambria" w:cs="Cambria" w:eastAsia="Cambria" w:hAnsi="Cambria"/>
        </w:rPr>
        <w:t xml:space="preserve">Date: 2026-10-19</w:t>
      </w:r>
    </w:p>
    <w:p>
      <w:pPr>
        <w:spacing w:after="160"/>
      </w:pPr>
      <w:r>
        <w:rPr>
          <w:color w:val="444444"/>
          <w:sz w:val="21"/>
          <w:szCs w:val="21"/>
          <w:rFonts w:ascii="Cambria" w:cs="Cambria" w:eastAsia="Cambria" w:hAnsi="Cambria"/>
        </w:rPr>
        <w:t xml:space="preserve">Since May 1st, 2026, CCCCO Veteran Sprint Updates – Goal 1: 5, 768 new Joint Services Transcripts were uploaded in MAP platform. Last Thursday (MAP CPL Statewide Workgroup (October 15th, 2026), Calvin Gloria and Malone Dunlavy announced MAP Dashboard updates in updating 2024/2025 MIS numbers to 2025/2026 MIS numbers effective November 1st, 2026). The MAP team will close the remaining JST upload gap by providing individualized support to colleges still in progress, expanding bulk-order training through the JST Portal, and implementing a CCCCO bulk-order process through CCCApply OPT-IN. In partnership with the Department of War, the CCCCO is close to finalizing a statewide solution that will allow JSTs to be ordered on students' behalf for all 115 California Community Colleges, reducing the administrative burden on colleges and making JST collection a centralized, system-wide service (awaiting CCCCO GC). To date (October 19th, 2026), there are 29,162 JSTs uploaded into the MAP platform. Goal 2: Support the remaining colleges in replacing waive, clear, or satisfy designations with actual Health and Kinesiology course credit for basic military training. Provide the Statewide CPL Basic Military Training Exhibit and work with Health and Kinesiology faculty to approve and implement course credit. To date (October 19th, 2026), there are 20+ CCCs offering course credit and documented publicly in MAP CPL Landing Pages. Many colleges via course catalogs offer this credit in forms of waive, clear, or satisfy currently only - shifting to course credit is a massive lift but will be focusing on this in Fall/Spring semester (all documented in MAP Platform Module). Some colleges refuse to comply with Goal 2 (e.g., LACCD). Goal 3: 21 colleges in total created 127 unique college courses implemented, 243 unique CRs implemented, and 225 All CRs implemented. The MAP team will provide demonstrations, professional development, and one-on-one implementation support to help colleges award military Credit for Prior Learning.</w:t>
      </w:r>
    </w:p>
    <w:p>
      <w:pPr>
        <w:pStyle w:val="Heading2"/>
      </w:pPr>
      <w:r>
        <w:t xml:space="preserve">Workplan Notes</w:t>
      </w:r>
    </w:p>
    <w:p>
      <w:pPr>
        <w:spacing w:after="160"/>
      </w:pPr>
      <w:r>
        <w:rPr>
          <w:color w:val="444444"/>
          <w:sz w:val="21"/>
          <w:szCs w:val="21"/>
          <w:rFonts w:ascii="Cambria" w:cs="Cambria" w:eastAsia="Cambria" w:hAnsi="Cambria"/>
        </w:rPr>
        <w:t xml:space="preserve">21552 cumulative veterans and service members offered some form of CPL as of 4/7/2026 per the CPL Dashboard. Short of the ambitious Veteran Sprint Goal of 30,000 but on track to achieve the target by June 30, 2026.</w:t>
      </w:r>
    </w:p>
    <w:p>
      <w:pPr>
        <w:pStyle w:val="Heading2"/>
      </w:pPr>
      <w:r>
        <w:t xml:space="preserve">Milestones</w:t>
      </w:r>
    </w:p>
    <w:p>
      <w:pPr>
        <w:spacing w:after="160"/>
      </w:pPr>
      <w:r>
        <w:rPr>
          <w:color w:val="444444"/>
          <w:sz w:val="21"/>
          <w:szCs w:val="21"/>
          <w:rFonts w:ascii="Cambria" w:cs="Cambria" w:eastAsia="Cambria" w:hAnsi="Cambria"/>
        </w:rPr>
        <w:t xml:space="preserve">2025-26 target: 35,000 (exceeded at 42,958); 2030: 250,000</w:t>
      </w:r>
    </w:p>
    <w:p>
      <w:pPr>
        <w:pStyle w:val="Heading2"/>
      </w:pPr>
      <w:r>
        <w:t xml:space="preserve">Update Log</w:t>
      </w:r>
    </w:p>
    <w:p>
      <w:pPr>
        <w:spacing w:after="100"/>
      </w:pPr>
      <w:r>
        <w:rPr>
          <w:color w:val="666666"/>
          <w:sz w:val="18"/>
          <w:szCs w:val="18"/>
          <w:rFonts w:ascii="Cambria" w:cs="Cambria" w:eastAsia="Cambria" w:hAnsi="Cambria"/>
        </w:rPr>
        <w:t xml:space="preserve">2 logged updates — newest first</w:t>
      </w:r>
    </w:p>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1800"/>
        <w:gridCol w:w="1600"/>
        <w:gridCol w:w="7400"/>
      </w:tblGrid>
      <w:tr>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left"/>
            </w:pPr>
            <w:r>
              <w:rPr>
                <w:b/>
                <w:bCs/>
                <w:color w:val="FFFFFF"/>
                <w:sz w:val="18"/>
                <w:szCs w:val="18"/>
                <w:rFonts w:ascii="Cambria" w:cs="Cambria" w:eastAsia="Cambria" w:hAnsi="Cambria"/>
              </w:rPr>
              <w:t xml:space="preserve">Date</w:t>
            </w:r>
          </w:p>
        </w:tc>
        <w:tc>
          <w:tcPr>
            <w:tcW w:type="dxa" w:w="16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8"/>
                <w:szCs w:val="18"/>
                <w:rFonts w:ascii="Cambria" w:cs="Cambria" w:eastAsia="Cambria" w:hAnsi="Cambria"/>
              </w:rPr>
              <w:t xml:space="preserve">Type</w:t>
            </w:r>
          </w:p>
        </w:tc>
        <w:tc>
          <w:tcPr>
            <w:tcW w:type="dxa" w:w="74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left"/>
            </w:pPr>
            <w:r>
              <w:rPr>
                <w:b/>
                <w:bCs/>
                <w:color w:val="FFFFFF"/>
                <w:sz w:val="18"/>
                <w:szCs w:val="18"/>
                <w:rFonts w:ascii="Cambria" w:cs="Cambria" w:eastAsia="Cambria" w:hAnsi="Cambria"/>
              </w:rPr>
              <w:t xml:space="preserve">Note</w:t>
            </w:r>
          </w:p>
        </w:tc>
      </w:tr>
      <w:tr>
        <w:tc>
          <w:tcPr>
            <w:tcW w:type="dxa" w:w="18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left"/>
            </w:pPr>
            <w:r>
              <w:rPr>
                <w:b w:val="false"/>
                <w:bCs w:val="false"/>
                <w:color w:val="666666"/>
                <w:sz w:val="18"/>
                <w:szCs w:val="18"/>
                <w:rFonts w:ascii="Cambria" w:cs="Cambria" w:eastAsia="Cambria" w:hAnsi="Cambria"/>
              </w:rPr>
              <w:t xml:space="preserve">2026-04-08</w:t>
            </w:r>
          </w:p>
        </w:tc>
        <w:tc>
          <w:tcPr>
            <w:tcW w:type="dxa" w:w="16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center"/>
            </w:pPr>
            <w:r>
              <w:rPr>
                <w:b/>
                <w:bCs/>
                <w:color w:val="163A5F"/>
                <w:sz w:val="17"/>
                <w:szCs w:val="17"/>
                <w:rFonts w:ascii="Cambria" w:cs="Cambria" w:eastAsia="Cambria" w:hAnsi="Cambria"/>
              </w:rPr>
              <w:t xml:space="preserve">Progress Update</w:t>
            </w:r>
          </w:p>
        </w:tc>
        <w:tc>
          <w:tcPr>
            <w:tcW w:type="dxa" w:w="74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left"/>
            </w:pPr>
            <w:r>
              <w:rPr>
                <w:b w:val="false"/>
                <w:bCs w:val="false"/>
                <w:color w:val="333333"/>
                <w:sz w:val="18"/>
                <w:szCs w:val="18"/>
                <w:rFonts w:ascii="Cambria" w:cs="Cambria" w:eastAsia="Cambria" w:hAnsi="Cambria"/>
              </w:rPr>
              <w:t xml:space="preserve">Cumulative veterans and service members served with CPL exceeded 2025-26 annual target</w:t>
            </w:r>
          </w:p>
        </w:tc>
      </w:tr>
      <w:tr>
        <w:tc>
          <w:tcPr>
            <w:tcW w:type="dxa" w:w="18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val="false"/>
                <w:bCs w:val="false"/>
                <w:color w:val="666666"/>
                <w:sz w:val="18"/>
                <w:szCs w:val="18"/>
                <w:rFonts w:ascii="Cambria" w:cs="Cambria" w:eastAsia="Cambria" w:hAnsi="Cambria"/>
              </w:rPr>
              <w:t xml:space="preserve">2026-04-08</w:t>
            </w:r>
          </w:p>
        </w:tc>
        <w:tc>
          <w:tcPr>
            <w:tcW w:type="dxa" w:w="1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center"/>
            </w:pPr>
            <w:r>
              <w:rPr>
                <w:b/>
                <w:bCs/>
                <w:color w:val="C9A84C"/>
                <w:sz w:val="17"/>
                <w:szCs w:val="17"/>
                <w:rFonts w:ascii="Cambria" w:cs="Cambria" w:eastAsia="Cambria" w:hAnsi="Cambria"/>
              </w:rPr>
              <w:t xml:space="preserve">Workplan</w:t>
            </w:r>
          </w:p>
        </w:tc>
        <w:tc>
          <w:tcPr>
            <w:tcW w:type="dxa" w:w="74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val="false"/>
                <w:bCs w:val="false"/>
                <w:color w:val="333333"/>
                <w:sz w:val="18"/>
                <w:szCs w:val="18"/>
                <w:rFonts w:ascii="Cambria" w:cs="Cambria" w:eastAsia="Cambria" w:hAnsi="Cambria"/>
              </w:rPr>
              <w:t xml:space="preserve">21552 cumulative veterans and service members offered some form of CPL as of 4/7/2026 per the CPL Dashboard. Short of the ambitious Veteran Sprint Goal of 30,000 but on track to achieve the target by June 30, 2026.</w:t>
            </w:r>
          </w:p>
        </w:tc>
      </w:tr>
    </w:tbl>
    <w:sectPr>
      <w:headerReference w:type="default" r:id="rId6"/>
      <w:footerReference w:type="default" r:id="rId7"/>
      <w:pgSz w:w="12240" w:h="15840" w:orient="portrait"/>
      <w:pgMar w:top="720" w:right="720" w:bottom="720" w:left="720" w:header="708" w:footer="708" w:gutter="0"/>
      <w:pgNumType/>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footer1.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w:p>
    <w:pPr>
      <w:pBdr>
        <w:top w:val="single" w:color="DDDDDD" w:sz="2" w:space="4"/>
      </w:pBdr>
      <w:tabs>
        <w:tab w:val="right" w:pos="9026"/>
      </w:tabs>
    </w:pPr>
    <w:r>
      <w:rPr>
        <w:color w:val="666666"/>
        <w:sz w:val="14"/>
        <w:szCs w:val="14"/>
        <w:rFonts w:ascii="Cambria" w:cs="Cambria" w:eastAsia="Cambria" w:hAnsi="Cambria"/>
      </w:rPr>
      <w:t xml:space="preserve">Generated October 28, 2026  |  California Community Colleges  |  CPL Initiative</w:t>
    </w:r>
    <w:r>
      <w:rPr>
        <w:rFonts w:ascii="Cambria" w:cs="Cambria" w:eastAsia="Cambria" w:hAnsi="Cambria"/>
      </w:rPr>
      <w:t xml:space="preserve">	</w:t>
    </w:r>
    <w:r>
      <w:rPr>
        <w:color w:val="666666"/>
        <w:sz w:val="14"/>
        <w:szCs w:val="14"/>
        <w:rFonts w:ascii="Cambria" w:cs="Cambria" w:eastAsia="Cambria" w:hAnsi="Cambria"/>
      </w:rPr>
      <w:t xml:space="preserve">Page </w:t>
    </w:r>
    <w:r>
      <w:rPr>
        <w:color w:val="666666"/>
        <w:sz w:val="14"/>
        <w:szCs w:val="14"/>
        <w:rFonts w:ascii="Cambria" w:cs="Cambria" w:eastAsia="Cambria" w:hAnsi="Cambria"/>
      </w:rPr>
      <w:fldChar w:fldCharType="begin"/>
      <w:instrText xml:space="preserve">PAGE</w:instrText>
      <w:fldChar w:fldCharType="separate"/>
      <w:fldChar w:fldCharType="end"/>
    </w:r>
  </w:p>
</w:ftr>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header1.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w16cid="http://schemas.microsoft.com/office/word/2016/wordml/cid" xmlns:w16se="http://schemas.microsoft.com/office/word/2015/wordml/symex">
  <w:p>
    <w:pPr>
      <w:pBdr>
        <w:bottom w:val="single" w:color="C9A84C" w:sz="4" w:space="4"/>
      </w:pBdr>
      <w:tabs>
        <w:tab w:val="right" w:pos="9026"/>
      </w:tabs>
    </w:pPr>
    <w:r>
      <w:rPr>
        <w:b/>
        <w:bCs/>
        <w:color w:val="0A2240"/>
        <w:sz w:val="16"/>
        <w:szCs w:val="16"/>
        <w:rFonts w:ascii="Cambria" w:cs="Cambria" w:eastAsia="Cambria" w:hAnsi="Cambria"/>
      </w:rPr>
      <w:t xml:space="preserve">Credit for Prior Learning Workplan  </w:t>
    </w:r>
    <w:r>
      <w:rPr>
        <w:color w:val="666666"/>
        <w:sz w:val="16"/>
        <w:szCs w:val="16"/>
        <w:rFonts w:ascii="Cambria" w:cs="Cambria" w:eastAsia="Cambria" w:hAnsi="Cambria"/>
      </w:rPr>
      <w:t xml:space="preserve">|  CPL Offers &amp; Awards Tracking — Veterans &amp; Service Members</w:t>
    </w:r>
  </w:p>
</w:hdr>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abstractNum w:abstractNumId="2" w15:restartNumberingAfterBreak="0">
    <w:multiLevelType w:val="hybridMultilevel"/>
    <w:lvl w:ilvl="0" w15:tentative="1">
      <w:start w:val="1"/>
      <w:numFmt w:val="bullet"/>
      <w:lvlText w:val="•"/>
      <w:lvlJc w:val="left"/>
      <w:pPr>
        <w:ind w:left="540" w:hanging="270"/>
      </w:pPr>
    </w:lvl>
  </w:abstractNum>
  <w:abstractNum w:abstractNumId="3" w15:restartNumberingAfterBreak="0">
    <w:multiLevelType w:val="hybridMultilevel"/>
    <w:lvl w:ilvl="0" w15:tentative="1">
      <w:start w:val="1"/>
      <w:numFmt w:val="bullet"/>
      <w:lvlText w:val="•"/>
      <w:lvlJc w:val="left"/>
      <w:pPr>
        <w:ind w:left="540" w:hanging="270"/>
      </w:pPr>
    </w:lvl>
  </w:abstractNum>
  <w:num w:numId="1">
    <w:abstractNumId w:val="1"/>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uri="http://schemas.microsoft.com/office/word" w:name="compatibilityMode"/>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sz w:val="22"/>
        <w:szCs w:val="22"/>
        <w:rFonts w:ascii="Cambria" w:cs="Cambria" w:eastAsia="Cambria" w:hAnsi="Cambria"/>
      </w:rPr>
    </w:rPrDefault>
    <w:pPrDefault/>
  </w:docDefaults>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u w:val="single"/>
      <w:color w:val="0563C1"/>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paragraph" w:styleId="Heading1">
    <w:name w:val="Heading 1"/>
    <w:basedOn w:val="Normal"/>
    <w:next w:val="Normal"/>
    <w:qFormat/>
    <w:pPr>
      <w:spacing w:before="300" w:after="160"/>
      <w:outlineLvl w:val="0"/>
    </w:pPr>
    <w:rPr>
      <w:b/>
      <w:bCs/>
      <w:color w:val="0A2240"/>
      <w:sz w:val="32"/>
      <w:szCs w:val="32"/>
      <w:rFonts w:ascii="Cambria" w:cs="Cambria" w:eastAsia="Cambria" w:hAnsi="Cambria"/>
    </w:rPr>
  </w:style>
  <w:style w:type="paragraph" w:styleId="Heading2">
    <w:name w:val="Heading 2"/>
    <w:basedOn w:val="Normal"/>
    <w:next w:val="Normal"/>
    <w:qFormat/>
    <w:pPr>
      <w:spacing w:before="240" w:after="120"/>
      <w:outlineLvl w:val="1"/>
    </w:pPr>
    <w:rPr>
      <w:b/>
      <w:bCs/>
      <w:color w:val="163A5F"/>
      <w:sz w:val="26"/>
      <w:szCs w:val="26"/>
      <w:rFonts w:ascii="Cambria" w:cs="Cambria" w:eastAsia="Cambria" w:hAnsi="Cambria"/>
    </w:rPr>
  </w:style>
  <w:style w:type="paragraph" w:styleId="Heading3">
    <w:name w:val="Heading 3"/>
    <w:basedOn w:val="Normal"/>
    <w:next w:val="Normal"/>
    <w:qFormat/>
    <w:pPr>
      <w:spacing w:before="180" w:after="100"/>
      <w:outlineLvl w:val="2"/>
    </w:pPr>
    <w:rPr>
      <w:b/>
      <w:bCs/>
      <w:color w:val="163A5F"/>
      <w:sz w:val="23"/>
      <w:szCs w:val="23"/>
      <w:rFonts w:ascii="Cambria" w:cs="Cambria" w:eastAsia="Cambria" w:hAnsi="Cambria"/>
    </w:rPr>
  </w:style>
</w:style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settings" Target="settings.xml"/><Relationship Id="rId5" Type="http://schemas.openxmlformats.org/officeDocument/2006/relationships/comments" Target="comments.xml"/><Relationship Id="rId6" Type="http://schemas.openxmlformats.org/officeDocument/2006/relationships/header" Target="header1.xml"/><Relationship Id="rId7" Type="http://schemas.openxmlformats.org/officeDocument/2006/relationships/footer" Target="footer1.xml"/></Relationships>
</file>

<file path=word/_rels/footer1.xml.rels><?xml version="1.0" encoding="UTF-8"?><Relationships xmlns="http://schemas.openxmlformats.org/package/2006/relationships"/>
</file>

<file path=word/_rels/footnotes.xml.rels><?xml version="1.0" encoding="UTF-8"?><Relationships xmlns="http://schemas.openxmlformats.org/package/2006/relationships"/>
</file>

<file path=word/_rels/header1.xml.rels><?xml version="1.0" encoding="UTF-8"?><Relationships xmlns="http://schemas.openxmlformats.org/package/2006/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Un-named</dc:creator>
  <cp:lastModifiedBy>Un-named</cp:lastModifiedBy>
  <cp:revision>1</cp:revision>
  <dcterms:created xsi:type="dcterms:W3CDTF">2026-10-28T18:30:37.371Z</dcterms:created>
  <dcterms:modified xsi:type="dcterms:W3CDTF">2026-10-28T18:30:37.371Z</dcterms:modified>
</cp:coreProperties>
</file>

<file path=docProps/custom.xml><?xml version="1.0" encoding="utf-8"?>
<Properties xmlns="http://schemas.openxmlformats.org/officeDocument/2006/custom-properties" xmlns:vt="http://schemas.openxmlformats.org/officeDocument/2006/docPropsVTypes"/>
</file>