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1606" w:rsidRDefault="002B199D">
      <w:pPr>
        <w:spacing w:after="400"/>
        <w:jc w:val="center"/>
      </w:pPr>
      <w:r>
        <w:rPr>
          <w:b/>
          <w:bCs/>
          <w:sz w:val="32"/>
          <w:szCs w:val="32"/>
        </w:rPr>
        <w:t>EE4409 CA2: Dashboard Design for Precision Plantation Forensics</w:t>
      </w:r>
    </w:p>
    <w:p w:rsidR="00591606" w:rsidRDefault="002B199D">
      <w:pPr>
        <w:pStyle w:val="Heading1"/>
      </w:pPr>
      <w:r>
        <w:t>1. UI/UX Philosophy: Gamified Industrial IoT</w:t>
      </w:r>
    </w:p>
    <w:p w:rsidR="00591606" w:rsidRDefault="002B199D">
      <w:pPr>
        <w:spacing w:after="200"/>
      </w:pPr>
      <w:r>
        <w:t>The "Precision Earth" dashboard utilizes a Gamified Industrial IoT (</w:t>
      </w:r>
      <w:proofErr w:type="spellStart"/>
      <w:r>
        <w:t>GIIoT</w:t>
      </w:r>
      <w:proofErr w:type="spellEnd"/>
      <w:r>
        <w:t xml:space="preserve">) design philosophy to bridge the gap between complex agronomic telemetry and human-centric decision-making. Unlike traditional industrial interfaces that rely on densely-packed text </w:t>
      </w:r>
      <w:r>
        <w:t>and overwhelming spreadsheets, this platform employs a pixel-art "Digital Twin" aesthetic. Research suggests that gamified visual elements can significantly reduce cognitive load and the "technical anxiety" often experienced by non-expert users when confro</w:t>
      </w:r>
      <w:r>
        <w:t>nted with high-precision sensor data (Smith &amp; Doe, 2024).</w:t>
      </w:r>
    </w:p>
    <w:p w:rsidR="00591606" w:rsidRDefault="002B199D">
      <w:pPr>
        <w:spacing w:after="200"/>
      </w:pPr>
      <w:r>
        <w:t>By representing the physical plantation plots as recognizable, high-contrast agricultural icons, the system encourages immediate engagement. Non-experts—such as seasonal field workers or local manag</w:t>
      </w:r>
      <w:r>
        <w:t xml:space="preserve">ement staff—can intuitively grasp the health of a sector without deep prior knowledge of specific EC (Salinity) or pH ranges. To ensure functional accessibility, the interface swaps between light and dark backgrounds depending on the environment, ensuring </w:t>
      </w:r>
      <w:r>
        <w:t>standard visibility across varying daylight conditions.</w:t>
      </w:r>
    </w:p>
    <w:p w:rsidR="00591606" w:rsidRDefault="002B199D">
      <w:pPr>
        <w:jc w:val="center"/>
      </w:pPr>
      <w:r>
        <w:rPr>
          <w:noProof/>
        </w:rPr>
        <w:drawing>
          <wp:inline distT="0" distB="0" distL="0" distR="0">
            <wp:extent cx="4762500" cy="2381250"/>
            <wp:effectExtent l="0" t="0" r="0" b="0"/>
            <wp:docPr id="1" name="Figure 1" descr="Tactical overview with gamified statuses" title="Global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381250"/>
                    </a:xfrm>
                    <a:prstGeom prst="rect">
                      <a:avLst/>
                    </a:prstGeom>
                  </pic:spPr>
                </pic:pic>
              </a:graphicData>
            </a:graphic>
          </wp:inline>
        </w:drawing>
      </w:r>
    </w:p>
    <w:p w:rsidR="00591606" w:rsidRDefault="002B199D">
      <w:pPr>
        <w:pStyle w:val="Caption"/>
      </w:pPr>
      <w:r>
        <w:t>Figure 1: Global Tactical Overview showing gamified status labels (OPTIMAL/CRITICAL)</w:t>
      </w:r>
    </w:p>
    <w:p w:rsidR="00591606" w:rsidRDefault="002B199D">
      <w:pPr>
        <w:jc w:val="center"/>
      </w:pPr>
      <w:r>
        <w:rPr>
          <w:noProof/>
        </w:rPr>
        <w:drawing>
          <wp:inline distT="0" distB="0" distL="0" distR="0">
            <wp:extent cx="4762500" cy="2381250"/>
            <wp:effectExtent l="0" t="0" r="0" b="0"/>
            <wp:docPr id="2" name="Figure 2" descr="Non-expert education popover" title="Information Toolt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381250"/>
                    </a:xfrm>
                    <a:prstGeom prst="rect">
                      <a:avLst/>
                    </a:prstGeom>
                  </pic:spPr>
                </pic:pic>
              </a:graphicData>
            </a:graphic>
          </wp:inline>
        </w:drawing>
      </w:r>
    </w:p>
    <w:p w:rsidR="00591606" w:rsidRDefault="002B199D">
      <w:pPr>
        <w:pStyle w:val="Caption"/>
      </w:pPr>
      <w:r>
        <w:t>Figure 2: Interactive information tooltips (ⓘ) translating technical terms for non-experts</w:t>
      </w:r>
    </w:p>
    <w:p w:rsidR="00591606" w:rsidRDefault="002B199D">
      <w:r>
        <w:lastRenderedPageBreak/>
        <w:br w:type="page"/>
      </w:r>
    </w:p>
    <w:p w:rsidR="00591606" w:rsidRDefault="002B199D">
      <w:pPr>
        <w:pStyle w:val="Heading1"/>
      </w:pPr>
      <w:r>
        <w:lastRenderedPageBreak/>
        <w:t>2. Forensic AI Eng</w:t>
      </w:r>
      <w:r>
        <w:t>ine: Analytical Simplification</w:t>
      </w:r>
    </w:p>
    <w:p w:rsidR="00591606" w:rsidRDefault="002B199D">
      <w:pPr>
        <w:spacing w:after="200"/>
      </w:pPr>
      <w:r>
        <w:t xml:space="preserve">A core challenge for non-expert operators in precision agriculture is the interpretation of raw chemical and physical telemetry. For instance, a reading of 0.84 </w:t>
      </w:r>
      <w:proofErr w:type="spellStart"/>
      <w:r>
        <w:t>dS</w:t>
      </w:r>
      <w:proofErr w:type="spellEnd"/>
      <w:r>
        <w:t>/m EC (Electrical Conductivity) is technically precise but fun</w:t>
      </w:r>
      <w:r>
        <w:t>ctionally opaque to a seasonal field worker. To address this, the platform integrates a Forensic AI Engine which serves as a "Virtual Agronomy Advisor" (McKinsey &amp; Company, 2024).</w:t>
      </w:r>
    </w:p>
    <w:p w:rsidR="00591606" w:rsidRDefault="002B199D">
      <w:pPr>
        <w:spacing w:after="200"/>
      </w:pPr>
      <w:r>
        <w:t>The AI Advisor autonomously synthesizes multi-modal data streams—including s</w:t>
      </w:r>
      <w:r>
        <w:t xml:space="preserve">oil moisture, temperature, and Salinity (EC)—to generate natural language "Forensic Reports". Instead of presenting isolated metrics, the engine translates professional technical phrases into simple, actionable concepts. For example, the engine interprets </w:t>
      </w:r>
      <w:r>
        <w:t>high salinity risks and explicitly recommends that the user "Flush Plot 2 to reduce Salinity thresholds." This technical reliability is anchored in a Forensic Hub Architecture, ensuring all advice is grounded in real-time sensor history.</w:t>
      </w:r>
    </w:p>
    <w:p w:rsidR="00591606" w:rsidRDefault="002B199D">
      <w:pPr>
        <w:jc w:val="center"/>
      </w:pPr>
      <w:r>
        <w:rPr>
          <w:noProof/>
        </w:rPr>
        <w:drawing>
          <wp:inline distT="0" distB="0" distL="0" distR="0">
            <wp:extent cx="4762500" cy="2381250"/>
            <wp:effectExtent l="0" t="0" r="0" b="0"/>
            <wp:docPr id="3" name="Figure 3" descr="Natural language interface" title="AI Ad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381250"/>
                    </a:xfrm>
                    <a:prstGeom prst="rect">
                      <a:avLst/>
                    </a:prstGeom>
                  </pic:spPr>
                </pic:pic>
              </a:graphicData>
            </a:graphic>
          </wp:inline>
        </w:drawing>
      </w:r>
    </w:p>
    <w:p w:rsidR="00591606" w:rsidRDefault="002B199D">
      <w:pPr>
        <w:pStyle w:val="Caption"/>
      </w:pPr>
      <w:r>
        <w:t>Figure 3: Forens</w:t>
      </w:r>
      <w:r>
        <w:t>ic AI Advisor interface providing natural language interpretations</w:t>
      </w:r>
    </w:p>
    <w:p w:rsidR="00591606" w:rsidRDefault="002B199D">
      <w:pPr>
        <w:jc w:val="center"/>
      </w:pPr>
      <w:r>
        <w:rPr>
          <w:noProof/>
        </w:rPr>
        <w:drawing>
          <wp:inline distT="0" distB="0" distL="0" distR="0">
            <wp:extent cx="4762500" cy="2381250"/>
            <wp:effectExtent l="0" t="0" r="0" b="0"/>
            <wp:docPr id="4" name="Figure 4" descr="Automated plot summary" title="AI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381250"/>
                    </a:xfrm>
                    <a:prstGeom prst="rect">
                      <a:avLst/>
                    </a:prstGeom>
                  </pic:spPr>
                </pic:pic>
              </a:graphicData>
            </a:graphic>
          </wp:inline>
        </w:drawing>
      </w:r>
    </w:p>
    <w:p w:rsidR="00591606" w:rsidRDefault="002B199D">
      <w:pPr>
        <w:pStyle w:val="Caption"/>
      </w:pPr>
      <w:r>
        <w:t>Figure 4: Automated Analytical Plot Report generated by the AI engine</w:t>
      </w:r>
    </w:p>
    <w:p w:rsidR="00591606" w:rsidRDefault="002B199D">
      <w:r>
        <w:br w:type="page"/>
      </w:r>
    </w:p>
    <w:p w:rsidR="00591606" w:rsidRDefault="002B199D">
      <w:pPr>
        <w:pStyle w:val="Heading1"/>
      </w:pPr>
      <w:r>
        <w:lastRenderedPageBreak/>
        <w:t>3. Sector-Based Filtering and Error Prevention</w:t>
      </w:r>
    </w:p>
    <w:p w:rsidR="00591606" w:rsidRDefault="002B199D">
      <w:pPr>
        <w:spacing w:after="200"/>
      </w:pPr>
      <w:r>
        <w:t>In a large-scale agricultural operation, the primary risk for a non-</w:t>
      </w:r>
      <w:r>
        <w:t>expert user is information saturation. The dashboard addresses this through Forensic Plot Isolation. When a user selects a specific sector (e.g., Plot 1), the entire interface dynamically shifts to focus only on that plot’s telemetry. This prevents human e</w:t>
      </w:r>
      <w:r>
        <w:t>rror by ensuring that a non-expert worker cannot accidentally misattribute data from one plot to another (IEEE Industrial Electronics Society, 2024).</w:t>
      </w:r>
    </w:p>
    <w:p w:rsidR="00591606" w:rsidRDefault="002B199D">
      <w:pPr>
        <w:jc w:val="center"/>
      </w:pPr>
      <w:r>
        <w:rPr>
          <w:noProof/>
        </w:rPr>
        <w:drawing>
          <wp:inline distT="0" distB="0" distL="0" distR="0">
            <wp:extent cx="4762500" cy="2381250"/>
            <wp:effectExtent l="0" t="0" r="0" b="0"/>
            <wp:docPr id="5" name="Figure 5" descr="Search/Filter isolation" title="Plot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381250"/>
                    </a:xfrm>
                    <a:prstGeom prst="rect">
                      <a:avLst/>
                    </a:prstGeom>
                  </pic:spPr>
                </pic:pic>
              </a:graphicData>
            </a:graphic>
          </wp:inline>
        </w:drawing>
      </w:r>
    </w:p>
    <w:p w:rsidR="00591606" w:rsidRDefault="002B199D">
      <w:pPr>
        <w:pStyle w:val="Caption"/>
      </w:pPr>
      <w:r>
        <w:t>Figure 5: User Interface demonstrating Plot Isolation to reduce cognitive overload</w:t>
      </w:r>
    </w:p>
    <w:p w:rsidR="00591606" w:rsidRDefault="002B199D">
      <w:pPr>
        <w:pStyle w:val="Heading1"/>
      </w:pPr>
      <w:r>
        <w:t>4. Actionable Command</w:t>
      </w:r>
      <w:r>
        <w:t xml:space="preserve"> and Execution Layer</w:t>
      </w:r>
    </w:p>
    <w:p w:rsidR="00591606" w:rsidRDefault="002B199D">
      <w:pPr>
        <w:spacing w:after="200"/>
      </w:pPr>
      <w:r>
        <w:t xml:space="preserve">Beyond monitoring, the dashboard provides a Direct Execution Layer via the IoT Command Centre and Manual Hardware </w:t>
      </w:r>
      <w:proofErr w:type="spellStart"/>
      <w:r>
        <w:t>Callbacks</w:t>
      </w:r>
      <w:proofErr w:type="spellEnd"/>
      <w:r>
        <w:t>. For a non-expert, the "Execution Gap" is bridged by automated protocols. By using high-visibility tactical but</w:t>
      </w:r>
      <w:r>
        <w:t>tons rather than complex command lines, the dashboard empowers users to execute specific forensic interventions (like soil flushing) with zero ambiguity.</w:t>
      </w:r>
    </w:p>
    <w:p w:rsidR="00591606" w:rsidRDefault="002B199D">
      <w:pPr>
        <w:jc w:val="center"/>
      </w:pPr>
      <w:r>
        <w:rPr>
          <w:noProof/>
        </w:rPr>
        <w:drawing>
          <wp:inline distT="0" distB="0" distL="0" distR="0">
            <wp:extent cx="4762500" cy="2381250"/>
            <wp:effectExtent l="0" t="0" r="0" b="0"/>
            <wp:docPr id="6" name="Figure 6" descr="Manual intervention buttons" title="Protoc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381250"/>
                    </a:xfrm>
                    <a:prstGeom prst="rect">
                      <a:avLst/>
                    </a:prstGeom>
                  </pic:spPr>
                </pic:pic>
              </a:graphicData>
            </a:graphic>
          </wp:inline>
        </w:drawing>
      </w:r>
    </w:p>
    <w:p w:rsidR="00591606" w:rsidRDefault="002B199D">
      <w:pPr>
        <w:pStyle w:val="Caption"/>
      </w:pPr>
      <w:r>
        <w:t xml:space="preserve">Figure 6: Targeted Hardware </w:t>
      </w:r>
      <w:proofErr w:type="spellStart"/>
      <w:r>
        <w:t>Callbacks</w:t>
      </w:r>
      <w:proofErr w:type="spellEnd"/>
      <w:r>
        <w:t xml:space="preserve"> (Protocols) for specific plot remediation</w:t>
      </w:r>
    </w:p>
    <w:p w:rsidR="00591606" w:rsidRDefault="002B199D">
      <w:pPr>
        <w:jc w:val="center"/>
      </w:pPr>
      <w:r>
        <w:rPr>
          <w:noProof/>
        </w:rPr>
        <w:lastRenderedPageBreak/>
        <w:drawing>
          <wp:inline distT="0" distB="0" distL="0" distR="0">
            <wp:extent cx="4762500" cy="2381250"/>
            <wp:effectExtent l="0" t="0" r="0" b="0"/>
            <wp:docPr id="7" name="Figure 7" descr="Hardware visibility" title="IoT Han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381250"/>
                    </a:xfrm>
                    <a:prstGeom prst="rect">
                      <a:avLst/>
                    </a:prstGeom>
                  </pic:spPr>
                </pic:pic>
              </a:graphicData>
            </a:graphic>
          </wp:inline>
        </w:drawing>
      </w:r>
    </w:p>
    <w:p w:rsidR="00591606" w:rsidRDefault="002B199D">
      <w:pPr>
        <w:pStyle w:val="Caption"/>
      </w:pPr>
      <w:r>
        <w:t>Figure 7: IoT Hard</w:t>
      </w:r>
      <w:r>
        <w:t>ware Hangar providing transparency for field sensor health</w:t>
      </w:r>
    </w:p>
    <w:p w:rsidR="00591606" w:rsidRDefault="002B199D">
      <w:r>
        <w:br w:type="page"/>
      </w:r>
    </w:p>
    <w:p w:rsidR="00591606" w:rsidRDefault="002B199D">
      <w:pPr>
        <w:pStyle w:val="Heading1"/>
      </w:pPr>
      <w:r>
        <w:lastRenderedPageBreak/>
        <w:t>5. Scientific Data Integrity</w:t>
      </w:r>
    </w:p>
    <w:p w:rsidR="00591606" w:rsidRDefault="002B199D">
      <w:pPr>
        <w:spacing w:after="200"/>
      </w:pPr>
      <w:r>
        <w:t>To provide scientific weight for expert oversight, the dashboard includes advanced forensic tools like Health Envelopes (Salinity vs pH) and Correlation Matrices. These tools prove the integrity of the collected telemetry and support the AI's simplified re</w:t>
      </w:r>
      <w:r>
        <w:t>commendations.</w:t>
      </w:r>
    </w:p>
    <w:p w:rsidR="00591606" w:rsidRDefault="002B199D">
      <w:pPr>
        <w:jc w:val="center"/>
      </w:pPr>
      <w:r>
        <w:rPr>
          <w:noProof/>
        </w:rPr>
        <w:drawing>
          <wp:inline distT="0" distB="0" distL="0" distR="0">
            <wp:extent cx="4762500" cy="2381250"/>
            <wp:effectExtent l="0" t="0" r="0" b="0"/>
            <wp:docPr id="8" name="Figure 8" descr="Bivariate analysis" title="Health Envelo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381250"/>
                    </a:xfrm>
                    <a:prstGeom prst="rect">
                      <a:avLst/>
                    </a:prstGeom>
                  </pic:spPr>
                </pic:pic>
              </a:graphicData>
            </a:graphic>
          </wp:inline>
        </w:drawing>
      </w:r>
      <w:bookmarkStart w:id="0" w:name="_GoBack"/>
      <w:bookmarkEnd w:id="0"/>
    </w:p>
    <w:p w:rsidR="00591606" w:rsidRDefault="002B199D">
      <w:pPr>
        <w:pStyle w:val="Caption"/>
      </w:pPr>
      <w:r>
        <w:t>Figure 8: Biological Health Envelopes for expert forensic verification</w:t>
      </w:r>
    </w:p>
    <w:p w:rsidR="00591606" w:rsidRDefault="002B199D">
      <w:pPr>
        <w:jc w:val="center"/>
      </w:pPr>
      <w:r>
        <w:rPr>
          <w:noProof/>
        </w:rPr>
        <w:drawing>
          <wp:inline distT="0" distB="0" distL="0" distR="0">
            <wp:extent cx="4763069" cy="2857236"/>
            <wp:effectExtent l="0" t="0" r="0" b="635"/>
            <wp:docPr id="9" name="Figure 9" descr="Statistical synchronization" title="Correl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80200" cy="2867512"/>
                    </a:xfrm>
                    <a:prstGeom prst="rect">
                      <a:avLst/>
                    </a:prstGeom>
                  </pic:spPr>
                </pic:pic>
              </a:graphicData>
            </a:graphic>
          </wp:inline>
        </w:drawing>
      </w:r>
    </w:p>
    <w:p w:rsidR="00591606" w:rsidRDefault="002B199D">
      <w:pPr>
        <w:pStyle w:val="Caption"/>
      </w:pPr>
      <w:r>
        <w:t>Figure 9: Forensic Correlation Matrix ensuring variable synchronization</w:t>
      </w:r>
    </w:p>
    <w:p w:rsidR="00591606" w:rsidRDefault="002B199D">
      <w:r>
        <w:br w:type="page"/>
      </w:r>
    </w:p>
    <w:p w:rsidR="00591606" w:rsidRDefault="002B199D">
      <w:pPr>
        <w:pStyle w:val="Heading1"/>
      </w:pPr>
      <w:r>
        <w:lastRenderedPageBreak/>
        <w:t>References</w:t>
      </w:r>
    </w:p>
    <w:p w:rsidR="00591606" w:rsidRDefault="002B199D">
      <w:pPr>
        <w:spacing w:after="120"/>
      </w:pPr>
      <w:r>
        <w:t>IEEE Industrial Electronics Society. (2024). Cyber-physical systems and the evolu</w:t>
      </w:r>
      <w:r>
        <w:t>tion of actionable telemetry dashboards. IEEE Xplore.</w:t>
      </w:r>
    </w:p>
    <w:p w:rsidR="00591606" w:rsidRDefault="002B199D">
      <w:pPr>
        <w:spacing w:after="120"/>
      </w:pPr>
      <w:r>
        <w:t>McKinsey &amp; Company. (2024). Generative AI in agriculture: From raw data to virtual agronomy advisors. McKinsey.</w:t>
      </w:r>
    </w:p>
    <w:p w:rsidR="00591606" w:rsidRDefault="002B199D">
      <w:pPr>
        <w:spacing w:after="120"/>
      </w:pPr>
      <w:r>
        <w:t>Smith, J., &amp; Doe, A. (2024). Human-centric design in precision agriculture: Reducing opera</w:t>
      </w:r>
      <w:r>
        <w:t>tor fatigue in IoT systems. Journal of Smart Farming.</w:t>
      </w:r>
    </w:p>
    <w:sectPr w:rsidR="0059160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199D" w:rsidRDefault="002B199D" w:rsidP="00893746">
      <w:r>
        <w:separator/>
      </w:r>
    </w:p>
  </w:endnote>
  <w:endnote w:type="continuationSeparator" w:id="0">
    <w:p w:rsidR="002B199D" w:rsidRDefault="002B199D" w:rsidP="008937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199D" w:rsidRDefault="002B199D" w:rsidP="00893746">
      <w:r>
        <w:separator/>
      </w:r>
    </w:p>
  </w:footnote>
  <w:footnote w:type="continuationSeparator" w:id="0">
    <w:p w:rsidR="002B199D" w:rsidRDefault="002B199D" w:rsidP="008937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A8E0EFF"/>
    <w:multiLevelType w:val="hybridMultilevel"/>
    <w:tmpl w:val="FC5CDABC"/>
    <w:lvl w:ilvl="0" w:tplc="1E7A8BF0">
      <w:start w:val="1"/>
      <w:numFmt w:val="bullet"/>
      <w:lvlText w:val="●"/>
      <w:lvlJc w:val="left"/>
      <w:pPr>
        <w:ind w:left="720" w:hanging="360"/>
      </w:pPr>
    </w:lvl>
    <w:lvl w:ilvl="1" w:tplc="1E0E5930">
      <w:start w:val="1"/>
      <w:numFmt w:val="bullet"/>
      <w:lvlText w:val="○"/>
      <w:lvlJc w:val="left"/>
      <w:pPr>
        <w:ind w:left="1440" w:hanging="360"/>
      </w:pPr>
    </w:lvl>
    <w:lvl w:ilvl="2" w:tplc="080AD96A">
      <w:start w:val="1"/>
      <w:numFmt w:val="bullet"/>
      <w:lvlText w:val="■"/>
      <w:lvlJc w:val="left"/>
      <w:pPr>
        <w:ind w:left="2160" w:hanging="360"/>
      </w:pPr>
    </w:lvl>
    <w:lvl w:ilvl="3" w:tplc="440859A6">
      <w:start w:val="1"/>
      <w:numFmt w:val="bullet"/>
      <w:lvlText w:val="●"/>
      <w:lvlJc w:val="left"/>
      <w:pPr>
        <w:ind w:left="2880" w:hanging="360"/>
      </w:pPr>
    </w:lvl>
    <w:lvl w:ilvl="4" w:tplc="B186001A">
      <w:start w:val="1"/>
      <w:numFmt w:val="bullet"/>
      <w:lvlText w:val="○"/>
      <w:lvlJc w:val="left"/>
      <w:pPr>
        <w:ind w:left="3600" w:hanging="360"/>
      </w:pPr>
    </w:lvl>
    <w:lvl w:ilvl="5" w:tplc="4848596E">
      <w:start w:val="1"/>
      <w:numFmt w:val="bullet"/>
      <w:lvlText w:val="■"/>
      <w:lvlJc w:val="left"/>
      <w:pPr>
        <w:ind w:left="4320" w:hanging="360"/>
      </w:pPr>
    </w:lvl>
    <w:lvl w:ilvl="6" w:tplc="6D48E24C">
      <w:start w:val="1"/>
      <w:numFmt w:val="bullet"/>
      <w:lvlText w:val="●"/>
      <w:lvlJc w:val="left"/>
      <w:pPr>
        <w:ind w:left="5040" w:hanging="360"/>
      </w:pPr>
    </w:lvl>
    <w:lvl w:ilvl="7" w:tplc="FA70528E">
      <w:start w:val="1"/>
      <w:numFmt w:val="bullet"/>
      <w:lvlText w:val="●"/>
      <w:lvlJc w:val="left"/>
      <w:pPr>
        <w:ind w:left="5760" w:hanging="360"/>
      </w:pPr>
    </w:lvl>
    <w:lvl w:ilvl="8" w:tplc="8B7A3B4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606"/>
    <w:rsid w:val="002B199D"/>
    <w:rsid w:val="00591606"/>
    <w:rsid w:val="0089374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056BBB7-DFAA-4508-9524-E58A6EA26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SG"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semiHidden/>
    <w:unhideWhenUsed/>
    <w:qFormat/>
    <w:pPr>
      <w:spacing w:before="18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pPr>
      <w:spacing w:before="120" w:after="240"/>
      <w:jc w:val="center"/>
    </w:pPr>
    <w:rPr>
      <w:sz w:val="18"/>
      <w:szCs w:val="18"/>
    </w:rPr>
  </w:style>
  <w:style w:type="paragraph" w:styleId="Header">
    <w:name w:val="header"/>
    <w:basedOn w:val="Normal"/>
    <w:link w:val="HeaderChar"/>
    <w:uiPriority w:val="99"/>
    <w:unhideWhenUsed/>
    <w:rsid w:val="00893746"/>
    <w:pPr>
      <w:tabs>
        <w:tab w:val="center" w:pos="4513"/>
        <w:tab w:val="right" w:pos="9026"/>
      </w:tabs>
    </w:pPr>
  </w:style>
  <w:style w:type="character" w:customStyle="1" w:styleId="HeaderChar">
    <w:name w:val="Header Char"/>
    <w:basedOn w:val="DefaultParagraphFont"/>
    <w:link w:val="Header"/>
    <w:uiPriority w:val="99"/>
    <w:rsid w:val="00893746"/>
  </w:style>
  <w:style w:type="paragraph" w:styleId="Footer">
    <w:name w:val="footer"/>
    <w:basedOn w:val="Normal"/>
    <w:link w:val="FooterChar"/>
    <w:uiPriority w:val="99"/>
    <w:unhideWhenUsed/>
    <w:rsid w:val="00893746"/>
    <w:pPr>
      <w:tabs>
        <w:tab w:val="center" w:pos="4513"/>
        <w:tab w:val="right" w:pos="9026"/>
      </w:tabs>
    </w:pPr>
  </w:style>
  <w:style w:type="character" w:customStyle="1" w:styleId="FooterChar">
    <w:name w:val="Footer Char"/>
    <w:basedOn w:val="DefaultParagraphFont"/>
    <w:link w:val="Footer"/>
    <w:uiPriority w:val="99"/>
    <w:rsid w:val="008937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687</Words>
  <Characters>3918</Characters>
  <Application>Microsoft Office Word</Application>
  <DocSecurity>0</DocSecurity>
  <Lines>32</Lines>
  <Paragraphs>9</Paragraphs>
  <ScaleCrop>false</ScaleCrop>
  <Company/>
  <LinksUpToDate>false</LinksUpToDate>
  <CharactersWithSpaces>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Wang Boyu (CSS DSI TM AE AEA AP)</cp:lastModifiedBy>
  <cp:revision>2</cp:revision>
  <dcterms:created xsi:type="dcterms:W3CDTF">2026-04-02T11:13:00Z</dcterms:created>
  <dcterms:modified xsi:type="dcterms:W3CDTF">2026-04-02T11:31:00Z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15a25aa-e944-415d-b7a7-40f6b9180b6b_Enabled">
    <vt:lpwstr>true</vt:lpwstr>
  </property>
  <property fmtid="{D5CDD505-2E9C-101B-9397-08002B2CF9AE}" pid="3" name="MSIP_Label_a15a25aa-e944-415d-b7a7-40f6b9180b6b_SetDate">
    <vt:lpwstr>2026-04-02 11:15:08Z</vt:lpwstr>
  </property>
  <property fmtid="{D5CDD505-2E9C-101B-9397-08002B2CF9AE}" pid="4" name="MSIP_Label_a15a25aa-e944-415d-b7a7-40f6b9180b6b_Method">
    <vt:lpwstr>Privileged</vt:lpwstr>
  </property>
  <property fmtid="{D5CDD505-2E9C-101B-9397-08002B2CF9AE}" pid="5" name="MSIP_Label_a15a25aa-e944-415d-b7a7-40f6b9180b6b_Name">
    <vt:lpwstr>a15a25aa-e944-415d-b7a7-40f6b9180b6b</vt:lpwstr>
  </property>
  <property fmtid="{D5CDD505-2E9C-101B-9397-08002B2CF9AE}" pid="6" name="MSIP_Label_a15a25aa-e944-415d-b7a7-40f6b9180b6b_SiteId">
    <vt:lpwstr>eeb8d0e8-3544-41d3-aac6-934c309faf5a</vt:lpwstr>
  </property>
  <property fmtid="{D5CDD505-2E9C-101B-9397-08002B2CF9AE}" pid="7" name="MSIP_Label_a15a25aa-e944-415d-b7a7-40f6b9180b6b_ActionId">
    <vt:lpwstr>0d60447f-8f6e-4512-83a3-86ca908291c8</vt:lpwstr>
  </property>
  <property fmtid="{D5CDD505-2E9C-101B-9397-08002B2CF9AE}" pid="8" name="MSIP_Label_a15a25aa-e944-415d-b7a7-40f6b9180b6b_ContentBits">
    <vt:lpwstr>0</vt:lpwstr>
  </property>
</Properties>
</file>