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B35C" w14:textId="28F0D19B" w:rsidR="00582283" w:rsidRPr="00550A7D" w:rsidRDefault="00582283" w:rsidP="00550A7D">
      <w:pPr>
        <w:rPr>
          <w:rFonts w:ascii="Arial" w:hAnsi="Arial" w:cs="Arial"/>
          <w:sz w:val="36"/>
          <w:szCs w:val="36"/>
        </w:rPr>
      </w:pPr>
      <w:r w:rsidRPr="00550A7D">
        <w:rPr>
          <w:rFonts w:ascii="Arial" w:hAnsi="Arial" w:cs="Arial"/>
          <w:sz w:val="36"/>
          <w:szCs w:val="36"/>
        </w:rPr>
        <w:t>Re-evaluating TOD Opportunities in Greater Philadelphia</w:t>
      </w:r>
    </w:p>
    <w:p w14:paraId="6C3505B9" w14:textId="12F2722C" w:rsidR="00865DD5" w:rsidRPr="00550A7D" w:rsidRDefault="00F14AEF" w:rsidP="00550A7D">
      <w:pPr>
        <w:rPr>
          <w:rFonts w:ascii="Arial" w:hAnsi="Arial" w:cs="Arial"/>
          <w:sz w:val="24"/>
          <w:szCs w:val="24"/>
        </w:rPr>
      </w:pPr>
      <w:r w:rsidRPr="00550A7D">
        <w:rPr>
          <w:rFonts w:ascii="Arial" w:hAnsi="Arial" w:cs="Arial"/>
          <w:sz w:val="24"/>
          <w:szCs w:val="24"/>
        </w:rPr>
        <w:t>Lechuan Huang</w:t>
      </w:r>
    </w:p>
    <w:p w14:paraId="3DDC8A7A" w14:textId="6A7DAD8B" w:rsidR="00F14AEF" w:rsidRPr="00550A7D" w:rsidRDefault="00F14AEF" w:rsidP="00550A7D">
      <w:pPr>
        <w:rPr>
          <w:rFonts w:ascii="Arial" w:hAnsi="Arial" w:cs="Arial"/>
          <w:sz w:val="24"/>
          <w:szCs w:val="24"/>
        </w:rPr>
      </w:pPr>
      <w:r w:rsidRPr="00550A7D">
        <w:rPr>
          <w:rFonts w:ascii="Arial" w:hAnsi="Arial" w:cs="Arial"/>
          <w:sz w:val="24"/>
          <w:szCs w:val="24"/>
        </w:rPr>
        <w:t>Final Report</w:t>
      </w:r>
    </w:p>
    <w:p w14:paraId="32050CAB" w14:textId="77777777" w:rsidR="00F14AEF" w:rsidRPr="00550A7D" w:rsidRDefault="00F14AEF" w:rsidP="00550A7D">
      <w:pPr>
        <w:rPr>
          <w:rFonts w:ascii="Arial" w:hAnsi="Arial" w:cs="Arial"/>
          <w:sz w:val="24"/>
          <w:szCs w:val="24"/>
        </w:rPr>
      </w:pPr>
    </w:p>
    <w:p w14:paraId="75D18AAB" w14:textId="7778B2F1" w:rsidR="00F14AEF" w:rsidRPr="00550A7D" w:rsidRDefault="00F14AEF" w:rsidP="00550A7D">
      <w:pPr>
        <w:pStyle w:val="ListParagraph"/>
        <w:numPr>
          <w:ilvl w:val="0"/>
          <w:numId w:val="2"/>
        </w:numPr>
        <w:rPr>
          <w:rFonts w:ascii="Arial" w:hAnsi="Arial" w:cs="Arial"/>
          <w:b/>
          <w:bCs/>
          <w:sz w:val="24"/>
          <w:szCs w:val="24"/>
        </w:rPr>
      </w:pPr>
      <w:r w:rsidRPr="00550A7D">
        <w:rPr>
          <w:rFonts w:ascii="Arial" w:hAnsi="Arial" w:cs="Arial"/>
          <w:b/>
          <w:bCs/>
          <w:sz w:val="24"/>
          <w:szCs w:val="24"/>
        </w:rPr>
        <w:t>Q</w:t>
      </w:r>
      <w:r w:rsidRPr="00550A7D">
        <w:rPr>
          <w:rFonts w:ascii="Arial" w:hAnsi="Arial" w:cs="Arial"/>
          <w:b/>
          <w:bCs/>
          <w:sz w:val="24"/>
          <w:szCs w:val="24"/>
        </w:rPr>
        <w:t>uestion</w:t>
      </w:r>
    </w:p>
    <w:p w14:paraId="04BA951E" w14:textId="430D1523" w:rsidR="00F14AEF" w:rsidRPr="00550A7D" w:rsidRDefault="00F14AEF" w:rsidP="00550A7D">
      <w:pPr>
        <w:rPr>
          <w:rFonts w:ascii="Arial" w:hAnsi="Arial" w:cs="Arial"/>
          <w:sz w:val="24"/>
          <w:szCs w:val="24"/>
        </w:rPr>
      </w:pPr>
      <w:r w:rsidRPr="00550A7D">
        <w:rPr>
          <w:rFonts w:ascii="Arial" w:hAnsi="Arial" w:cs="Arial"/>
          <w:sz w:val="24"/>
          <w:szCs w:val="24"/>
        </w:rPr>
        <w:tab/>
      </w:r>
      <w:r w:rsidRPr="00550A7D">
        <w:rPr>
          <w:rFonts w:ascii="Arial" w:hAnsi="Arial" w:cs="Arial"/>
          <w:sz w:val="24"/>
          <w:szCs w:val="24"/>
        </w:rPr>
        <w:t>To develop a method to comprehensively analyze the potential of TOD opportunities in Philadelphia MSA (Delaware River Valley) that’s actually feasible and benefits local communities using Multi-Criteria Decision Analysis.</w:t>
      </w:r>
    </w:p>
    <w:p w14:paraId="09809DC3" w14:textId="1A022D07" w:rsidR="00F14AEF" w:rsidRPr="00550A7D" w:rsidRDefault="00F14AEF" w:rsidP="00550A7D">
      <w:pPr>
        <w:pStyle w:val="ListParagraph"/>
        <w:numPr>
          <w:ilvl w:val="0"/>
          <w:numId w:val="2"/>
        </w:numPr>
        <w:rPr>
          <w:rFonts w:ascii="Arial" w:hAnsi="Arial" w:cs="Arial"/>
          <w:b/>
          <w:bCs/>
          <w:sz w:val="24"/>
          <w:szCs w:val="24"/>
        </w:rPr>
      </w:pPr>
      <w:r w:rsidRPr="00550A7D">
        <w:rPr>
          <w:rFonts w:ascii="Arial" w:hAnsi="Arial" w:cs="Arial"/>
          <w:b/>
          <w:bCs/>
          <w:sz w:val="24"/>
          <w:szCs w:val="24"/>
        </w:rPr>
        <w:t>B</w:t>
      </w:r>
      <w:r w:rsidRPr="00550A7D">
        <w:rPr>
          <w:rFonts w:ascii="Arial" w:hAnsi="Arial" w:cs="Arial"/>
          <w:b/>
          <w:bCs/>
          <w:sz w:val="24"/>
          <w:szCs w:val="24"/>
        </w:rPr>
        <w:t>ackground</w:t>
      </w:r>
    </w:p>
    <w:p w14:paraId="4198BB12" w14:textId="468586FB" w:rsidR="00F14AEF" w:rsidRPr="00550A7D" w:rsidRDefault="00D37C63" w:rsidP="00550A7D">
      <w:pPr>
        <w:rPr>
          <w:rFonts w:ascii="Arial" w:hAnsi="Arial" w:cs="Arial"/>
          <w:sz w:val="24"/>
          <w:szCs w:val="24"/>
        </w:rPr>
      </w:pPr>
      <w:r w:rsidRPr="00550A7D">
        <w:rPr>
          <w:rFonts w:ascii="Arial" w:hAnsi="Arial" w:cs="Arial"/>
          <w:sz w:val="24"/>
          <w:szCs w:val="24"/>
        </w:rPr>
        <w:tab/>
      </w:r>
      <w:r w:rsidR="00F14AEF" w:rsidRPr="00550A7D">
        <w:rPr>
          <w:rFonts w:ascii="Arial" w:hAnsi="Arial" w:cs="Arial"/>
          <w:sz w:val="24"/>
          <w:szCs w:val="24"/>
        </w:rPr>
        <w:t xml:space="preserve">Philadelphia has its own subway and regional rail systems built over a century ago. However, according to </w:t>
      </w:r>
      <w:r w:rsidR="00F14AEF" w:rsidRPr="00550A7D">
        <w:rPr>
          <w:rFonts w:ascii="Arial" w:hAnsi="Arial" w:cs="Arial"/>
          <w:sz w:val="24"/>
          <w:szCs w:val="24"/>
        </w:rPr>
        <w:t xml:space="preserve">the </w:t>
      </w:r>
      <w:hyperlink r:id="rId5" w:history="1">
        <w:r w:rsidR="00F14AEF" w:rsidRPr="00550A7D">
          <w:rPr>
            <w:rStyle w:val="Hyperlink"/>
            <w:rFonts w:ascii="Arial" w:hAnsi="Arial" w:cs="Arial"/>
            <w:sz w:val="24"/>
            <w:szCs w:val="24"/>
          </w:rPr>
          <w:t>analysis</w:t>
        </w:r>
      </w:hyperlink>
      <w:r w:rsidR="00F14AEF" w:rsidRPr="00550A7D">
        <w:rPr>
          <w:rFonts w:ascii="Arial" w:hAnsi="Arial" w:cs="Arial"/>
          <w:sz w:val="24"/>
          <w:szCs w:val="24"/>
        </w:rPr>
        <w:t xml:space="preserve"> conducted by Ken and Michael</w:t>
      </w:r>
      <w:r w:rsidR="00F14AEF" w:rsidRPr="00550A7D">
        <w:rPr>
          <w:rFonts w:ascii="Arial" w:hAnsi="Arial" w:cs="Arial"/>
          <w:sz w:val="24"/>
          <w:szCs w:val="24"/>
        </w:rPr>
        <w:t>, only certain parts of the city served by rail transit had a positive impact brought by TOD. Other parts of the city served by subways, like West and North Philly remains unchanged compared to non-TOD communities.</w:t>
      </w:r>
    </w:p>
    <w:p w14:paraId="1B4D699F" w14:textId="0433C1B8" w:rsidR="00F14AEF" w:rsidRPr="00550A7D" w:rsidRDefault="00D37C63" w:rsidP="00550A7D">
      <w:pPr>
        <w:rPr>
          <w:rFonts w:ascii="Arial" w:hAnsi="Arial" w:cs="Arial"/>
          <w:sz w:val="24"/>
          <w:szCs w:val="24"/>
        </w:rPr>
      </w:pPr>
      <w:r w:rsidRPr="00550A7D">
        <w:rPr>
          <w:rFonts w:ascii="Arial" w:hAnsi="Arial" w:cs="Arial"/>
          <w:sz w:val="24"/>
          <w:szCs w:val="24"/>
        </w:rPr>
        <w:tab/>
      </w:r>
      <w:r w:rsidR="00F14AEF" w:rsidRPr="00550A7D">
        <w:rPr>
          <w:rFonts w:ascii="Arial" w:hAnsi="Arial" w:cs="Arial"/>
          <w:sz w:val="24"/>
          <w:szCs w:val="24"/>
        </w:rPr>
        <w:t xml:space="preserve">DVRPC did produce a </w:t>
      </w:r>
      <w:hyperlink r:id="rId6" w:history="1">
        <w:r w:rsidR="00D84EC1" w:rsidRPr="00550A7D">
          <w:rPr>
            <w:rStyle w:val="Hyperlink"/>
            <w:rFonts w:ascii="Arial" w:hAnsi="Arial" w:cs="Arial"/>
            <w:sz w:val="24"/>
            <w:szCs w:val="24"/>
          </w:rPr>
          <w:t>dashboard</w:t>
        </w:r>
      </w:hyperlink>
      <w:r w:rsidR="00F14AEF" w:rsidRPr="00550A7D">
        <w:rPr>
          <w:rFonts w:ascii="Arial" w:hAnsi="Arial" w:cs="Arial"/>
          <w:sz w:val="24"/>
          <w:szCs w:val="24"/>
        </w:rPr>
        <w:t xml:space="preserve"> showing the TOD indexes for all major rail transit stations in the Philadelphia MSA. However, </w:t>
      </w:r>
      <w:r w:rsidR="00F14AEF" w:rsidRPr="00550A7D">
        <w:rPr>
          <w:rFonts w:ascii="Arial" w:hAnsi="Arial" w:cs="Arial"/>
          <w:sz w:val="24"/>
          <w:szCs w:val="24"/>
        </w:rPr>
        <w:t xml:space="preserve">there are a few problems with its rating methods: firstly, all of the factors are not weighted, so that decision treat all factors as equivalent despite that is not the case in reality; second, there is not social factors </w:t>
      </w:r>
      <w:r w:rsidR="00F14AEF" w:rsidRPr="00550A7D">
        <w:rPr>
          <w:rFonts w:ascii="Arial" w:hAnsi="Arial" w:cs="Arial"/>
          <w:sz w:val="24"/>
          <w:szCs w:val="24"/>
        </w:rPr>
        <w:t>like existing demography that will affect the feasibility of transition and may cause gentrification.</w:t>
      </w:r>
    </w:p>
    <w:p w14:paraId="1E197D10" w14:textId="77777777" w:rsidR="00F14AEF" w:rsidRPr="00550A7D" w:rsidRDefault="00F14AEF" w:rsidP="00550A7D">
      <w:pPr>
        <w:rPr>
          <w:rFonts w:ascii="Arial" w:hAnsi="Arial" w:cs="Arial"/>
          <w:b/>
          <w:bCs/>
          <w:sz w:val="24"/>
          <w:szCs w:val="24"/>
        </w:rPr>
      </w:pPr>
    </w:p>
    <w:p w14:paraId="3EA51337" w14:textId="0A54971A" w:rsidR="00B24A5F" w:rsidRPr="00550A7D" w:rsidRDefault="00F14AEF" w:rsidP="00550A7D">
      <w:pPr>
        <w:pStyle w:val="ListParagraph"/>
        <w:numPr>
          <w:ilvl w:val="0"/>
          <w:numId w:val="2"/>
        </w:numPr>
        <w:rPr>
          <w:rFonts w:ascii="Arial" w:hAnsi="Arial" w:cs="Arial"/>
          <w:b/>
          <w:bCs/>
          <w:sz w:val="24"/>
          <w:szCs w:val="24"/>
        </w:rPr>
      </w:pPr>
      <w:r w:rsidRPr="00550A7D">
        <w:rPr>
          <w:rFonts w:ascii="Arial" w:hAnsi="Arial" w:cs="Arial"/>
          <w:b/>
          <w:bCs/>
          <w:sz w:val="24"/>
          <w:szCs w:val="24"/>
        </w:rPr>
        <w:t>Methodology</w:t>
      </w:r>
    </w:p>
    <w:p w14:paraId="3571DCF2" w14:textId="29D1BDA4" w:rsidR="00F14AEF" w:rsidRPr="00550A7D" w:rsidRDefault="00B24A5F" w:rsidP="00550A7D">
      <w:pPr>
        <w:rPr>
          <w:rFonts w:ascii="Arial" w:hAnsi="Arial" w:cs="Arial"/>
          <w:sz w:val="24"/>
          <w:szCs w:val="24"/>
        </w:rPr>
      </w:pPr>
      <w:r w:rsidRPr="00550A7D">
        <w:rPr>
          <w:rFonts w:ascii="Arial" w:hAnsi="Arial" w:cs="Arial"/>
          <w:sz w:val="24"/>
          <w:szCs w:val="24"/>
        </w:rPr>
        <w:tab/>
      </w:r>
      <w:r w:rsidRPr="00550A7D">
        <w:rPr>
          <w:rFonts w:ascii="Arial" w:hAnsi="Arial" w:cs="Arial"/>
          <w:sz w:val="24"/>
          <w:szCs w:val="24"/>
        </w:rPr>
        <w:t>All the data are processed through R codes via the integrated development environment (IDE) of RStudio.</w:t>
      </w:r>
      <w:r w:rsidRPr="00550A7D">
        <w:rPr>
          <w:rFonts w:ascii="Arial" w:hAnsi="Arial" w:cs="Arial"/>
          <w:sz w:val="24"/>
          <w:szCs w:val="24"/>
        </w:rPr>
        <w:t xml:space="preserve"> The entire process could be split into two parts: the exploratory analysis and model building.</w:t>
      </w:r>
    </w:p>
    <w:p w14:paraId="69D1C056" w14:textId="77777777" w:rsidR="00B24A5F" w:rsidRPr="00550A7D" w:rsidRDefault="00B24A5F" w:rsidP="00550A7D">
      <w:pPr>
        <w:rPr>
          <w:rFonts w:ascii="Arial" w:hAnsi="Arial" w:cs="Arial"/>
          <w:sz w:val="24"/>
          <w:szCs w:val="24"/>
        </w:rPr>
      </w:pPr>
    </w:p>
    <w:p w14:paraId="042243D6" w14:textId="0A407B1C" w:rsidR="00DD1134" w:rsidRPr="00550A7D" w:rsidRDefault="00DD1134" w:rsidP="00550A7D">
      <w:pPr>
        <w:pStyle w:val="ListParagraph"/>
        <w:numPr>
          <w:ilvl w:val="1"/>
          <w:numId w:val="2"/>
        </w:numPr>
        <w:rPr>
          <w:rFonts w:ascii="Arial" w:hAnsi="Arial" w:cs="Arial"/>
          <w:sz w:val="24"/>
          <w:szCs w:val="24"/>
        </w:rPr>
      </w:pPr>
      <w:r w:rsidRPr="00550A7D">
        <w:rPr>
          <w:rFonts w:ascii="Arial" w:hAnsi="Arial" w:cs="Arial"/>
          <w:sz w:val="24"/>
          <w:szCs w:val="24"/>
        </w:rPr>
        <w:t>Exploratory Analysis</w:t>
      </w:r>
    </w:p>
    <w:p w14:paraId="242745BC" w14:textId="0BCB5EE5" w:rsidR="00B24A5F" w:rsidRPr="00550A7D" w:rsidRDefault="00B24A5F" w:rsidP="00550A7D">
      <w:pPr>
        <w:rPr>
          <w:rFonts w:ascii="Arial" w:hAnsi="Arial" w:cs="Arial"/>
          <w:sz w:val="24"/>
          <w:szCs w:val="24"/>
        </w:rPr>
      </w:pPr>
      <w:r w:rsidRPr="00550A7D">
        <w:rPr>
          <w:rFonts w:ascii="Arial" w:hAnsi="Arial" w:cs="Arial"/>
          <w:sz w:val="24"/>
          <w:szCs w:val="24"/>
        </w:rPr>
        <w:tab/>
        <w:t>In this step, I import the data from various sources, clean them, and briefly look at the exploratory results in order to decide whether to include it in the final model. The following paragraphs lists what kinds of data I use and how did I clean them</w:t>
      </w:r>
      <w:r w:rsidR="006E71D4" w:rsidRPr="00550A7D">
        <w:rPr>
          <w:rFonts w:ascii="Arial" w:hAnsi="Arial" w:cs="Arial"/>
          <w:sz w:val="24"/>
          <w:szCs w:val="24"/>
        </w:rPr>
        <w:t xml:space="preserve"> (please refer to the Metadata file for detailed documentation)</w:t>
      </w:r>
      <w:r w:rsidRPr="00550A7D">
        <w:rPr>
          <w:rFonts w:ascii="Arial" w:hAnsi="Arial" w:cs="Arial"/>
          <w:sz w:val="24"/>
          <w:szCs w:val="24"/>
        </w:rPr>
        <w:t>:</w:t>
      </w:r>
    </w:p>
    <w:p w14:paraId="14043263" w14:textId="612559EC" w:rsidR="003320B7" w:rsidRPr="00550A7D" w:rsidRDefault="003320B7" w:rsidP="00550A7D">
      <w:pPr>
        <w:rPr>
          <w:rFonts w:ascii="Arial" w:hAnsi="Arial" w:cs="Arial"/>
          <w:sz w:val="24"/>
          <w:szCs w:val="24"/>
        </w:rPr>
      </w:pPr>
      <w:r w:rsidRPr="00550A7D">
        <w:rPr>
          <w:rFonts w:ascii="Arial" w:hAnsi="Arial" w:cs="Arial"/>
          <w:noProof/>
        </w:rPr>
        <w:lastRenderedPageBreak/>
        <w:drawing>
          <wp:inline distT="0" distB="0" distL="0" distR="0" wp14:anchorId="027CA5F3" wp14:editId="2C62B0CC">
            <wp:extent cx="5943600" cy="4621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70F7AE70" w14:textId="3A6151BF" w:rsidR="003320B7" w:rsidRPr="00550A7D" w:rsidRDefault="003320B7" w:rsidP="00550A7D">
      <w:pPr>
        <w:rPr>
          <w:rFonts w:ascii="Arial" w:hAnsi="Arial" w:cs="Arial"/>
          <w:i/>
          <w:iCs/>
          <w:sz w:val="24"/>
          <w:szCs w:val="24"/>
        </w:rPr>
      </w:pPr>
      <w:r w:rsidRPr="00550A7D">
        <w:rPr>
          <w:rFonts w:ascii="Arial" w:hAnsi="Arial" w:cs="Arial"/>
          <w:i/>
          <w:iCs/>
          <w:sz w:val="24"/>
          <w:szCs w:val="24"/>
        </w:rPr>
        <w:t xml:space="preserve">Maps for the station accessibility score: we can see </w:t>
      </w:r>
      <w:r w:rsidR="007E4723" w:rsidRPr="00550A7D">
        <w:rPr>
          <w:rFonts w:ascii="Arial" w:hAnsi="Arial" w:cs="Arial"/>
          <w:i/>
          <w:iCs/>
          <w:sz w:val="24"/>
          <w:szCs w:val="24"/>
        </w:rPr>
        <w:t xml:space="preserve">station served by </w:t>
      </w:r>
      <w:r w:rsidRPr="00550A7D">
        <w:rPr>
          <w:rFonts w:ascii="Arial" w:hAnsi="Arial" w:cs="Arial"/>
          <w:i/>
          <w:iCs/>
          <w:sz w:val="24"/>
          <w:szCs w:val="24"/>
        </w:rPr>
        <w:t xml:space="preserve">rapid-transit </w:t>
      </w:r>
      <w:r w:rsidR="007E4723" w:rsidRPr="00550A7D">
        <w:rPr>
          <w:rFonts w:ascii="Arial" w:hAnsi="Arial" w:cs="Arial"/>
          <w:i/>
          <w:iCs/>
          <w:sz w:val="24"/>
          <w:szCs w:val="24"/>
        </w:rPr>
        <w:t xml:space="preserve">- </w:t>
      </w:r>
      <w:r w:rsidRPr="00550A7D">
        <w:rPr>
          <w:rFonts w:ascii="Arial" w:hAnsi="Arial" w:cs="Arial"/>
          <w:i/>
          <w:iCs/>
          <w:sz w:val="24"/>
          <w:szCs w:val="24"/>
        </w:rPr>
        <w:t xml:space="preserve">that has the </w:t>
      </w:r>
      <w:r w:rsidR="007E4723" w:rsidRPr="00550A7D">
        <w:rPr>
          <w:rFonts w:ascii="Arial" w:hAnsi="Arial" w:cs="Arial"/>
          <w:i/>
          <w:iCs/>
          <w:sz w:val="24"/>
          <w:szCs w:val="24"/>
        </w:rPr>
        <w:t>highest frequency and highest capacity – have the highest accessibility score.</w:t>
      </w:r>
    </w:p>
    <w:p w14:paraId="3EFD52F6" w14:textId="79E697D1" w:rsidR="00B24A5F" w:rsidRPr="00550A7D" w:rsidRDefault="00B24A5F" w:rsidP="00550A7D">
      <w:pPr>
        <w:pStyle w:val="ListParagraph"/>
        <w:numPr>
          <w:ilvl w:val="0"/>
          <w:numId w:val="1"/>
        </w:numPr>
        <w:rPr>
          <w:rFonts w:ascii="Arial" w:hAnsi="Arial" w:cs="Arial"/>
          <w:sz w:val="24"/>
          <w:szCs w:val="24"/>
        </w:rPr>
      </w:pPr>
      <w:r w:rsidRPr="00550A7D">
        <w:rPr>
          <w:rFonts w:ascii="Arial" w:hAnsi="Arial" w:cs="Arial"/>
          <w:sz w:val="24"/>
          <w:szCs w:val="24"/>
        </w:rPr>
        <w:t xml:space="preserve">Station data: </w:t>
      </w:r>
      <w:r w:rsidR="007503C9" w:rsidRPr="00550A7D">
        <w:rPr>
          <w:rFonts w:ascii="Arial" w:hAnsi="Arial" w:cs="Arial"/>
          <w:sz w:val="24"/>
          <w:szCs w:val="24"/>
        </w:rPr>
        <w:t xml:space="preserve">this is the data of all rail-transit stations in Greater Philadelphia Region from the official website of DVRPC. ID numbers are assigned to avoid stations with the same name; meanwhile, several stations that are physically connected and interchangeable are merged manually. </w:t>
      </w:r>
    </w:p>
    <w:p w14:paraId="40403B87" w14:textId="300ADA90" w:rsidR="007503C9" w:rsidRPr="00550A7D" w:rsidRDefault="007503C9" w:rsidP="00550A7D">
      <w:pPr>
        <w:pStyle w:val="ListParagraph"/>
        <w:numPr>
          <w:ilvl w:val="1"/>
          <w:numId w:val="1"/>
        </w:numPr>
        <w:rPr>
          <w:rFonts w:ascii="Arial" w:hAnsi="Arial" w:cs="Arial"/>
          <w:sz w:val="24"/>
          <w:szCs w:val="24"/>
        </w:rPr>
      </w:pPr>
      <w:r w:rsidRPr="00550A7D">
        <w:rPr>
          <w:rFonts w:ascii="Arial" w:hAnsi="Arial" w:cs="Arial"/>
          <w:sz w:val="24"/>
          <w:szCs w:val="24"/>
        </w:rPr>
        <w:t>The type of modes are regrouped into four types: Regional Rail, Rail Transit (Rapid Rail), Light Rail, and Trolley for symbological use.</w:t>
      </w:r>
    </w:p>
    <w:p w14:paraId="39C07EB0" w14:textId="36DF7961" w:rsidR="007503C9" w:rsidRPr="00550A7D" w:rsidRDefault="007503C9" w:rsidP="00550A7D">
      <w:pPr>
        <w:pStyle w:val="ListParagraph"/>
        <w:numPr>
          <w:ilvl w:val="1"/>
          <w:numId w:val="1"/>
        </w:numPr>
        <w:rPr>
          <w:rFonts w:ascii="Arial" w:hAnsi="Arial" w:cs="Arial"/>
          <w:sz w:val="24"/>
          <w:szCs w:val="24"/>
        </w:rPr>
      </w:pPr>
      <w:r w:rsidRPr="00550A7D">
        <w:rPr>
          <w:rFonts w:ascii="Arial" w:hAnsi="Arial" w:cs="Arial"/>
          <w:sz w:val="24"/>
          <w:szCs w:val="24"/>
        </w:rPr>
        <w:t>I use the station information to calculate the accessibility score (</w:t>
      </w:r>
      <w:proofErr w:type="spellStart"/>
      <w:r w:rsidRPr="00550A7D">
        <w:rPr>
          <w:rFonts w:ascii="Arial" w:hAnsi="Arial" w:cs="Arial"/>
          <w:sz w:val="24"/>
          <w:szCs w:val="24"/>
        </w:rPr>
        <w:t>ac_score</w:t>
      </w:r>
      <w:proofErr w:type="spellEnd"/>
      <w:r w:rsidRPr="00550A7D">
        <w:rPr>
          <w:rFonts w:ascii="Arial" w:hAnsi="Arial" w:cs="Arial"/>
          <w:sz w:val="24"/>
          <w:szCs w:val="24"/>
        </w:rPr>
        <w:t xml:space="preserve">). The score is based on the </w:t>
      </w:r>
      <w:proofErr w:type="spellStart"/>
      <w:r w:rsidRPr="00550A7D">
        <w:rPr>
          <w:rFonts w:ascii="Arial" w:hAnsi="Arial" w:cs="Arial"/>
          <w:sz w:val="24"/>
          <w:szCs w:val="24"/>
        </w:rPr>
        <w:t>quantiled</w:t>
      </w:r>
      <w:proofErr w:type="spellEnd"/>
      <w:r w:rsidRPr="00550A7D">
        <w:rPr>
          <w:rFonts w:ascii="Arial" w:hAnsi="Arial" w:cs="Arial"/>
          <w:sz w:val="24"/>
          <w:szCs w:val="24"/>
        </w:rPr>
        <w:t xml:space="preserve"> result of the accessibility index, which calculated the ideal maximum ridership of the station based on the frequency of train services and the capacity of the train.</w:t>
      </w:r>
    </w:p>
    <w:p w14:paraId="5345AA3E" w14:textId="677F2F8D" w:rsidR="00B24A5F" w:rsidRPr="00550A7D" w:rsidRDefault="00E72CF0" w:rsidP="00550A7D">
      <w:pPr>
        <w:pStyle w:val="ListParagraph"/>
        <w:numPr>
          <w:ilvl w:val="0"/>
          <w:numId w:val="1"/>
        </w:numPr>
        <w:rPr>
          <w:rFonts w:ascii="Arial" w:hAnsi="Arial" w:cs="Arial"/>
          <w:sz w:val="24"/>
          <w:szCs w:val="24"/>
        </w:rPr>
      </w:pPr>
      <w:r w:rsidRPr="00550A7D">
        <w:rPr>
          <w:rFonts w:ascii="Arial" w:hAnsi="Arial" w:cs="Arial"/>
          <w:sz w:val="24"/>
          <w:szCs w:val="24"/>
        </w:rPr>
        <w:t>Job Data: this is the data of employment data and prediction in Greater Philadelphia Region at neighborhood level from the official website of DVRPC. I join the neighborhood into the station in order to calculate job-related identifiers.</w:t>
      </w:r>
    </w:p>
    <w:p w14:paraId="15502C1C" w14:textId="4B126DE2" w:rsidR="00E72CF0" w:rsidRPr="00550A7D" w:rsidRDefault="00E72CF0" w:rsidP="00550A7D">
      <w:pPr>
        <w:pStyle w:val="ListParagraph"/>
        <w:numPr>
          <w:ilvl w:val="1"/>
          <w:numId w:val="1"/>
        </w:numPr>
        <w:rPr>
          <w:rFonts w:ascii="Arial" w:hAnsi="Arial" w:cs="Arial"/>
          <w:sz w:val="24"/>
          <w:szCs w:val="24"/>
        </w:rPr>
      </w:pPr>
      <w:r w:rsidRPr="00550A7D">
        <w:rPr>
          <w:rFonts w:ascii="Arial" w:hAnsi="Arial" w:cs="Arial"/>
          <w:sz w:val="24"/>
          <w:szCs w:val="24"/>
        </w:rPr>
        <w:t xml:space="preserve">Job Score: </w:t>
      </w:r>
      <w:r w:rsidR="006E71D4" w:rsidRPr="00550A7D">
        <w:rPr>
          <w:rFonts w:ascii="Arial" w:hAnsi="Arial" w:cs="Arial"/>
          <w:sz w:val="24"/>
          <w:szCs w:val="24"/>
        </w:rPr>
        <w:t>Score fo</w:t>
      </w:r>
      <w:r w:rsidR="006E71D4" w:rsidRPr="00550A7D">
        <w:rPr>
          <w:rFonts w:ascii="Arial" w:hAnsi="Arial" w:cs="Arial"/>
          <w:sz w:val="24"/>
          <w:szCs w:val="24"/>
        </w:rPr>
        <w:t>r the</w:t>
      </w:r>
      <w:r w:rsidR="006E71D4" w:rsidRPr="00550A7D">
        <w:rPr>
          <w:rFonts w:ascii="Arial" w:hAnsi="Arial" w:cs="Arial"/>
          <w:sz w:val="24"/>
          <w:szCs w:val="24"/>
        </w:rPr>
        <w:t xml:space="preserve"> job</w:t>
      </w:r>
      <w:r w:rsidR="006E71D4" w:rsidRPr="00550A7D">
        <w:rPr>
          <w:rFonts w:ascii="Arial" w:hAnsi="Arial" w:cs="Arial"/>
          <w:sz w:val="24"/>
          <w:szCs w:val="24"/>
        </w:rPr>
        <w:t xml:space="preserve"> density</w:t>
      </w:r>
      <w:r w:rsidR="006E71D4" w:rsidRPr="00550A7D">
        <w:rPr>
          <w:rFonts w:ascii="Arial" w:hAnsi="Arial" w:cs="Arial"/>
          <w:sz w:val="24"/>
          <w:szCs w:val="24"/>
        </w:rPr>
        <w:t xml:space="preserve"> for the district where the station is located</w:t>
      </w:r>
      <w:r w:rsidR="006E71D4" w:rsidRPr="00550A7D">
        <w:rPr>
          <w:rFonts w:ascii="Arial" w:hAnsi="Arial" w:cs="Arial"/>
          <w:sz w:val="24"/>
          <w:szCs w:val="24"/>
        </w:rPr>
        <w:t>.</w:t>
      </w:r>
    </w:p>
    <w:p w14:paraId="2267ABE4" w14:textId="097726F0" w:rsidR="00E72CF0" w:rsidRPr="00550A7D" w:rsidRDefault="00E72CF0" w:rsidP="00550A7D">
      <w:pPr>
        <w:pStyle w:val="ListParagraph"/>
        <w:numPr>
          <w:ilvl w:val="1"/>
          <w:numId w:val="1"/>
        </w:numPr>
        <w:rPr>
          <w:rFonts w:ascii="Arial" w:hAnsi="Arial" w:cs="Arial"/>
          <w:sz w:val="24"/>
          <w:szCs w:val="24"/>
        </w:rPr>
      </w:pPr>
      <w:r w:rsidRPr="00550A7D">
        <w:rPr>
          <w:rFonts w:ascii="Arial" w:hAnsi="Arial" w:cs="Arial"/>
          <w:sz w:val="24"/>
          <w:szCs w:val="24"/>
        </w:rPr>
        <w:lastRenderedPageBreak/>
        <w:t xml:space="preserve">Employment Gap Score: </w:t>
      </w:r>
      <w:r w:rsidR="006E71D4" w:rsidRPr="00550A7D">
        <w:rPr>
          <w:rFonts w:ascii="Arial" w:hAnsi="Arial" w:cs="Arial"/>
          <w:sz w:val="24"/>
          <w:szCs w:val="24"/>
        </w:rPr>
        <w:t xml:space="preserve">Scores for </w:t>
      </w:r>
      <w:r w:rsidR="006E71D4" w:rsidRPr="00550A7D">
        <w:rPr>
          <w:rFonts w:ascii="Arial" w:hAnsi="Arial" w:cs="Arial"/>
          <w:sz w:val="24"/>
          <w:szCs w:val="24"/>
        </w:rPr>
        <w:t>station in the neighborhoods</w:t>
      </w:r>
      <w:r w:rsidR="006E71D4" w:rsidRPr="00550A7D">
        <w:rPr>
          <w:rFonts w:ascii="Arial" w:hAnsi="Arial" w:cs="Arial"/>
          <w:sz w:val="24"/>
          <w:szCs w:val="24"/>
        </w:rPr>
        <w:t xml:space="preserve"> where there are huge gaps between population and</w:t>
      </w:r>
      <w:r w:rsidR="006E71D4" w:rsidRPr="00550A7D">
        <w:rPr>
          <w:rFonts w:ascii="Arial" w:hAnsi="Arial" w:cs="Arial"/>
          <w:sz w:val="24"/>
          <w:szCs w:val="24"/>
        </w:rPr>
        <w:t xml:space="preserve"> number of</w:t>
      </w:r>
      <w:r w:rsidR="006E71D4" w:rsidRPr="00550A7D">
        <w:rPr>
          <w:rFonts w:ascii="Arial" w:hAnsi="Arial" w:cs="Arial"/>
          <w:sz w:val="24"/>
          <w:szCs w:val="24"/>
        </w:rPr>
        <w:t xml:space="preserve"> jobs available</w:t>
      </w:r>
      <w:r w:rsidR="006E71D4" w:rsidRPr="00550A7D">
        <w:rPr>
          <w:rFonts w:ascii="Arial" w:hAnsi="Arial" w:cs="Arial"/>
          <w:sz w:val="24"/>
          <w:szCs w:val="24"/>
        </w:rPr>
        <w:t>.</w:t>
      </w:r>
    </w:p>
    <w:p w14:paraId="404C4D57" w14:textId="3B1D8780" w:rsidR="00E72CF0" w:rsidRPr="00550A7D" w:rsidRDefault="00E72CF0" w:rsidP="00550A7D">
      <w:pPr>
        <w:pStyle w:val="ListParagraph"/>
        <w:numPr>
          <w:ilvl w:val="0"/>
          <w:numId w:val="1"/>
        </w:numPr>
        <w:rPr>
          <w:rFonts w:ascii="Arial" w:hAnsi="Arial" w:cs="Arial"/>
          <w:sz w:val="24"/>
          <w:szCs w:val="24"/>
        </w:rPr>
      </w:pPr>
      <w:r w:rsidRPr="00550A7D">
        <w:rPr>
          <w:rFonts w:ascii="Arial" w:hAnsi="Arial" w:cs="Arial"/>
          <w:sz w:val="24"/>
          <w:szCs w:val="24"/>
        </w:rPr>
        <w:t xml:space="preserve">Census Data: I use the American Community Survey data of 2019 at the census-tract level to conduct social analysis using </w:t>
      </w:r>
      <w:proofErr w:type="spellStart"/>
      <w:r w:rsidRPr="00550A7D">
        <w:rPr>
          <w:rFonts w:ascii="Arial" w:hAnsi="Arial" w:cs="Arial"/>
          <w:sz w:val="24"/>
          <w:szCs w:val="24"/>
        </w:rPr>
        <w:t>Tidycensus</w:t>
      </w:r>
      <w:proofErr w:type="spellEnd"/>
      <w:r w:rsidRPr="00550A7D">
        <w:rPr>
          <w:rFonts w:ascii="Arial" w:hAnsi="Arial" w:cs="Arial"/>
          <w:sz w:val="24"/>
          <w:szCs w:val="24"/>
        </w:rPr>
        <w:t xml:space="preserve"> package in R. Some of the variables used include Total Population, Number of people living in Poverty, Median Income, Number of people living in own houses. I join the tract into the stations.</w:t>
      </w:r>
    </w:p>
    <w:p w14:paraId="76E409D2" w14:textId="58E12548" w:rsidR="006E71D4" w:rsidRPr="00550A7D" w:rsidRDefault="006E71D4" w:rsidP="00550A7D">
      <w:pPr>
        <w:pStyle w:val="ListParagraph"/>
        <w:numPr>
          <w:ilvl w:val="1"/>
          <w:numId w:val="1"/>
        </w:numPr>
        <w:rPr>
          <w:rFonts w:ascii="Arial" w:hAnsi="Arial" w:cs="Arial"/>
          <w:sz w:val="24"/>
          <w:szCs w:val="24"/>
        </w:rPr>
      </w:pPr>
      <w:r w:rsidRPr="00550A7D">
        <w:rPr>
          <w:rFonts w:ascii="Arial" w:hAnsi="Arial" w:cs="Arial"/>
          <w:sz w:val="24"/>
          <w:szCs w:val="24"/>
        </w:rPr>
        <w:t xml:space="preserve">Poverty Rate Score: </w:t>
      </w:r>
      <w:r w:rsidRPr="00550A7D">
        <w:rPr>
          <w:rFonts w:ascii="Arial" w:hAnsi="Arial" w:cs="Arial"/>
          <w:sz w:val="24"/>
          <w:szCs w:val="24"/>
        </w:rPr>
        <w:t xml:space="preserve">Scores for the </w:t>
      </w:r>
      <w:r w:rsidRPr="00550A7D">
        <w:rPr>
          <w:rFonts w:ascii="Arial" w:hAnsi="Arial" w:cs="Arial"/>
          <w:sz w:val="24"/>
          <w:szCs w:val="24"/>
        </w:rPr>
        <w:t xml:space="preserve">inverse </w:t>
      </w:r>
      <w:r w:rsidRPr="00550A7D">
        <w:rPr>
          <w:rFonts w:ascii="Arial" w:hAnsi="Arial" w:cs="Arial"/>
          <w:sz w:val="24"/>
          <w:szCs w:val="24"/>
        </w:rPr>
        <w:t>Poverty Rate of the Census tract the station is located</w:t>
      </w:r>
      <w:r w:rsidRPr="00550A7D">
        <w:rPr>
          <w:rFonts w:ascii="Arial" w:hAnsi="Arial" w:cs="Arial"/>
          <w:sz w:val="24"/>
          <w:szCs w:val="24"/>
        </w:rPr>
        <w:t xml:space="preserve"> – the higher the score is, the less poverty rate they have.</w:t>
      </w:r>
    </w:p>
    <w:p w14:paraId="5060184B" w14:textId="3EDCED13" w:rsidR="006E71D4" w:rsidRPr="00550A7D" w:rsidRDefault="006E71D4" w:rsidP="00550A7D">
      <w:pPr>
        <w:pStyle w:val="ListParagraph"/>
        <w:numPr>
          <w:ilvl w:val="1"/>
          <w:numId w:val="1"/>
        </w:numPr>
        <w:rPr>
          <w:rFonts w:ascii="Arial" w:hAnsi="Arial" w:cs="Arial"/>
          <w:sz w:val="24"/>
          <w:szCs w:val="24"/>
        </w:rPr>
      </w:pPr>
      <w:r w:rsidRPr="00550A7D">
        <w:rPr>
          <w:rFonts w:ascii="Arial" w:hAnsi="Arial" w:cs="Arial"/>
          <w:sz w:val="24"/>
          <w:szCs w:val="24"/>
        </w:rPr>
        <w:t xml:space="preserve">Median Income Score: </w:t>
      </w:r>
      <w:r w:rsidRPr="00550A7D">
        <w:rPr>
          <w:rFonts w:ascii="Arial" w:hAnsi="Arial" w:cs="Arial"/>
          <w:sz w:val="24"/>
          <w:szCs w:val="24"/>
        </w:rPr>
        <w:t>Scores for the median income of the census tract the station is located</w:t>
      </w:r>
      <w:r w:rsidRPr="00550A7D">
        <w:rPr>
          <w:rFonts w:ascii="Arial" w:hAnsi="Arial" w:cs="Arial"/>
          <w:sz w:val="24"/>
          <w:szCs w:val="24"/>
        </w:rPr>
        <w:t>. It is worth mentioning that both poverty rate and median income are not the same: people with low income are not necessarily living under poverty.</w:t>
      </w:r>
    </w:p>
    <w:p w14:paraId="3C7FD57C" w14:textId="4289EE18" w:rsidR="006E71D4" w:rsidRPr="00550A7D" w:rsidRDefault="006E71D4" w:rsidP="00550A7D">
      <w:pPr>
        <w:pStyle w:val="ListParagraph"/>
        <w:numPr>
          <w:ilvl w:val="1"/>
          <w:numId w:val="1"/>
        </w:numPr>
        <w:rPr>
          <w:rFonts w:ascii="Arial" w:hAnsi="Arial" w:cs="Arial"/>
          <w:sz w:val="24"/>
          <w:szCs w:val="24"/>
        </w:rPr>
      </w:pPr>
      <w:r w:rsidRPr="00550A7D">
        <w:rPr>
          <w:rFonts w:ascii="Arial" w:hAnsi="Arial" w:cs="Arial"/>
          <w:sz w:val="24"/>
          <w:szCs w:val="24"/>
        </w:rPr>
        <w:t>Not be gentrified Score: Likelihood</w:t>
      </w:r>
      <w:r w:rsidRPr="00550A7D">
        <w:rPr>
          <w:rFonts w:ascii="Arial" w:hAnsi="Arial" w:cs="Arial"/>
          <w:sz w:val="24"/>
          <w:szCs w:val="24"/>
        </w:rPr>
        <w:t xml:space="preserve"> of not being gentrified after the TOD project</w:t>
      </w:r>
      <w:r w:rsidRPr="00550A7D">
        <w:rPr>
          <w:rFonts w:ascii="Arial" w:hAnsi="Arial" w:cs="Arial"/>
          <w:sz w:val="24"/>
          <w:szCs w:val="24"/>
        </w:rPr>
        <w:t>. This is calculated based on the g</w:t>
      </w:r>
      <w:r w:rsidRPr="00550A7D">
        <w:rPr>
          <w:rFonts w:ascii="Arial" w:hAnsi="Arial" w:cs="Arial"/>
          <w:sz w:val="24"/>
          <w:szCs w:val="24"/>
        </w:rPr>
        <w:t xml:space="preserve">aps between </w:t>
      </w:r>
      <w:proofErr w:type="spellStart"/>
      <w:r w:rsidRPr="00550A7D">
        <w:rPr>
          <w:rFonts w:ascii="Arial" w:hAnsi="Arial" w:cs="Arial"/>
          <w:sz w:val="24"/>
          <w:szCs w:val="24"/>
        </w:rPr>
        <w:t>quantiled</w:t>
      </w:r>
      <w:proofErr w:type="spellEnd"/>
      <w:r w:rsidRPr="00550A7D">
        <w:rPr>
          <w:rFonts w:ascii="Arial" w:hAnsi="Arial" w:cs="Arial"/>
          <w:sz w:val="24"/>
          <w:szCs w:val="24"/>
        </w:rPr>
        <w:t xml:space="preserve"> medium income and </w:t>
      </w:r>
      <w:proofErr w:type="spellStart"/>
      <w:r w:rsidRPr="00550A7D">
        <w:rPr>
          <w:rFonts w:ascii="Arial" w:hAnsi="Arial" w:cs="Arial"/>
          <w:sz w:val="24"/>
          <w:szCs w:val="24"/>
        </w:rPr>
        <w:t>quantiled</w:t>
      </w:r>
      <w:proofErr w:type="spellEnd"/>
      <w:r w:rsidRPr="00550A7D">
        <w:rPr>
          <w:rFonts w:ascii="Arial" w:hAnsi="Arial" w:cs="Arial"/>
          <w:sz w:val="24"/>
          <w:szCs w:val="24"/>
        </w:rPr>
        <w:t xml:space="preserve"> poverty rate</w:t>
      </w:r>
      <w:r w:rsidRPr="00550A7D">
        <w:rPr>
          <w:rFonts w:ascii="Arial" w:hAnsi="Arial" w:cs="Arial"/>
          <w:sz w:val="24"/>
          <w:szCs w:val="24"/>
        </w:rPr>
        <w:t>, then</w:t>
      </w:r>
      <w:r w:rsidRPr="00550A7D">
        <w:rPr>
          <w:rFonts w:ascii="Arial" w:hAnsi="Arial" w:cs="Arial"/>
          <w:sz w:val="24"/>
          <w:szCs w:val="24"/>
        </w:rPr>
        <w:t xml:space="preserve"> by </w:t>
      </w:r>
      <w:proofErr w:type="spellStart"/>
      <w:r w:rsidRPr="00550A7D">
        <w:rPr>
          <w:rFonts w:ascii="Arial" w:hAnsi="Arial" w:cs="Arial"/>
          <w:sz w:val="24"/>
          <w:szCs w:val="24"/>
        </w:rPr>
        <w:t>quantiled</w:t>
      </w:r>
      <w:proofErr w:type="spellEnd"/>
      <w:r w:rsidRPr="00550A7D">
        <w:rPr>
          <w:rFonts w:ascii="Arial" w:hAnsi="Arial" w:cs="Arial"/>
          <w:sz w:val="24"/>
          <w:szCs w:val="24"/>
        </w:rPr>
        <w:t xml:space="preserve"> house ownership rate</w:t>
      </w:r>
      <w:r w:rsidRPr="00550A7D">
        <w:rPr>
          <w:rFonts w:ascii="Arial" w:hAnsi="Arial" w:cs="Arial"/>
          <w:sz w:val="24"/>
          <w:szCs w:val="24"/>
        </w:rPr>
        <w:t xml:space="preserve">. This identifier is based on </w:t>
      </w:r>
      <w:r w:rsidR="00144E0E" w:rsidRPr="00550A7D">
        <w:rPr>
          <w:rFonts w:ascii="Arial" w:hAnsi="Arial" w:cs="Arial"/>
          <w:sz w:val="24"/>
          <w:szCs w:val="24"/>
        </w:rPr>
        <w:t xml:space="preserve">the assumption that </w:t>
      </w:r>
      <w:r w:rsidRPr="00550A7D">
        <w:rPr>
          <w:rFonts w:ascii="Arial" w:hAnsi="Arial" w:cs="Arial"/>
          <w:sz w:val="24"/>
          <w:szCs w:val="24"/>
        </w:rPr>
        <w:t xml:space="preserve">how vulnerable the </w:t>
      </w:r>
      <w:r w:rsidR="00144E0E" w:rsidRPr="00550A7D">
        <w:rPr>
          <w:rFonts w:ascii="Arial" w:hAnsi="Arial" w:cs="Arial"/>
          <w:sz w:val="24"/>
          <w:szCs w:val="24"/>
        </w:rPr>
        <w:t>affordability (how likely you will survive in this neighborhood given the current income) of the neighborhood is.</w:t>
      </w:r>
    </w:p>
    <w:p w14:paraId="407FE32A" w14:textId="4BAC4E10" w:rsidR="007E4723" w:rsidRPr="00550A7D" w:rsidRDefault="007E4723" w:rsidP="00550A7D">
      <w:pPr>
        <w:rPr>
          <w:rFonts w:ascii="Arial" w:hAnsi="Arial" w:cs="Arial"/>
          <w:sz w:val="24"/>
          <w:szCs w:val="24"/>
        </w:rPr>
      </w:pPr>
      <w:r w:rsidRPr="00550A7D">
        <w:rPr>
          <w:rFonts w:ascii="Arial" w:hAnsi="Arial" w:cs="Arial"/>
          <w:noProof/>
        </w:rPr>
        <w:lastRenderedPageBreak/>
        <w:drawing>
          <wp:inline distT="0" distB="0" distL="0" distR="0" wp14:anchorId="4FDC1FA4" wp14:editId="3959F8D8">
            <wp:extent cx="5943600" cy="4621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2C3B8AA3" w14:textId="0C21E8C1" w:rsidR="007E4723" w:rsidRPr="00550A7D" w:rsidRDefault="007E4723" w:rsidP="00550A7D">
      <w:pPr>
        <w:jc w:val="center"/>
        <w:rPr>
          <w:rFonts w:ascii="Arial" w:hAnsi="Arial" w:cs="Arial"/>
          <w:i/>
          <w:iCs/>
          <w:sz w:val="24"/>
          <w:szCs w:val="24"/>
        </w:rPr>
      </w:pPr>
      <w:r w:rsidRPr="00550A7D">
        <w:rPr>
          <w:rFonts w:ascii="Arial" w:hAnsi="Arial" w:cs="Arial"/>
          <w:i/>
          <w:iCs/>
          <w:sz w:val="24"/>
          <w:szCs w:val="24"/>
        </w:rPr>
        <w:t>Maps for the possible gentrification: they are clustered in North Philly, Northeast Philadelphia and Southwest part of the region.</w:t>
      </w:r>
    </w:p>
    <w:p w14:paraId="6D52D319" w14:textId="0196ED23" w:rsidR="00E72CF0" w:rsidRPr="00550A7D" w:rsidRDefault="00144E0E" w:rsidP="00550A7D">
      <w:pPr>
        <w:pStyle w:val="ListParagraph"/>
        <w:numPr>
          <w:ilvl w:val="0"/>
          <w:numId w:val="1"/>
        </w:numPr>
        <w:rPr>
          <w:rFonts w:ascii="Arial" w:hAnsi="Arial" w:cs="Arial"/>
          <w:sz w:val="24"/>
          <w:szCs w:val="24"/>
        </w:rPr>
      </w:pPr>
      <w:r w:rsidRPr="00550A7D">
        <w:rPr>
          <w:rFonts w:ascii="Arial" w:hAnsi="Arial" w:cs="Arial"/>
          <w:sz w:val="24"/>
          <w:szCs w:val="24"/>
        </w:rPr>
        <w:t>Municipality Data: this is the boundary data of all the municipality (cities, boroughs and townships) queried from the DVRPC Open Data</w:t>
      </w:r>
      <w:r w:rsidR="00F13F89" w:rsidRPr="00550A7D">
        <w:rPr>
          <w:rFonts w:ascii="Arial" w:hAnsi="Arial" w:cs="Arial"/>
          <w:sz w:val="24"/>
          <w:szCs w:val="24"/>
        </w:rPr>
        <w:t xml:space="preserve"> and are joined to the station data</w:t>
      </w:r>
      <w:r w:rsidRPr="00550A7D">
        <w:rPr>
          <w:rFonts w:ascii="Arial" w:hAnsi="Arial" w:cs="Arial"/>
          <w:sz w:val="24"/>
          <w:szCs w:val="24"/>
        </w:rPr>
        <w:t xml:space="preserve">. Generally, stations located in type of municipalities of cities, boroughs, or small townships are assigned higher score as those places are more densely developed. </w:t>
      </w:r>
    </w:p>
    <w:p w14:paraId="6DB94B51" w14:textId="27DD6BE1" w:rsidR="00144E0E" w:rsidRPr="00550A7D" w:rsidRDefault="00144E0E" w:rsidP="00550A7D">
      <w:pPr>
        <w:pStyle w:val="ListParagraph"/>
        <w:numPr>
          <w:ilvl w:val="0"/>
          <w:numId w:val="1"/>
        </w:numPr>
        <w:rPr>
          <w:rFonts w:ascii="Arial" w:hAnsi="Arial" w:cs="Arial"/>
          <w:sz w:val="24"/>
          <w:szCs w:val="24"/>
        </w:rPr>
      </w:pPr>
      <w:r w:rsidRPr="00550A7D">
        <w:rPr>
          <w:rFonts w:ascii="Arial" w:hAnsi="Arial" w:cs="Arial"/>
          <w:sz w:val="24"/>
          <w:szCs w:val="24"/>
        </w:rPr>
        <w:t>Slope Data: This is calculated based on the raster Digital Elevation Model (DEM) data from the USGS Earth Explorer.</w:t>
      </w:r>
    </w:p>
    <w:p w14:paraId="74805FCA" w14:textId="0CEAA1CD" w:rsidR="00527B76" w:rsidRPr="00550A7D" w:rsidRDefault="00527B76" w:rsidP="00550A7D">
      <w:pPr>
        <w:pStyle w:val="ListParagraph"/>
        <w:numPr>
          <w:ilvl w:val="0"/>
          <w:numId w:val="1"/>
        </w:numPr>
        <w:rPr>
          <w:rFonts w:ascii="Arial" w:hAnsi="Arial" w:cs="Arial"/>
          <w:sz w:val="24"/>
          <w:szCs w:val="24"/>
        </w:rPr>
      </w:pPr>
      <w:r w:rsidRPr="00550A7D">
        <w:rPr>
          <w:rFonts w:ascii="Arial" w:hAnsi="Arial" w:cs="Arial"/>
          <w:sz w:val="24"/>
          <w:szCs w:val="24"/>
        </w:rPr>
        <w:t xml:space="preserve">Parcel Data: this is the most challenging part of the analysis due to the size of the data and complexity on how to analyze them. The data are from the DVRPC. Firstly, I converted them into point data just for the convenience in processing. </w:t>
      </w:r>
      <w:r w:rsidR="00F13F89" w:rsidRPr="00550A7D">
        <w:rPr>
          <w:rFonts w:ascii="Arial" w:hAnsi="Arial" w:cs="Arial"/>
          <w:sz w:val="24"/>
          <w:szCs w:val="24"/>
        </w:rPr>
        <w:t>Second,</w:t>
      </w:r>
      <w:r w:rsidRPr="00550A7D">
        <w:rPr>
          <w:rFonts w:ascii="Arial" w:hAnsi="Arial" w:cs="Arial"/>
          <w:sz w:val="24"/>
          <w:szCs w:val="24"/>
        </w:rPr>
        <w:t xml:space="preserve"> I filtered parcels around 800-meter TOD buffer zone for all the stations, and </w:t>
      </w:r>
      <w:r w:rsidR="00F13F89" w:rsidRPr="00550A7D">
        <w:rPr>
          <w:rFonts w:ascii="Arial" w:hAnsi="Arial" w:cs="Arial"/>
          <w:sz w:val="24"/>
          <w:szCs w:val="24"/>
        </w:rPr>
        <w:t>lastly,</w:t>
      </w:r>
      <w:r w:rsidRPr="00550A7D">
        <w:rPr>
          <w:rFonts w:ascii="Arial" w:hAnsi="Arial" w:cs="Arial"/>
          <w:sz w:val="24"/>
          <w:szCs w:val="24"/>
        </w:rPr>
        <w:t xml:space="preserve"> I join the parcels to the station for by the type of land use and total size. Given that, I have created three factors related to land use:</w:t>
      </w:r>
    </w:p>
    <w:p w14:paraId="09A84EDA" w14:textId="25DC2B62" w:rsidR="00527B76" w:rsidRPr="00550A7D" w:rsidRDefault="00527B76" w:rsidP="00550A7D">
      <w:pPr>
        <w:pStyle w:val="ListParagraph"/>
        <w:numPr>
          <w:ilvl w:val="1"/>
          <w:numId w:val="1"/>
        </w:numPr>
        <w:rPr>
          <w:rFonts w:ascii="Arial" w:hAnsi="Arial" w:cs="Arial"/>
          <w:sz w:val="24"/>
          <w:szCs w:val="24"/>
        </w:rPr>
      </w:pPr>
      <w:r w:rsidRPr="00550A7D">
        <w:rPr>
          <w:rFonts w:ascii="Arial" w:hAnsi="Arial" w:cs="Arial"/>
          <w:sz w:val="24"/>
          <w:szCs w:val="24"/>
        </w:rPr>
        <w:t xml:space="preserve">Underused Land: there are still quite a lot of underused parcels around the 800 meters buffer zone. I aggregate the size of all the parcels zoned as </w:t>
      </w:r>
      <w:r w:rsidR="00F13F89" w:rsidRPr="00550A7D">
        <w:rPr>
          <w:rFonts w:ascii="Arial" w:hAnsi="Arial" w:cs="Arial"/>
          <w:sz w:val="24"/>
          <w:szCs w:val="24"/>
        </w:rPr>
        <w:lastRenderedPageBreak/>
        <w:t>agriculture, underdeveloped (General and Transitional), parking (Undetermined and transportation)</w:t>
      </w:r>
      <w:r w:rsidR="00F13F89" w:rsidRPr="00550A7D">
        <w:rPr>
          <w:rFonts w:ascii="Arial" w:hAnsi="Arial" w:cs="Arial"/>
          <w:sz w:val="24"/>
          <w:szCs w:val="24"/>
        </w:rPr>
        <w:t>, and cut them into 10.</w:t>
      </w:r>
    </w:p>
    <w:p w14:paraId="0A790FB8" w14:textId="33DE26A8" w:rsidR="003320B7" w:rsidRPr="00550A7D" w:rsidRDefault="003320B7" w:rsidP="00550A7D">
      <w:pPr>
        <w:rPr>
          <w:rFonts w:ascii="Arial" w:hAnsi="Arial" w:cs="Arial"/>
          <w:sz w:val="24"/>
          <w:szCs w:val="24"/>
        </w:rPr>
      </w:pPr>
      <w:r w:rsidRPr="00550A7D">
        <w:rPr>
          <w:rFonts w:ascii="Arial" w:hAnsi="Arial" w:cs="Arial"/>
          <w:noProof/>
        </w:rPr>
        <w:drawing>
          <wp:inline distT="0" distB="0" distL="0" distR="0" wp14:anchorId="3C8F96F7" wp14:editId="0C0195D8">
            <wp:extent cx="5943600" cy="462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6C7DD4CB" w14:textId="255A1459" w:rsidR="003320B7" w:rsidRPr="00550A7D" w:rsidRDefault="003320B7" w:rsidP="00550A7D">
      <w:pPr>
        <w:jc w:val="center"/>
        <w:rPr>
          <w:rFonts w:ascii="Arial" w:hAnsi="Arial" w:cs="Arial"/>
          <w:i/>
          <w:iCs/>
          <w:sz w:val="24"/>
          <w:szCs w:val="24"/>
        </w:rPr>
      </w:pPr>
      <w:r w:rsidRPr="00550A7D">
        <w:rPr>
          <w:rFonts w:ascii="Arial" w:hAnsi="Arial" w:cs="Arial"/>
          <w:i/>
          <w:iCs/>
          <w:sz w:val="24"/>
          <w:szCs w:val="24"/>
        </w:rPr>
        <w:t>Stations with the most underused land. There is no clear clustering patterns but by doing such quantitative and spatial analysis we would be able to filter them out.</w:t>
      </w:r>
    </w:p>
    <w:p w14:paraId="585D988D" w14:textId="7A9F14BF" w:rsidR="00F13F89" w:rsidRPr="00550A7D" w:rsidRDefault="00F13F89" w:rsidP="00550A7D">
      <w:pPr>
        <w:pStyle w:val="ListParagraph"/>
        <w:numPr>
          <w:ilvl w:val="1"/>
          <w:numId w:val="1"/>
        </w:numPr>
        <w:rPr>
          <w:rFonts w:ascii="Arial" w:hAnsi="Arial" w:cs="Arial"/>
          <w:sz w:val="24"/>
          <w:szCs w:val="24"/>
        </w:rPr>
      </w:pPr>
      <w:r w:rsidRPr="00550A7D">
        <w:rPr>
          <w:rFonts w:ascii="Arial" w:hAnsi="Arial" w:cs="Arial"/>
          <w:sz w:val="24"/>
          <w:szCs w:val="24"/>
        </w:rPr>
        <w:t xml:space="preserve">Attractive Land Score: People want to live next to place there are more attractive amenities. Thus, I aggregate the parcels zoned as </w:t>
      </w:r>
      <w:r w:rsidRPr="00550A7D">
        <w:rPr>
          <w:rFonts w:ascii="Arial" w:hAnsi="Arial" w:cs="Arial"/>
          <w:sz w:val="24"/>
          <w:szCs w:val="24"/>
        </w:rPr>
        <w:t>Commercial, Institutional, Recreational</w:t>
      </w:r>
      <w:r w:rsidRPr="00550A7D">
        <w:rPr>
          <w:rFonts w:ascii="Arial" w:hAnsi="Arial" w:cs="Arial"/>
          <w:sz w:val="24"/>
          <w:szCs w:val="24"/>
        </w:rPr>
        <w:t xml:space="preserve"> and cut them into 10.</w:t>
      </w:r>
    </w:p>
    <w:p w14:paraId="59B00426" w14:textId="204DEAF9" w:rsidR="00527B76" w:rsidRPr="00550A7D" w:rsidRDefault="00F13F89" w:rsidP="00550A7D">
      <w:pPr>
        <w:pStyle w:val="ListParagraph"/>
        <w:numPr>
          <w:ilvl w:val="1"/>
          <w:numId w:val="1"/>
        </w:numPr>
        <w:rPr>
          <w:rFonts w:ascii="Arial" w:hAnsi="Arial" w:cs="Arial"/>
          <w:sz w:val="24"/>
          <w:szCs w:val="24"/>
        </w:rPr>
      </w:pPr>
      <w:r w:rsidRPr="00550A7D">
        <w:rPr>
          <w:rFonts w:ascii="Arial" w:hAnsi="Arial" w:cs="Arial"/>
          <w:sz w:val="24"/>
          <w:szCs w:val="24"/>
        </w:rPr>
        <w:t xml:space="preserve">Unattractive Land Score: People generally don’t like living next to unattractive places. </w:t>
      </w:r>
      <w:r w:rsidRPr="00550A7D">
        <w:rPr>
          <w:rFonts w:ascii="Arial" w:hAnsi="Arial" w:cs="Arial"/>
          <w:sz w:val="24"/>
          <w:szCs w:val="24"/>
        </w:rPr>
        <w:t>Thus, I aggregate the parcels zoned as Industrial, Military, Utility</w:t>
      </w:r>
      <w:r w:rsidRPr="00550A7D">
        <w:rPr>
          <w:rFonts w:ascii="Arial" w:hAnsi="Arial" w:cs="Arial"/>
          <w:sz w:val="24"/>
          <w:szCs w:val="24"/>
        </w:rPr>
        <w:t xml:space="preserve"> </w:t>
      </w:r>
      <w:r w:rsidRPr="00550A7D">
        <w:rPr>
          <w:rFonts w:ascii="Arial" w:hAnsi="Arial" w:cs="Arial"/>
          <w:sz w:val="24"/>
          <w:szCs w:val="24"/>
        </w:rPr>
        <w:t xml:space="preserve">and </w:t>
      </w:r>
      <w:r w:rsidRPr="00550A7D">
        <w:rPr>
          <w:rFonts w:ascii="Arial" w:hAnsi="Arial" w:cs="Arial"/>
          <w:sz w:val="24"/>
          <w:szCs w:val="24"/>
        </w:rPr>
        <w:t xml:space="preserve">negatively </w:t>
      </w:r>
      <w:r w:rsidRPr="00550A7D">
        <w:rPr>
          <w:rFonts w:ascii="Arial" w:hAnsi="Arial" w:cs="Arial"/>
          <w:sz w:val="24"/>
          <w:szCs w:val="24"/>
        </w:rPr>
        <w:t>cut them into 10</w:t>
      </w:r>
      <w:r w:rsidRPr="00550A7D">
        <w:rPr>
          <w:rFonts w:ascii="Arial" w:hAnsi="Arial" w:cs="Arial"/>
          <w:sz w:val="24"/>
          <w:szCs w:val="24"/>
        </w:rPr>
        <w:t xml:space="preserve"> – the higher the score is, the less unattractive land there are.</w:t>
      </w:r>
    </w:p>
    <w:p w14:paraId="683C2075" w14:textId="53C2540A" w:rsidR="00F13F89" w:rsidRPr="00550A7D" w:rsidRDefault="00F13F89" w:rsidP="00550A7D">
      <w:pPr>
        <w:jc w:val="center"/>
        <w:rPr>
          <w:rFonts w:ascii="Arial" w:hAnsi="Arial" w:cs="Arial"/>
          <w:sz w:val="24"/>
          <w:szCs w:val="24"/>
        </w:rPr>
      </w:pPr>
      <w:r w:rsidRPr="00550A7D">
        <w:rPr>
          <w:rFonts w:ascii="Arial" w:hAnsi="Arial" w:cs="Arial"/>
          <w:noProof/>
        </w:rPr>
        <w:lastRenderedPageBreak/>
        <w:drawing>
          <wp:inline distT="0" distB="0" distL="0" distR="0" wp14:anchorId="0EDA2CC0" wp14:editId="49247298">
            <wp:extent cx="2847975" cy="2214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6067" cy="2220775"/>
                    </a:xfrm>
                    <a:prstGeom prst="rect">
                      <a:avLst/>
                    </a:prstGeom>
                    <a:noFill/>
                    <a:ln>
                      <a:noFill/>
                    </a:ln>
                  </pic:spPr>
                </pic:pic>
              </a:graphicData>
            </a:graphic>
          </wp:inline>
        </w:drawing>
      </w:r>
      <w:r w:rsidRPr="00550A7D">
        <w:rPr>
          <w:rFonts w:ascii="Arial" w:hAnsi="Arial" w:cs="Arial"/>
          <w:noProof/>
        </w:rPr>
        <w:drawing>
          <wp:inline distT="0" distB="0" distL="0" distR="0" wp14:anchorId="27822072" wp14:editId="12A36816">
            <wp:extent cx="2904883" cy="22587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5972" cy="2267354"/>
                    </a:xfrm>
                    <a:prstGeom prst="rect">
                      <a:avLst/>
                    </a:prstGeom>
                    <a:noFill/>
                    <a:ln>
                      <a:noFill/>
                    </a:ln>
                  </pic:spPr>
                </pic:pic>
              </a:graphicData>
            </a:graphic>
          </wp:inline>
        </w:drawing>
      </w:r>
    </w:p>
    <w:p w14:paraId="611ED3CE" w14:textId="32C40AB9" w:rsidR="003320B7" w:rsidRPr="00550A7D" w:rsidRDefault="003320B7" w:rsidP="00550A7D">
      <w:pPr>
        <w:jc w:val="center"/>
        <w:rPr>
          <w:rFonts w:ascii="Arial" w:hAnsi="Arial" w:cs="Arial"/>
          <w:i/>
          <w:iCs/>
          <w:sz w:val="24"/>
          <w:szCs w:val="24"/>
        </w:rPr>
      </w:pPr>
      <w:r w:rsidRPr="00550A7D">
        <w:rPr>
          <w:rFonts w:ascii="Arial" w:hAnsi="Arial" w:cs="Arial"/>
          <w:i/>
          <w:iCs/>
          <w:sz w:val="24"/>
          <w:szCs w:val="24"/>
        </w:rPr>
        <w:t xml:space="preserve">Maps for Attractive and Unattractive land. Original files are in the folder </w:t>
      </w:r>
      <w:proofErr w:type="spellStart"/>
      <w:r w:rsidRPr="00550A7D">
        <w:rPr>
          <w:rFonts w:ascii="Arial" w:hAnsi="Arial" w:cs="Arial"/>
          <w:i/>
          <w:iCs/>
          <w:sz w:val="24"/>
          <w:szCs w:val="24"/>
        </w:rPr>
        <w:t>cleaned_data</w:t>
      </w:r>
      <w:proofErr w:type="spellEnd"/>
      <w:r w:rsidRPr="00550A7D">
        <w:rPr>
          <w:rFonts w:ascii="Arial" w:hAnsi="Arial" w:cs="Arial"/>
          <w:i/>
          <w:iCs/>
          <w:sz w:val="24"/>
          <w:szCs w:val="24"/>
        </w:rPr>
        <w:t>. We can see that stations in Center City and Northwestern Suburban have the most attractive land, while stations alongside the Delaware River have the most unattractive lands.</w:t>
      </w:r>
    </w:p>
    <w:p w14:paraId="19828E0A" w14:textId="4369ED66" w:rsidR="00F13F89" w:rsidRPr="00550A7D" w:rsidRDefault="00F13F89" w:rsidP="00550A7D">
      <w:pPr>
        <w:tabs>
          <w:tab w:val="left" w:pos="6795"/>
        </w:tabs>
        <w:rPr>
          <w:rFonts w:ascii="Arial" w:hAnsi="Arial" w:cs="Arial"/>
          <w:sz w:val="24"/>
          <w:szCs w:val="24"/>
        </w:rPr>
      </w:pPr>
      <w:r w:rsidRPr="00550A7D">
        <w:rPr>
          <w:rFonts w:ascii="Arial" w:hAnsi="Arial" w:cs="Arial"/>
          <w:sz w:val="24"/>
          <w:szCs w:val="24"/>
        </w:rPr>
        <w:tab/>
      </w:r>
    </w:p>
    <w:p w14:paraId="5C6A592C" w14:textId="0EA012D5" w:rsidR="00DD1134" w:rsidRPr="00550A7D" w:rsidRDefault="00DD1134" w:rsidP="00550A7D">
      <w:pPr>
        <w:pStyle w:val="ListParagraph"/>
        <w:numPr>
          <w:ilvl w:val="1"/>
          <w:numId w:val="2"/>
        </w:numPr>
        <w:rPr>
          <w:rFonts w:ascii="Arial" w:hAnsi="Arial" w:cs="Arial"/>
          <w:sz w:val="24"/>
          <w:szCs w:val="24"/>
        </w:rPr>
      </w:pPr>
      <w:r w:rsidRPr="00550A7D">
        <w:rPr>
          <w:rFonts w:ascii="Arial" w:hAnsi="Arial" w:cs="Arial"/>
          <w:sz w:val="24"/>
          <w:szCs w:val="24"/>
        </w:rPr>
        <w:t>Model Building</w:t>
      </w:r>
    </w:p>
    <w:p w14:paraId="5D1F92B6" w14:textId="77777777" w:rsidR="007E4723" w:rsidRPr="00550A7D" w:rsidRDefault="007E4723" w:rsidP="00550A7D">
      <w:pPr>
        <w:rPr>
          <w:rFonts w:ascii="Arial" w:hAnsi="Arial" w:cs="Arial"/>
          <w:sz w:val="24"/>
          <w:szCs w:val="24"/>
        </w:rPr>
      </w:pPr>
      <w:r w:rsidRPr="00550A7D">
        <w:rPr>
          <w:rFonts w:ascii="Arial" w:hAnsi="Arial" w:cs="Arial"/>
          <w:sz w:val="24"/>
          <w:szCs w:val="24"/>
        </w:rPr>
        <w:tab/>
        <w:t xml:space="preserve">With all the preliminary analysis completed, we can start build our model. The </w:t>
      </w:r>
      <w:r w:rsidR="00DD1134" w:rsidRPr="00550A7D">
        <w:rPr>
          <w:rFonts w:ascii="Arial" w:hAnsi="Arial" w:cs="Arial"/>
          <w:sz w:val="24"/>
          <w:szCs w:val="24"/>
        </w:rPr>
        <w:t>Multi-Criteria Decision Analysis (MCDA) is a common model used in social science; it helps researchers to generate decisions by quantitatively taking account of factors with different assigned weights. However, one of the biggest tradeoffs of such model is the process of weighting: it sometimes based on the subjective assumptions from the researchers rather in order to intentionally generate the “preferred” results. Thus, it is important to have a more scientific weighting methods in MCDA analysis.</w:t>
      </w:r>
    </w:p>
    <w:p w14:paraId="7FF3663E" w14:textId="05088AF0" w:rsidR="00DD1134" w:rsidRPr="00550A7D" w:rsidRDefault="007E4723" w:rsidP="00550A7D">
      <w:pPr>
        <w:rPr>
          <w:rFonts w:ascii="Arial" w:hAnsi="Arial" w:cs="Arial"/>
          <w:sz w:val="24"/>
          <w:szCs w:val="24"/>
        </w:rPr>
      </w:pPr>
      <w:r w:rsidRPr="00550A7D">
        <w:rPr>
          <w:rFonts w:ascii="Arial" w:hAnsi="Arial" w:cs="Arial"/>
          <w:sz w:val="24"/>
          <w:szCs w:val="24"/>
        </w:rPr>
        <w:tab/>
      </w:r>
      <w:proofErr w:type="spellStart"/>
      <w:r w:rsidR="00DD1134" w:rsidRPr="00550A7D">
        <w:rPr>
          <w:rFonts w:ascii="Arial" w:hAnsi="Arial" w:cs="Arial"/>
          <w:sz w:val="24"/>
          <w:szCs w:val="24"/>
        </w:rPr>
        <w:t>Németh</w:t>
      </w:r>
      <w:proofErr w:type="spellEnd"/>
      <w:r w:rsidR="00DD1134" w:rsidRPr="00550A7D">
        <w:rPr>
          <w:rFonts w:ascii="Arial" w:hAnsi="Arial" w:cs="Arial"/>
          <w:sz w:val="24"/>
          <w:szCs w:val="24"/>
        </w:rPr>
        <w:t xml:space="preserve"> et al introduced a few weighting methods that could be used in this project. He lists a few weighting methods, like Direct Weighting, Swing Weighting, Scoring Functions, SMART etc. Among them, the method of Analytic Hierarchy Process (AHP) is the most appropriate one for this project: In this method, weights are calculated based on its relationship of importance with other factors, known as Pairwise Comparison in a Preference Matrix. Compared to other weighting methods, it has strengths in both resource requirement, low chance of bias, and overall complexity.</w:t>
      </w:r>
      <w:r w:rsidR="001A6A39" w:rsidRPr="00550A7D">
        <w:rPr>
          <w:rFonts w:ascii="Arial" w:hAnsi="Arial" w:cs="Arial"/>
          <w:sz w:val="24"/>
          <w:szCs w:val="24"/>
        </w:rPr>
        <w:t xml:space="preserve"> By conducting such process, the weights are calculated for all indicators as the following table shows</w:t>
      </w:r>
      <w:r w:rsidR="00947C30" w:rsidRPr="00550A7D">
        <w:rPr>
          <w:rFonts w:ascii="Arial" w:hAnsi="Arial" w:cs="Arial"/>
          <w:sz w:val="24"/>
          <w:szCs w:val="24"/>
        </w:rPr>
        <w:t xml:space="preserve"> (the detailed weighting process are in the tab 2 of the Metadata)</w:t>
      </w:r>
      <w:r w:rsidR="001A6A39" w:rsidRPr="00550A7D">
        <w:rPr>
          <w:rFonts w:ascii="Arial" w:hAnsi="Arial" w:cs="Arial"/>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947C30" w:rsidRPr="00550A7D" w14:paraId="3EDFF2B0" w14:textId="77777777" w:rsidTr="00947C30">
        <w:tc>
          <w:tcPr>
            <w:tcW w:w="2337" w:type="dxa"/>
            <w:shd w:val="clear" w:color="auto" w:fill="AEAAAA" w:themeFill="background2" w:themeFillShade="BF"/>
          </w:tcPr>
          <w:p w14:paraId="6F856D0D" w14:textId="72E8F7E2" w:rsidR="00947C30" w:rsidRPr="00550A7D" w:rsidRDefault="00947C30" w:rsidP="00550A7D">
            <w:pPr>
              <w:rPr>
                <w:rFonts w:ascii="Arial" w:hAnsi="Arial" w:cs="Arial"/>
                <w:b/>
                <w:bCs/>
                <w:sz w:val="24"/>
                <w:szCs w:val="24"/>
              </w:rPr>
            </w:pPr>
            <w:r w:rsidRPr="00550A7D">
              <w:rPr>
                <w:rFonts w:ascii="Arial" w:hAnsi="Arial" w:cs="Arial"/>
                <w:b/>
                <w:bCs/>
                <w:sz w:val="24"/>
                <w:szCs w:val="24"/>
              </w:rPr>
              <w:t>Factors</w:t>
            </w:r>
          </w:p>
        </w:tc>
        <w:tc>
          <w:tcPr>
            <w:tcW w:w="2337" w:type="dxa"/>
            <w:shd w:val="clear" w:color="auto" w:fill="AEAAAA" w:themeFill="background2" w:themeFillShade="BF"/>
          </w:tcPr>
          <w:p w14:paraId="6CB583AE" w14:textId="7866DE65" w:rsidR="00947C30" w:rsidRPr="00550A7D" w:rsidRDefault="00947C30" w:rsidP="00550A7D">
            <w:pPr>
              <w:rPr>
                <w:rFonts w:ascii="Arial" w:hAnsi="Arial" w:cs="Arial"/>
                <w:b/>
                <w:bCs/>
                <w:sz w:val="24"/>
                <w:szCs w:val="24"/>
              </w:rPr>
            </w:pPr>
            <w:r w:rsidRPr="00550A7D">
              <w:rPr>
                <w:rFonts w:ascii="Arial" w:hAnsi="Arial" w:cs="Arial"/>
                <w:b/>
                <w:bCs/>
                <w:sz w:val="24"/>
                <w:szCs w:val="24"/>
              </w:rPr>
              <w:t>Weights</w:t>
            </w:r>
          </w:p>
        </w:tc>
        <w:tc>
          <w:tcPr>
            <w:tcW w:w="2338" w:type="dxa"/>
            <w:shd w:val="clear" w:color="auto" w:fill="AEAAAA" w:themeFill="background2" w:themeFillShade="BF"/>
          </w:tcPr>
          <w:p w14:paraId="0A89A313" w14:textId="00315AF0" w:rsidR="00947C30" w:rsidRPr="00550A7D" w:rsidRDefault="00947C30" w:rsidP="00550A7D">
            <w:pPr>
              <w:rPr>
                <w:rFonts w:ascii="Arial" w:hAnsi="Arial" w:cs="Arial"/>
                <w:b/>
                <w:bCs/>
                <w:sz w:val="24"/>
                <w:szCs w:val="24"/>
              </w:rPr>
            </w:pPr>
            <w:r w:rsidRPr="00550A7D">
              <w:rPr>
                <w:rFonts w:ascii="Arial" w:hAnsi="Arial" w:cs="Arial"/>
                <w:b/>
                <w:bCs/>
                <w:sz w:val="24"/>
                <w:szCs w:val="24"/>
              </w:rPr>
              <w:t>Factors</w:t>
            </w:r>
          </w:p>
        </w:tc>
        <w:tc>
          <w:tcPr>
            <w:tcW w:w="2338" w:type="dxa"/>
            <w:shd w:val="clear" w:color="auto" w:fill="AEAAAA" w:themeFill="background2" w:themeFillShade="BF"/>
          </w:tcPr>
          <w:p w14:paraId="5D41C2ED" w14:textId="3B65972F" w:rsidR="00947C30" w:rsidRPr="00550A7D" w:rsidRDefault="00947C30" w:rsidP="00550A7D">
            <w:pPr>
              <w:rPr>
                <w:rFonts w:ascii="Arial" w:hAnsi="Arial" w:cs="Arial"/>
                <w:b/>
                <w:bCs/>
                <w:sz w:val="24"/>
                <w:szCs w:val="24"/>
              </w:rPr>
            </w:pPr>
            <w:r w:rsidRPr="00550A7D">
              <w:rPr>
                <w:rFonts w:ascii="Arial" w:hAnsi="Arial" w:cs="Arial"/>
                <w:b/>
                <w:bCs/>
                <w:sz w:val="24"/>
                <w:szCs w:val="24"/>
              </w:rPr>
              <w:t>Weights</w:t>
            </w:r>
          </w:p>
        </w:tc>
      </w:tr>
      <w:tr w:rsidR="00947C30" w:rsidRPr="00550A7D" w14:paraId="20E66BCB" w14:textId="77777777" w:rsidTr="00947C30">
        <w:tc>
          <w:tcPr>
            <w:tcW w:w="2337" w:type="dxa"/>
          </w:tcPr>
          <w:p w14:paraId="306E15B1" w14:textId="078AD0FA" w:rsidR="00947C30" w:rsidRPr="00550A7D" w:rsidRDefault="00947C30" w:rsidP="00550A7D">
            <w:pPr>
              <w:rPr>
                <w:rFonts w:ascii="Arial" w:hAnsi="Arial" w:cs="Arial"/>
                <w:sz w:val="24"/>
                <w:szCs w:val="24"/>
              </w:rPr>
            </w:pPr>
            <w:r w:rsidRPr="00550A7D">
              <w:rPr>
                <w:rFonts w:ascii="Arial" w:hAnsi="Arial" w:cs="Arial"/>
                <w:sz w:val="24"/>
                <w:szCs w:val="24"/>
              </w:rPr>
              <w:t>Accessibility</w:t>
            </w:r>
          </w:p>
        </w:tc>
        <w:tc>
          <w:tcPr>
            <w:tcW w:w="2337" w:type="dxa"/>
          </w:tcPr>
          <w:p w14:paraId="0A42F348" w14:textId="56771E99" w:rsidR="00947C30" w:rsidRPr="00550A7D" w:rsidRDefault="00947C30" w:rsidP="00550A7D">
            <w:pPr>
              <w:rPr>
                <w:rFonts w:ascii="Arial" w:hAnsi="Arial" w:cs="Arial"/>
                <w:sz w:val="24"/>
                <w:szCs w:val="24"/>
              </w:rPr>
            </w:pPr>
            <w:r w:rsidRPr="00550A7D">
              <w:rPr>
                <w:rFonts w:ascii="Arial" w:hAnsi="Arial" w:cs="Arial"/>
                <w:sz w:val="24"/>
                <w:szCs w:val="24"/>
              </w:rPr>
              <w:t>0.1</w:t>
            </w:r>
          </w:p>
        </w:tc>
        <w:tc>
          <w:tcPr>
            <w:tcW w:w="2338" w:type="dxa"/>
          </w:tcPr>
          <w:p w14:paraId="457BCBAD" w14:textId="1C1695E8" w:rsidR="00947C30" w:rsidRPr="00550A7D" w:rsidRDefault="00947C30" w:rsidP="00550A7D">
            <w:pPr>
              <w:rPr>
                <w:rFonts w:ascii="Arial" w:hAnsi="Arial" w:cs="Arial"/>
                <w:sz w:val="24"/>
                <w:szCs w:val="24"/>
              </w:rPr>
            </w:pPr>
            <w:r w:rsidRPr="00550A7D">
              <w:rPr>
                <w:rFonts w:ascii="Arial" w:hAnsi="Arial" w:cs="Arial"/>
                <w:sz w:val="24"/>
                <w:szCs w:val="24"/>
              </w:rPr>
              <w:t>Not Gentrified</w:t>
            </w:r>
          </w:p>
        </w:tc>
        <w:tc>
          <w:tcPr>
            <w:tcW w:w="2338" w:type="dxa"/>
          </w:tcPr>
          <w:p w14:paraId="3941805E" w14:textId="4E345919" w:rsidR="00947C30" w:rsidRPr="00550A7D" w:rsidRDefault="00947C30" w:rsidP="00550A7D">
            <w:pPr>
              <w:rPr>
                <w:rFonts w:ascii="Arial" w:hAnsi="Arial" w:cs="Arial"/>
                <w:sz w:val="24"/>
                <w:szCs w:val="24"/>
              </w:rPr>
            </w:pPr>
            <w:r w:rsidRPr="00550A7D">
              <w:rPr>
                <w:rFonts w:ascii="Arial" w:hAnsi="Arial" w:cs="Arial"/>
                <w:sz w:val="24"/>
                <w:szCs w:val="24"/>
              </w:rPr>
              <w:t>0.09</w:t>
            </w:r>
          </w:p>
        </w:tc>
      </w:tr>
      <w:tr w:rsidR="00947C30" w:rsidRPr="00550A7D" w14:paraId="1186CB8B" w14:textId="77777777" w:rsidTr="00947C30">
        <w:tc>
          <w:tcPr>
            <w:tcW w:w="2337" w:type="dxa"/>
          </w:tcPr>
          <w:p w14:paraId="42C215D3" w14:textId="4B6178FF" w:rsidR="00947C30" w:rsidRPr="00550A7D" w:rsidRDefault="00947C30" w:rsidP="00550A7D">
            <w:pPr>
              <w:rPr>
                <w:rFonts w:ascii="Arial" w:hAnsi="Arial" w:cs="Arial"/>
                <w:sz w:val="24"/>
                <w:szCs w:val="24"/>
              </w:rPr>
            </w:pPr>
            <w:r w:rsidRPr="00550A7D">
              <w:rPr>
                <w:rFonts w:ascii="Arial" w:hAnsi="Arial" w:cs="Arial"/>
                <w:sz w:val="24"/>
                <w:szCs w:val="24"/>
              </w:rPr>
              <w:t>Job Score</w:t>
            </w:r>
          </w:p>
        </w:tc>
        <w:tc>
          <w:tcPr>
            <w:tcW w:w="2337" w:type="dxa"/>
          </w:tcPr>
          <w:p w14:paraId="2ACC19A5" w14:textId="350773CA" w:rsidR="00947C30" w:rsidRPr="00550A7D" w:rsidRDefault="00947C30" w:rsidP="00550A7D">
            <w:pPr>
              <w:rPr>
                <w:rFonts w:ascii="Arial" w:hAnsi="Arial" w:cs="Arial"/>
                <w:sz w:val="24"/>
                <w:szCs w:val="24"/>
              </w:rPr>
            </w:pPr>
            <w:r w:rsidRPr="00550A7D">
              <w:rPr>
                <w:rFonts w:ascii="Arial" w:hAnsi="Arial" w:cs="Arial"/>
                <w:sz w:val="24"/>
                <w:szCs w:val="24"/>
              </w:rPr>
              <w:t>0.1</w:t>
            </w:r>
          </w:p>
        </w:tc>
        <w:tc>
          <w:tcPr>
            <w:tcW w:w="2338" w:type="dxa"/>
          </w:tcPr>
          <w:p w14:paraId="7300882F" w14:textId="3EA861AD" w:rsidR="00947C30" w:rsidRPr="00550A7D" w:rsidRDefault="00947C30" w:rsidP="00550A7D">
            <w:pPr>
              <w:rPr>
                <w:rFonts w:ascii="Arial" w:hAnsi="Arial" w:cs="Arial"/>
                <w:sz w:val="24"/>
                <w:szCs w:val="24"/>
              </w:rPr>
            </w:pPr>
            <w:r w:rsidRPr="00550A7D">
              <w:rPr>
                <w:rFonts w:ascii="Arial" w:hAnsi="Arial" w:cs="Arial"/>
                <w:sz w:val="24"/>
                <w:szCs w:val="24"/>
              </w:rPr>
              <w:t>Municipality</w:t>
            </w:r>
          </w:p>
        </w:tc>
        <w:tc>
          <w:tcPr>
            <w:tcW w:w="2338" w:type="dxa"/>
          </w:tcPr>
          <w:p w14:paraId="76756A95" w14:textId="06EEF116" w:rsidR="00947C30" w:rsidRPr="00550A7D" w:rsidRDefault="00947C30" w:rsidP="00550A7D">
            <w:pPr>
              <w:rPr>
                <w:rFonts w:ascii="Arial" w:hAnsi="Arial" w:cs="Arial"/>
                <w:sz w:val="24"/>
                <w:szCs w:val="24"/>
              </w:rPr>
            </w:pPr>
            <w:r w:rsidRPr="00550A7D">
              <w:rPr>
                <w:rFonts w:ascii="Arial" w:hAnsi="Arial" w:cs="Arial"/>
                <w:sz w:val="24"/>
                <w:szCs w:val="24"/>
              </w:rPr>
              <w:t>0.08</w:t>
            </w:r>
          </w:p>
        </w:tc>
      </w:tr>
      <w:tr w:rsidR="00947C30" w:rsidRPr="00550A7D" w14:paraId="0904D653" w14:textId="77777777" w:rsidTr="00947C30">
        <w:tc>
          <w:tcPr>
            <w:tcW w:w="2337" w:type="dxa"/>
          </w:tcPr>
          <w:p w14:paraId="7B3B5F3F" w14:textId="6B3A4844" w:rsidR="00947C30" w:rsidRPr="00550A7D" w:rsidRDefault="00947C30" w:rsidP="00550A7D">
            <w:pPr>
              <w:rPr>
                <w:rFonts w:ascii="Arial" w:hAnsi="Arial" w:cs="Arial"/>
                <w:sz w:val="24"/>
                <w:szCs w:val="24"/>
              </w:rPr>
            </w:pPr>
            <w:r w:rsidRPr="00550A7D">
              <w:rPr>
                <w:rFonts w:ascii="Arial" w:hAnsi="Arial" w:cs="Arial"/>
                <w:sz w:val="24"/>
                <w:szCs w:val="24"/>
              </w:rPr>
              <w:t>Employment Gap</w:t>
            </w:r>
          </w:p>
        </w:tc>
        <w:tc>
          <w:tcPr>
            <w:tcW w:w="2337" w:type="dxa"/>
          </w:tcPr>
          <w:p w14:paraId="2FC1E63B" w14:textId="083C0924" w:rsidR="00947C30" w:rsidRPr="00550A7D" w:rsidRDefault="00947C30" w:rsidP="00550A7D">
            <w:pPr>
              <w:rPr>
                <w:rFonts w:ascii="Arial" w:hAnsi="Arial" w:cs="Arial"/>
                <w:sz w:val="24"/>
                <w:szCs w:val="24"/>
              </w:rPr>
            </w:pPr>
            <w:r w:rsidRPr="00550A7D">
              <w:rPr>
                <w:rFonts w:ascii="Arial" w:hAnsi="Arial" w:cs="Arial"/>
                <w:sz w:val="24"/>
                <w:szCs w:val="24"/>
              </w:rPr>
              <w:t>0.13</w:t>
            </w:r>
          </w:p>
        </w:tc>
        <w:tc>
          <w:tcPr>
            <w:tcW w:w="2338" w:type="dxa"/>
          </w:tcPr>
          <w:p w14:paraId="3CAA201A" w14:textId="2FFCF0E9" w:rsidR="00947C30" w:rsidRPr="00550A7D" w:rsidRDefault="00947C30" w:rsidP="00550A7D">
            <w:pPr>
              <w:rPr>
                <w:rFonts w:ascii="Arial" w:hAnsi="Arial" w:cs="Arial"/>
                <w:sz w:val="24"/>
                <w:szCs w:val="24"/>
              </w:rPr>
            </w:pPr>
            <w:r w:rsidRPr="00550A7D">
              <w:rPr>
                <w:rFonts w:ascii="Arial" w:hAnsi="Arial" w:cs="Arial"/>
                <w:sz w:val="24"/>
                <w:szCs w:val="24"/>
              </w:rPr>
              <w:t>Slope</w:t>
            </w:r>
          </w:p>
        </w:tc>
        <w:tc>
          <w:tcPr>
            <w:tcW w:w="2338" w:type="dxa"/>
          </w:tcPr>
          <w:p w14:paraId="659E67E6" w14:textId="4B73D7C3" w:rsidR="00947C30" w:rsidRPr="00550A7D" w:rsidRDefault="00947C30" w:rsidP="00550A7D">
            <w:pPr>
              <w:rPr>
                <w:rFonts w:ascii="Arial" w:hAnsi="Arial" w:cs="Arial"/>
                <w:sz w:val="24"/>
                <w:szCs w:val="24"/>
              </w:rPr>
            </w:pPr>
            <w:r w:rsidRPr="00550A7D">
              <w:rPr>
                <w:rFonts w:ascii="Arial" w:hAnsi="Arial" w:cs="Arial"/>
                <w:sz w:val="24"/>
                <w:szCs w:val="24"/>
              </w:rPr>
              <w:t>0.04</w:t>
            </w:r>
          </w:p>
        </w:tc>
      </w:tr>
      <w:tr w:rsidR="00947C30" w:rsidRPr="00550A7D" w14:paraId="3CFAB7E1" w14:textId="77777777" w:rsidTr="00947C30">
        <w:tc>
          <w:tcPr>
            <w:tcW w:w="2337" w:type="dxa"/>
          </w:tcPr>
          <w:p w14:paraId="199ED39F" w14:textId="724792FC" w:rsidR="00947C30" w:rsidRPr="00550A7D" w:rsidRDefault="00947C30" w:rsidP="00550A7D">
            <w:pPr>
              <w:rPr>
                <w:rFonts w:ascii="Arial" w:hAnsi="Arial" w:cs="Arial"/>
                <w:sz w:val="24"/>
                <w:szCs w:val="24"/>
              </w:rPr>
            </w:pPr>
            <w:r w:rsidRPr="00550A7D">
              <w:rPr>
                <w:rFonts w:ascii="Arial" w:hAnsi="Arial" w:cs="Arial"/>
                <w:sz w:val="24"/>
                <w:szCs w:val="24"/>
              </w:rPr>
              <w:t>Poverty Rate</w:t>
            </w:r>
          </w:p>
        </w:tc>
        <w:tc>
          <w:tcPr>
            <w:tcW w:w="2337" w:type="dxa"/>
          </w:tcPr>
          <w:p w14:paraId="7D292757" w14:textId="4FED1CDD" w:rsidR="00947C30" w:rsidRPr="00550A7D" w:rsidRDefault="00947C30" w:rsidP="00550A7D">
            <w:pPr>
              <w:rPr>
                <w:rFonts w:ascii="Arial" w:hAnsi="Arial" w:cs="Arial"/>
                <w:sz w:val="24"/>
                <w:szCs w:val="24"/>
              </w:rPr>
            </w:pPr>
            <w:r w:rsidRPr="00550A7D">
              <w:rPr>
                <w:rFonts w:ascii="Arial" w:hAnsi="Arial" w:cs="Arial"/>
                <w:sz w:val="24"/>
                <w:szCs w:val="24"/>
              </w:rPr>
              <w:t>0.07</w:t>
            </w:r>
          </w:p>
        </w:tc>
        <w:tc>
          <w:tcPr>
            <w:tcW w:w="2338" w:type="dxa"/>
          </w:tcPr>
          <w:p w14:paraId="2ED737BB" w14:textId="020B7722" w:rsidR="00947C30" w:rsidRPr="00550A7D" w:rsidRDefault="00947C30" w:rsidP="00550A7D">
            <w:pPr>
              <w:rPr>
                <w:rFonts w:ascii="Arial" w:hAnsi="Arial" w:cs="Arial"/>
                <w:sz w:val="24"/>
                <w:szCs w:val="24"/>
              </w:rPr>
            </w:pPr>
            <w:r w:rsidRPr="00550A7D">
              <w:rPr>
                <w:rFonts w:ascii="Arial" w:hAnsi="Arial" w:cs="Arial"/>
                <w:sz w:val="24"/>
                <w:szCs w:val="24"/>
              </w:rPr>
              <w:t>Underused</w:t>
            </w:r>
          </w:p>
        </w:tc>
        <w:tc>
          <w:tcPr>
            <w:tcW w:w="2338" w:type="dxa"/>
          </w:tcPr>
          <w:p w14:paraId="1181D5FB" w14:textId="0C942082" w:rsidR="00947C30" w:rsidRPr="00550A7D" w:rsidRDefault="00947C30" w:rsidP="00550A7D">
            <w:pPr>
              <w:rPr>
                <w:rFonts w:ascii="Arial" w:hAnsi="Arial" w:cs="Arial"/>
                <w:sz w:val="24"/>
                <w:szCs w:val="24"/>
              </w:rPr>
            </w:pPr>
            <w:r w:rsidRPr="00550A7D">
              <w:rPr>
                <w:rFonts w:ascii="Arial" w:hAnsi="Arial" w:cs="Arial"/>
                <w:sz w:val="24"/>
                <w:szCs w:val="24"/>
              </w:rPr>
              <w:t>0.1</w:t>
            </w:r>
          </w:p>
        </w:tc>
      </w:tr>
      <w:tr w:rsidR="00947C30" w:rsidRPr="00550A7D" w14:paraId="1F215952" w14:textId="77777777" w:rsidTr="00947C30">
        <w:tc>
          <w:tcPr>
            <w:tcW w:w="2337" w:type="dxa"/>
          </w:tcPr>
          <w:p w14:paraId="3A711C98" w14:textId="0BA9226C" w:rsidR="00947C30" w:rsidRPr="00550A7D" w:rsidRDefault="00947C30" w:rsidP="00550A7D">
            <w:pPr>
              <w:rPr>
                <w:rFonts w:ascii="Arial" w:hAnsi="Arial" w:cs="Arial"/>
                <w:sz w:val="24"/>
                <w:szCs w:val="24"/>
              </w:rPr>
            </w:pPr>
            <w:r w:rsidRPr="00550A7D">
              <w:rPr>
                <w:rFonts w:ascii="Arial" w:hAnsi="Arial" w:cs="Arial"/>
                <w:sz w:val="24"/>
                <w:szCs w:val="24"/>
              </w:rPr>
              <w:t>Median Income</w:t>
            </w:r>
          </w:p>
        </w:tc>
        <w:tc>
          <w:tcPr>
            <w:tcW w:w="2337" w:type="dxa"/>
          </w:tcPr>
          <w:p w14:paraId="2062C2DF" w14:textId="78318FE0" w:rsidR="00947C30" w:rsidRPr="00550A7D" w:rsidRDefault="00947C30" w:rsidP="00550A7D">
            <w:pPr>
              <w:rPr>
                <w:rFonts w:ascii="Arial" w:hAnsi="Arial" w:cs="Arial"/>
                <w:sz w:val="24"/>
                <w:szCs w:val="24"/>
              </w:rPr>
            </w:pPr>
            <w:r w:rsidRPr="00550A7D">
              <w:rPr>
                <w:rFonts w:ascii="Arial" w:hAnsi="Arial" w:cs="Arial"/>
                <w:sz w:val="24"/>
                <w:szCs w:val="24"/>
              </w:rPr>
              <w:t>0.04</w:t>
            </w:r>
          </w:p>
        </w:tc>
        <w:tc>
          <w:tcPr>
            <w:tcW w:w="2338" w:type="dxa"/>
          </w:tcPr>
          <w:p w14:paraId="07DA9BB7" w14:textId="52789674" w:rsidR="00947C30" w:rsidRPr="00550A7D" w:rsidRDefault="00947C30" w:rsidP="00550A7D">
            <w:pPr>
              <w:rPr>
                <w:rFonts w:ascii="Arial" w:hAnsi="Arial" w:cs="Arial"/>
                <w:sz w:val="24"/>
                <w:szCs w:val="24"/>
              </w:rPr>
            </w:pPr>
            <w:r w:rsidRPr="00550A7D">
              <w:rPr>
                <w:rFonts w:ascii="Arial" w:hAnsi="Arial" w:cs="Arial"/>
                <w:sz w:val="24"/>
                <w:szCs w:val="24"/>
              </w:rPr>
              <w:t>Attractive Land</w:t>
            </w:r>
          </w:p>
        </w:tc>
        <w:tc>
          <w:tcPr>
            <w:tcW w:w="2338" w:type="dxa"/>
          </w:tcPr>
          <w:p w14:paraId="68945F85" w14:textId="62336C77" w:rsidR="00947C30" w:rsidRPr="00550A7D" w:rsidRDefault="00947C30" w:rsidP="00550A7D">
            <w:pPr>
              <w:rPr>
                <w:rFonts w:ascii="Arial" w:hAnsi="Arial" w:cs="Arial"/>
                <w:sz w:val="24"/>
                <w:szCs w:val="24"/>
              </w:rPr>
            </w:pPr>
            <w:r w:rsidRPr="00550A7D">
              <w:rPr>
                <w:rFonts w:ascii="Arial" w:hAnsi="Arial" w:cs="Arial"/>
                <w:sz w:val="24"/>
                <w:szCs w:val="24"/>
              </w:rPr>
              <w:t>0.14</w:t>
            </w:r>
          </w:p>
        </w:tc>
      </w:tr>
      <w:tr w:rsidR="00947C30" w:rsidRPr="00550A7D" w14:paraId="0C3757C6" w14:textId="77777777" w:rsidTr="00947C30">
        <w:tc>
          <w:tcPr>
            <w:tcW w:w="2337" w:type="dxa"/>
          </w:tcPr>
          <w:p w14:paraId="657245C5" w14:textId="77777777" w:rsidR="00947C30" w:rsidRPr="00550A7D" w:rsidRDefault="00947C30" w:rsidP="00550A7D">
            <w:pPr>
              <w:rPr>
                <w:rFonts w:ascii="Arial" w:hAnsi="Arial" w:cs="Arial"/>
                <w:sz w:val="24"/>
                <w:szCs w:val="24"/>
              </w:rPr>
            </w:pPr>
          </w:p>
        </w:tc>
        <w:tc>
          <w:tcPr>
            <w:tcW w:w="2337" w:type="dxa"/>
          </w:tcPr>
          <w:p w14:paraId="6BEB7426" w14:textId="77777777" w:rsidR="00947C30" w:rsidRPr="00550A7D" w:rsidRDefault="00947C30" w:rsidP="00550A7D">
            <w:pPr>
              <w:rPr>
                <w:rFonts w:ascii="Arial" w:hAnsi="Arial" w:cs="Arial"/>
                <w:sz w:val="24"/>
                <w:szCs w:val="24"/>
              </w:rPr>
            </w:pPr>
          </w:p>
        </w:tc>
        <w:tc>
          <w:tcPr>
            <w:tcW w:w="2338" w:type="dxa"/>
          </w:tcPr>
          <w:p w14:paraId="42D3D0FD" w14:textId="4FCAF642" w:rsidR="00947C30" w:rsidRPr="00550A7D" w:rsidRDefault="00947C30" w:rsidP="00550A7D">
            <w:pPr>
              <w:rPr>
                <w:rFonts w:ascii="Arial" w:hAnsi="Arial" w:cs="Arial"/>
                <w:sz w:val="24"/>
                <w:szCs w:val="24"/>
              </w:rPr>
            </w:pPr>
            <w:r w:rsidRPr="00550A7D">
              <w:rPr>
                <w:rFonts w:ascii="Arial" w:hAnsi="Arial" w:cs="Arial"/>
                <w:sz w:val="24"/>
                <w:szCs w:val="24"/>
              </w:rPr>
              <w:t>Unattractive Land</w:t>
            </w:r>
          </w:p>
        </w:tc>
        <w:tc>
          <w:tcPr>
            <w:tcW w:w="2338" w:type="dxa"/>
          </w:tcPr>
          <w:p w14:paraId="53054510" w14:textId="0874941F" w:rsidR="00947C30" w:rsidRPr="00550A7D" w:rsidRDefault="00947C30" w:rsidP="00550A7D">
            <w:pPr>
              <w:rPr>
                <w:rFonts w:ascii="Arial" w:hAnsi="Arial" w:cs="Arial"/>
                <w:sz w:val="24"/>
                <w:szCs w:val="24"/>
              </w:rPr>
            </w:pPr>
            <w:r w:rsidRPr="00550A7D">
              <w:rPr>
                <w:rFonts w:ascii="Arial" w:hAnsi="Arial" w:cs="Arial"/>
                <w:sz w:val="24"/>
                <w:szCs w:val="24"/>
              </w:rPr>
              <w:t>0.1</w:t>
            </w:r>
          </w:p>
        </w:tc>
      </w:tr>
    </w:tbl>
    <w:p w14:paraId="7C775E38" w14:textId="77777777" w:rsidR="001A6A39" w:rsidRPr="00550A7D" w:rsidRDefault="001A6A39" w:rsidP="00550A7D">
      <w:pPr>
        <w:rPr>
          <w:rFonts w:ascii="Arial" w:hAnsi="Arial" w:cs="Arial"/>
          <w:sz w:val="24"/>
          <w:szCs w:val="24"/>
        </w:rPr>
      </w:pPr>
    </w:p>
    <w:p w14:paraId="1B102712" w14:textId="77777777" w:rsidR="00DD1134" w:rsidRPr="00550A7D" w:rsidRDefault="00DD1134" w:rsidP="00550A7D">
      <w:pPr>
        <w:rPr>
          <w:rFonts w:ascii="Arial" w:hAnsi="Arial" w:cs="Arial"/>
          <w:sz w:val="24"/>
          <w:szCs w:val="24"/>
        </w:rPr>
      </w:pPr>
    </w:p>
    <w:p w14:paraId="4C40AD67" w14:textId="01331E42" w:rsidR="00F14AEF" w:rsidRPr="00550A7D" w:rsidRDefault="00F14AEF" w:rsidP="00550A7D">
      <w:pPr>
        <w:pStyle w:val="ListParagraph"/>
        <w:numPr>
          <w:ilvl w:val="0"/>
          <w:numId w:val="2"/>
        </w:numPr>
        <w:rPr>
          <w:rFonts w:ascii="Arial" w:hAnsi="Arial" w:cs="Arial"/>
          <w:b/>
          <w:bCs/>
          <w:sz w:val="24"/>
          <w:szCs w:val="24"/>
        </w:rPr>
      </w:pPr>
      <w:r w:rsidRPr="00550A7D">
        <w:rPr>
          <w:rFonts w:ascii="Arial" w:hAnsi="Arial" w:cs="Arial"/>
          <w:b/>
          <w:bCs/>
          <w:sz w:val="24"/>
          <w:szCs w:val="24"/>
        </w:rPr>
        <w:t>R</w:t>
      </w:r>
      <w:r w:rsidRPr="00550A7D">
        <w:rPr>
          <w:rFonts w:ascii="Arial" w:hAnsi="Arial" w:cs="Arial"/>
          <w:b/>
          <w:bCs/>
          <w:sz w:val="24"/>
          <w:szCs w:val="24"/>
        </w:rPr>
        <w:t>esults</w:t>
      </w:r>
    </w:p>
    <w:p w14:paraId="14CD1E36" w14:textId="66BA2D66" w:rsidR="00947C30" w:rsidRPr="00550A7D" w:rsidRDefault="00947C30" w:rsidP="00550A7D">
      <w:pPr>
        <w:rPr>
          <w:rFonts w:ascii="Arial" w:hAnsi="Arial" w:cs="Arial"/>
          <w:sz w:val="24"/>
          <w:szCs w:val="24"/>
        </w:rPr>
      </w:pPr>
      <w:r w:rsidRPr="00550A7D">
        <w:rPr>
          <w:rFonts w:ascii="Arial" w:hAnsi="Arial" w:cs="Arial"/>
          <w:sz w:val="24"/>
          <w:szCs w:val="24"/>
        </w:rPr>
        <w:tab/>
        <w:t>The following is the final TOD score assigned to all of the rail-transit stations in the Greater Philadelphia Region.</w:t>
      </w:r>
      <w:r w:rsidR="008E42AF" w:rsidRPr="00550A7D">
        <w:rPr>
          <w:rFonts w:ascii="Arial" w:hAnsi="Arial" w:cs="Arial"/>
          <w:sz w:val="24"/>
          <w:szCs w:val="24"/>
        </w:rPr>
        <w:t xml:space="preserve"> </w:t>
      </w:r>
      <w:r w:rsidR="00D37C63" w:rsidRPr="00550A7D">
        <w:rPr>
          <w:rFonts w:ascii="Arial" w:hAnsi="Arial" w:cs="Arial"/>
          <w:sz w:val="24"/>
          <w:szCs w:val="24"/>
        </w:rPr>
        <w:t xml:space="preserve">We can see a lot of them are clustered in Center City Philadelphia, Downtown Camden, plus some other stations in the suburban communities where there are a lot of underutilized parcels. Meanwhile, among stations served by rapid transit, stations located in Northeast Philadelphia and North Philly are assigned lower scores, probably for its high likelihood to gentrify. </w:t>
      </w:r>
    </w:p>
    <w:p w14:paraId="0F6C9167" w14:textId="71BB2FF3" w:rsidR="00D37C63" w:rsidRPr="00550A7D" w:rsidRDefault="00D37C63" w:rsidP="00550A7D">
      <w:pPr>
        <w:rPr>
          <w:rFonts w:ascii="Arial" w:hAnsi="Arial" w:cs="Arial"/>
          <w:sz w:val="24"/>
          <w:szCs w:val="24"/>
        </w:rPr>
      </w:pPr>
      <w:r w:rsidRPr="00550A7D">
        <w:rPr>
          <w:rFonts w:ascii="Arial" w:hAnsi="Arial" w:cs="Arial"/>
          <w:sz w:val="24"/>
          <w:szCs w:val="24"/>
        </w:rPr>
        <w:tab/>
        <w:t xml:space="preserve">By comparing with the prediction made by DVRPC, although most of </w:t>
      </w:r>
      <w:r w:rsidR="00795FB4" w:rsidRPr="00550A7D">
        <w:rPr>
          <w:rFonts w:ascii="Arial" w:hAnsi="Arial" w:cs="Arial"/>
          <w:sz w:val="24"/>
          <w:szCs w:val="24"/>
        </w:rPr>
        <w:t>stations have relatively similar scores for TOD potentials, my prediction successfully filter some suburban stations that should be suitable for TOD development and stations that are likely to gentrify – which were the goals I planned to achi</w:t>
      </w:r>
      <w:r w:rsidR="00582283" w:rsidRPr="00550A7D">
        <w:rPr>
          <w:rFonts w:ascii="Arial" w:hAnsi="Arial" w:cs="Arial"/>
          <w:sz w:val="24"/>
          <w:szCs w:val="24"/>
        </w:rPr>
        <w:t>e</w:t>
      </w:r>
      <w:r w:rsidR="00795FB4" w:rsidRPr="00550A7D">
        <w:rPr>
          <w:rFonts w:ascii="Arial" w:hAnsi="Arial" w:cs="Arial"/>
          <w:sz w:val="24"/>
          <w:szCs w:val="24"/>
        </w:rPr>
        <w:t>ve.</w:t>
      </w:r>
    </w:p>
    <w:p w14:paraId="242CF204" w14:textId="5B01A601" w:rsidR="00947C30" w:rsidRPr="00550A7D" w:rsidRDefault="00947C30" w:rsidP="00550A7D">
      <w:pPr>
        <w:rPr>
          <w:rFonts w:ascii="Arial" w:hAnsi="Arial" w:cs="Arial"/>
          <w:sz w:val="24"/>
          <w:szCs w:val="24"/>
        </w:rPr>
      </w:pPr>
      <w:r w:rsidRPr="00550A7D">
        <w:rPr>
          <w:rFonts w:ascii="Arial" w:hAnsi="Arial" w:cs="Arial"/>
          <w:noProof/>
        </w:rPr>
        <w:drawing>
          <wp:inline distT="0" distB="0" distL="0" distR="0" wp14:anchorId="030A4A19" wp14:editId="4EDE5E9E">
            <wp:extent cx="5943600" cy="462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40931C87" w14:textId="0DDA8EE5" w:rsidR="00D37C63" w:rsidRPr="00550A7D" w:rsidRDefault="00795FB4" w:rsidP="00550A7D">
      <w:pPr>
        <w:pStyle w:val="ListParagraph"/>
        <w:numPr>
          <w:ilvl w:val="0"/>
          <w:numId w:val="2"/>
        </w:numPr>
        <w:rPr>
          <w:rFonts w:ascii="Arial" w:hAnsi="Arial" w:cs="Arial"/>
          <w:b/>
          <w:bCs/>
          <w:sz w:val="24"/>
          <w:szCs w:val="24"/>
        </w:rPr>
      </w:pPr>
      <w:r w:rsidRPr="00550A7D">
        <w:rPr>
          <w:rFonts w:ascii="Arial" w:hAnsi="Arial" w:cs="Arial"/>
          <w:b/>
          <w:bCs/>
          <w:sz w:val="24"/>
          <w:szCs w:val="24"/>
        </w:rPr>
        <w:t>Implementation</w:t>
      </w:r>
    </w:p>
    <w:p w14:paraId="23B69813" w14:textId="3F9C7136" w:rsidR="00353B57" w:rsidRPr="00550A7D" w:rsidRDefault="00795FB4" w:rsidP="00550A7D">
      <w:pPr>
        <w:rPr>
          <w:rFonts w:ascii="Arial" w:hAnsi="Arial" w:cs="Arial"/>
          <w:sz w:val="24"/>
          <w:szCs w:val="24"/>
        </w:rPr>
      </w:pPr>
      <w:r w:rsidRPr="00550A7D">
        <w:rPr>
          <w:rFonts w:ascii="Arial" w:hAnsi="Arial" w:cs="Arial"/>
          <w:sz w:val="24"/>
          <w:szCs w:val="24"/>
        </w:rPr>
        <w:lastRenderedPageBreak/>
        <w:tab/>
        <w:t xml:space="preserve">This index provides panner good indications on all transit stations’ potential to have TOD development. </w:t>
      </w:r>
      <w:r w:rsidR="00353B57" w:rsidRPr="00550A7D">
        <w:rPr>
          <w:rFonts w:ascii="Arial" w:hAnsi="Arial" w:cs="Arial"/>
          <w:sz w:val="24"/>
          <w:szCs w:val="24"/>
        </w:rPr>
        <w:t>For stations with low TOD scores, the local government could work on improving the land-use around the station, such as promoting mixed-use or adding commercial spaces – in which will have the most immediate change of the score.</w:t>
      </w:r>
    </w:p>
    <w:p w14:paraId="45763193" w14:textId="35E8FE55" w:rsidR="00795FB4" w:rsidRPr="00550A7D" w:rsidRDefault="008C2FB0" w:rsidP="00550A7D">
      <w:pPr>
        <w:rPr>
          <w:rFonts w:ascii="Arial" w:hAnsi="Arial" w:cs="Arial"/>
          <w:sz w:val="24"/>
          <w:szCs w:val="24"/>
        </w:rPr>
      </w:pPr>
      <w:r w:rsidRPr="00550A7D">
        <w:rPr>
          <w:rFonts w:ascii="Arial" w:hAnsi="Arial" w:cs="Arial"/>
          <w:sz w:val="24"/>
          <w:szCs w:val="24"/>
        </w:rPr>
        <w:tab/>
      </w:r>
      <w:r w:rsidR="00353B57" w:rsidRPr="00550A7D">
        <w:rPr>
          <w:rFonts w:ascii="Arial" w:hAnsi="Arial" w:cs="Arial"/>
          <w:sz w:val="24"/>
          <w:szCs w:val="24"/>
        </w:rPr>
        <w:t>However, TOD takes places on parcels larger than 1 acre. Thus, I build a dashboard to help planners to identify which stations are more suitable to have large-scale TOD development.</w:t>
      </w:r>
      <w:r w:rsidR="00AF6638" w:rsidRPr="00550A7D">
        <w:rPr>
          <w:rFonts w:ascii="Arial" w:hAnsi="Arial" w:cs="Arial"/>
          <w:sz w:val="24"/>
          <w:szCs w:val="24"/>
        </w:rPr>
        <w:t xml:space="preserve"> The dashboard includes:</w:t>
      </w:r>
    </w:p>
    <w:p w14:paraId="4F202793" w14:textId="62E937A2" w:rsidR="00AF6638" w:rsidRPr="00550A7D" w:rsidRDefault="00AF6638" w:rsidP="00550A7D">
      <w:pPr>
        <w:pStyle w:val="ListParagraph"/>
        <w:numPr>
          <w:ilvl w:val="0"/>
          <w:numId w:val="1"/>
        </w:numPr>
        <w:rPr>
          <w:rFonts w:ascii="Arial" w:hAnsi="Arial" w:cs="Arial"/>
          <w:sz w:val="24"/>
          <w:szCs w:val="24"/>
        </w:rPr>
      </w:pPr>
      <w:r w:rsidRPr="00550A7D">
        <w:rPr>
          <w:rFonts w:ascii="Arial" w:hAnsi="Arial" w:cs="Arial"/>
          <w:sz w:val="24"/>
          <w:szCs w:val="24"/>
        </w:rPr>
        <w:t>Stations layers with TOD scores: by clicking the station, a breakdown of the score will be popped up on the bar on the left side. Planners could see how good the existing condition around the station is.</w:t>
      </w:r>
    </w:p>
    <w:p w14:paraId="28083F0F" w14:textId="5378273A" w:rsidR="008C2FB0" w:rsidRPr="00550A7D" w:rsidRDefault="008C2FB0" w:rsidP="00550A7D">
      <w:pPr>
        <w:pStyle w:val="ListParagraph"/>
        <w:numPr>
          <w:ilvl w:val="0"/>
          <w:numId w:val="1"/>
        </w:numPr>
        <w:rPr>
          <w:rFonts w:ascii="Arial" w:hAnsi="Arial" w:cs="Arial"/>
          <w:sz w:val="24"/>
          <w:szCs w:val="24"/>
        </w:rPr>
      </w:pPr>
      <w:r w:rsidRPr="00550A7D">
        <w:rPr>
          <w:rFonts w:ascii="Arial" w:hAnsi="Arial" w:cs="Arial"/>
          <w:sz w:val="24"/>
          <w:szCs w:val="24"/>
        </w:rPr>
        <w:t>Filters at the top to select stations by its TOD score range, municipality level, and service mode it has.</w:t>
      </w:r>
    </w:p>
    <w:p w14:paraId="21136C3D" w14:textId="77777777" w:rsidR="008C2FB0" w:rsidRPr="00550A7D" w:rsidRDefault="00AF6638" w:rsidP="00550A7D">
      <w:pPr>
        <w:pStyle w:val="ListParagraph"/>
        <w:numPr>
          <w:ilvl w:val="0"/>
          <w:numId w:val="1"/>
        </w:numPr>
        <w:rPr>
          <w:rFonts w:ascii="Arial" w:hAnsi="Arial" w:cs="Arial"/>
          <w:sz w:val="24"/>
          <w:szCs w:val="24"/>
        </w:rPr>
      </w:pPr>
      <w:r w:rsidRPr="00550A7D">
        <w:rPr>
          <w:rFonts w:ascii="Arial" w:hAnsi="Arial" w:cs="Arial"/>
          <w:sz w:val="24"/>
          <w:szCs w:val="24"/>
        </w:rPr>
        <w:t xml:space="preserve">Layer of parcels around the station that are larger than 1 acre </w:t>
      </w:r>
      <w:r w:rsidR="008C2FB0" w:rsidRPr="00550A7D">
        <w:rPr>
          <w:rFonts w:ascii="Arial" w:hAnsi="Arial" w:cs="Arial"/>
          <w:sz w:val="24"/>
          <w:szCs w:val="24"/>
        </w:rPr>
        <w:t xml:space="preserve">and </w:t>
      </w:r>
      <w:r w:rsidRPr="00550A7D">
        <w:rPr>
          <w:rFonts w:ascii="Arial" w:hAnsi="Arial" w:cs="Arial"/>
          <w:sz w:val="24"/>
          <w:szCs w:val="24"/>
        </w:rPr>
        <w:t>could be re-developed: currently undeveloped, parking lots, agriculture, and industrial. It’s worth mention that industrial parcels were not part of the “underused” factors, we include here for giving planners more information.</w:t>
      </w:r>
    </w:p>
    <w:p w14:paraId="5FA2130E" w14:textId="77777777" w:rsidR="00582283" w:rsidRPr="00550A7D" w:rsidRDefault="008C2FB0" w:rsidP="00550A7D">
      <w:pPr>
        <w:rPr>
          <w:rFonts w:ascii="Arial" w:hAnsi="Arial" w:cs="Arial"/>
          <w:sz w:val="24"/>
          <w:szCs w:val="24"/>
        </w:rPr>
      </w:pPr>
      <w:r w:rsidRPr="00550A7D">
        <w:rPr>
          <w:rFonts w:ascii="Arial" w:hAnsi="Arial" w:cs="Arial"/>
          <w:sz w:val="24"/>
          <w:szCs w:val="24"/>
        </w:rPr>
        <w:tab/>
      </w:r>
      <w:r w:rsidRPr="00550A7D">
        <w:rPr>
          <w:rFonts w:ascii="Arial" w:hAnsi="Arial" w:cs="Arial"/>
          <w:sz w:val="24"/>
          <w:szCs w:val="24"/>
        </w:rPr>
        <w:t xml:space="preserve">In the real life, planners are recommended to 1) filter the station </w:t>
      </w:r>
      <w:r w:rsidR="00D84EC1" w:rsidRPr="00550A7D">
        <w:rPr>
          <w:rFonts w:ascii="Arial" w:hAnsi="Arial" w:cs="Arial"/>
          <w:sz w:val="24"/>
          <w:szCs w:val="24"/>
        </w:rPr>
        <w:t>based on</w:t>
      </w:r>
      <w:r w:rsidRPr="00550A7D">
        <w:rPr>
          <w:rFonts w:ascii="Arial" w:hAnsi="Arial" w:cs="Arial"/>
          <w:sz w:val="24"/>
          <w:szCs w:val="24"/>
        </w:rPr>
        <w:t xml:space="preserve"> his/her need, then 2) select a suitable parcel around the station. In the most case, we recommend planners to choose the “Between 5 and 7” for the score range, for starting looking for stations that are suitable to have its neighbor redeveloped.</w:t>
      </w:r>
    </w:p>
    <w:p w14:paraId="46B6F137" w14:textId="748BB741" w:rsidR="00582283" w:rsidRPr="00550A7D" w:rsidRDefault="00582283" w:rsidP="00550A7D">
      <w:pPr>
        <w:pStyle w:val="ListParagraph"/>
        <w:numPr>
          <w:ilvl w:val="0"/>
          <w:numId w:val="2"/>
        </w:numPr>
        <w:rPr>
          <w:rFonts w:ascii="Arial" w:hAnsi="Arial" w:cs="Arial"/>
          <w:b/>
          <w:bCs/>
          <w:sz w:val="24"/>
          <w:szCs w:val="24"/>
        </w:rPr>
      </w:pPr>
      <w:r w:rsidRPr="00550A7D">
        <w:rPr>
          <w:rFonts w:ascii="Arial" w:hAnsi="Arial" w:cs="Arial"/>
          <w:b/>
          <w:bCs/>
          <w:sz w:val="24"/>
          <w:szCs w:val="24"/>
        </w:rPr>
        <w:t>Reflection</w:t>
      </w:r>
    </w:p>
    <w:p w14:paraId="3156178D" w14:textId="07B5F07C" w:rsidR="008C2FB0" w:rsidRPr="00550A7D" w:rsidRDefault="009E7B27" w:rsidP="00550A7D">
      <w:pPr>
        <w:rPr>
          <w:rFonts w:ascii="Arial" w:hAnsi="Arial" w:cs="Arial"/>
          <w:sz w:val="24"/>
          <w:szCs w:val="24"/>
        </w:rPr>
      </w:pPr>
      <w:r w:rsidRPr="00550A7D">
        <w:rPr>
          <w:rFonts w:ascii="Arial" w:hAnsi="Arial" w:cs="Arial"/>
          <w:sz w:val="24"/>
          <w:szCs w:val="24"/>
        </w:rPr>
        <w:tab/>
      </w:r>
      <w:r w:rsidRPr="00550A7D">
        <w:rPr>
          <w:rFonts w:ascii="Arial" w:hAnsi="Arial" w:cs="Arial"/>
          <w:sz w:val="24"/>
          <w:szCs w:val="24"/>
        </w:rPr>
        <w:t xml:space="preserve">By conducting the land-use analysis, I gradually realized that the current standard for TOD buffers </w:t>
      </w:r>
      <w:r w:rsidR="00AD1008" w:rsidRPr="00550A7D">
        <w:rPr>
          <w:rFonts w:ascii="Arial" w:hAnsi="Arial" w:cs="Arial"/>
          <w:sz w:val="24"/>
          <w:szCs w:val="24"/>
        </w:rPr>
        <w:t>–</w:t>
      </w:r>
      <w:r w:rsidRPr="00550A7D">
        <w:rPr>
          <w:rFonts w:ascii="Arial" w:hAnsi="Arial" w:cs="Arial"/>
          <w:sz w:val="24"/>
          <w:szCs w:val="24"/>
        </w:rPr>
        <w:t xml:space="preserve"> </w:t>
      </w:r>
      <w:r w:rsidR="00AD1008" w:rsidRPr="00550A7D">
        <w:rPr>
          <w:rFonts w:ascii="Arial" w:hAnsi="Arial" w:cs="Arial"/>
          <w:sz w:val="24"/>
          <w:szCs w:val="24"/>
        </w:rPr>
        <w:t xml:space="preserve">half mile or 800 meters – are too large. The distance between a lot of rapid transit stations </w:t>
      </w:r>
      <w:r w:rsidR="00550A7D" w:rsidRPr="00550A7D">
        <w:rPr>
          <w:rFonts w:ascii="Arial" w:hAnsi="Arial" w:cs="Arial"/>
          <w:sz w:val="24"/>
          <w:szCs w:val="24"/>
        </w:rPr>
        <w:t>is</w:t>
      </w:r>
      <w:r w:rsidR="00AD1008" w:rsidRPr="00550A7D">
        <w:rPr>
          <w:rFonts w:ascii="Arial" w:hAnsi="Arial" w:cs="Arial"/>
          <w:sz w:val="24"/>
          <w:szCs w:val="24"/>
        </w:rPr>
        <w:t xml:space="preserve"> smaller than 800 meters; also, by plotting parcels into the map, we can see a lot of stations alongside the Schuylkill or Delaware River have respective parcels located across the river. </w:t>
      </w:r>
      <w:r w:rsidR="00550A7D" w:rsidRPr="00550A7D">
        <w:rPr>
          <w:rFonts w:ascii="Arial" w:hAnsi="Arial" w:cs="Arial"/>
          <w:sz w:val="24"/>
          <w:szCs w:val="24"/>
        </w:rPr>
        <w:t xml:space="preserve">Also, stations served by low-ridership modes could also have smaller TOD buffer zone. </w:t>
      </w:r>
    </w:p>
    <w:p w14:paraId="54FBBCCF" w14:textId="4C9400CD" w:rsidR="00582283" w:rsidRDefault="00582283" w:rsidP="00550A7D">
      <w:pPr>
        <w:rPr>
          <w:rFonts w:ascii="Arial" w:hAnsi="Arial" w:cs="Arial"/>
          <w:sz w:val="24"/>
          <w:szCs w:val="24"/>
        </w:rPr>
      </w:pPr>
      <w:r w:rsidRPr="00550A7D">
        <w:rPr>
          <w:rFonts w:ascii="Arial" w:hAnsi="Arial" w:cs="Arial"/>
          <w:sz w:val="24"/>
          <w:szCs w:val="24"/>
        </w:rPr>
        <w:tab/>
        <w:t xml:space="preserve">Secondly, the equity factors we include have limited effects on results: </w:t>
      </w:r>
      <w:r w:rsidR="009E7B27" w:rsidRPr="00550A7D">
        <w:rPr>
          <w:rFonts w:ascii="Arial" w:hAnsi="Arial" w:cs="Arial"/>
          <w:sz w:val="24"/>
          <w:szCs w:val="24"/>
        </w:rPr>
        <w:t>stations served by rail transit but have higher likelihood being gentrified are still have higher scores than a lot of regional rail stations in the suburbs, this is because the most significant factors in this model are still related to transit accessibility and existing land-use even if we adopt the APH weighting method. Thus, that’s the reason we decide to have the filter in our dashboard: when looking at stations of different service mode and different jurisdiction, the criteria on the “goodness” should also be flexible – and the breakdown of the score is more important than the weighted index itself.</w:t>
      </w:r>
    </w:p>
    <w:p w14:paraId="64EF8D84" w14:textId="5514E103" w:rsidR="000A4664" w:rsidRDefault="000A4664" w:rsidP="00550A7D">
      <w:pPr>
        <w:rPr>
          <w:rFonts w:ascii="Arial" w:hAnsi="Arial" w:cs="Arial"/>
          <w:sz w:val="24"/>
          <w:szCs w:val="24"/>
        </w:rPr>
      </w:pPr>
    </w:p>
    <w:p w14:paraId="1D0904B0" w14:textId="77777777" w:rsidR="000A4664" w:rsidRPr="00550A7D" w:rsidRDefault="000A4664" w:rsidP="00550A7D">
      <w:pPr>
        <w:rPr>
          <w:rFonts w:ascii="Arial" w:hAnsi="Arial" w:cs="Arial"/>
          <w:sz w:val="24"/>
          <w:szCs w:val="24"/>
        </w:rPr>
      </w:pPr>
    </w:p>
    <w:p w14:paraId="0C344777" w14:textId="3556737D" w:rsidR="00550A7D" w:rsidRDefault="00550A7D" w:rsidP="00550A7D">
      <w:pPr>
        <w:pStyle w:val="ListParagraph"/>
        <w:numPr>
          <w:ilvl w:val="0"/>
          <w:numId w:val="2"/>
        </w:numPr>
        <w:rPr>
          <w:rFonts w:ascii="Arial" w:hAnsi="Arial" w:cs="Arial"/>
          <w:b/>
          <w:bCs/>
          <w:sz w:val="24"/>
          <w:szCs w:val="24"/>
        </w:rPr>
      </w:pPr>
      <w:r w:rsidRPr="00550A7D">
        <w:rPr>
          <w:rFonts w:ascii="Arial" w:hAnsi="Arial" w:cs="Arial"/>
          <w:b/>
          <w:bCs/>
          <w:sz w:val="24"/>
          <w:szCs w:val="24"/>
        </w:rPr>
        <w:lastRenderedPageBreak/>
        <w:t>Reference</w:t>
      </w:r>
    </w:p>
    <w:p w14:paraId="50995C06" w14:textId="6E2BA7B6" w:rsidR="000A4664" w:rsidRDefault="000A4664" w:rsidP="000A4664">
      <w:pPr>
        <w:rPr>
          <w:rFonts w:ascii="Arial" w:hAnsi="Arial" w:cs="Arial"/>
          <w:sz w:val="24"/>
          <w:szCs w:val="24"/>
        </w:rPr>
      </w:pPr>
      <w:r w:rsidRPr="000A4664">
        <w:rPr>
          <w:rFonts w:ascii="Arial" w:hAnsi="Arial" w:cs="Arial"/>
          <w:sz w:val="24"/>
          <w:szCs w:val="24"/>
        </w:rPr>
        <w:t xml:space="preserve">DVRPC’s TOD Index: </w:t>
      </w:r>
      <w:hyperlink r:id="rId13" w:history="1">
        <w:r w:rsidRPr="00D804FC">
          <w:rPr>
            <w:rStyle w:val="Hyperlink"/>
            <w:rFonts w:ascii="Arial" w:hAnsi="Arial" w:cs="Arial"/>
            <w:sz w:val="24"/>
            <w:szCs w:val="24"/>
          </w:rPr>
          <w:t>https://www.dvrpc.org/webmaps/TOD/#map</w:t>
        </w:r>
      </w:hyperlink>
    </w:p>
    <w:p w14:paraId="5C8182E8" w14:textId="77777777" w:rsidR="000A4664" w:rsidRPr="009B5DC5" w:rsidRDefault="000A4664" w:rsidP="000A4664">
      <w:pPr>
        <w:ind w:left="720" w:hanging="720"/>
        <w:rPr>
          <w:rFonts w:ascii="Arial" w:hAnsi="Arial" w:cs="Arial"/>
          <w:sz w:val="24"/>
          <w:szCs w:val="24"/>
        </w:rPr>
      </w:pPr>
      <w:proofErr w:type="spellStart"/>
      <w:r w:rsidRPr="00864D33">
        <w:rPr>
          <w:rFonts w:ascii="Arial" w:hAnsi="Arial" w:cs="Arial"/>
          <w:sz w:val="24"/>
          <w:szCs w:val="24"/>
        </w:rPr>
        <w:t>Németh</w:t>
      </w:r>
      <w:proofErr w:type="spellEnd"/>
      <w:r w:rsidRPr="00864D33">
        <w:rPr>
          <w:rFonts w:ascii="Arial" w:hAnsi="Arial" w:cs="Arial"/>
          <w:sz w:val="24"/>
          <w:szCs w:val="24"/>
        </w:rPr>
        <w:t xml:space="preserve">, B., </w:t>
      </w:r>
      <w:proofErr w:type="spellStart"/>
      <w:r w:rsidRPr="00864D33">
        <w:rPr>
          <w:rFonts w:ascii="Arial" w:hAnsi="Arial" w:cs="Arial"/>
          <w:sz w:val="24"/>
          <w:szCs w:val="24"/>
        </w:rPr>
        <w:t>Molnár</w:t>
      </w:r>
      <w:proofErr w:type="spellEnd"/>
      <w:r w:rsidRPr="00864D33">
        <w:rPr>
          <w:rFonts w:ascii="Arial" w:hAnsi="Arial" w:cs="Arial"/>
          <w:sz w:val="24"/>
          <w:szCs w:val="24"/>
        </w:rPr>
        <w:t xml:space="preserve">, A., </w:t>
      </w:r>
      <w:proofErr w:type="spellStart"/>
      <w:r w:rsidRPr="00864D33">
        <w:rPr>
          <w:rFonts w:ascii="Arial" w:hAnsi="Arial" w:cs="Arial"/>
          <w:sz w:val="24"/>
          <w:szCs w:val="24"/>
        </w:rPr>
        <w:t>Bozóki</w:t>
      </w:r>
      <w:proofErr w:type="spellEnd"/>
      <w:r w:rsidRPr="00864D33">
        <w:rPr>
          <w:rFonts w:ascii="Arial" w:hAnsi="Arial" w:cs="Arial"/>
          <w:sz w:val="24"/>
          <w:szCs w:val="24"/>
        </w:rPr>
        <w:t xml:space="preserve">, S., Wijaya, K., </w:t>
      </w:r>
      <w:proofErr w:type="spellStart"/>
      <w:r w:rsidRPr="00864D33">
        <w:rPr>
          <w:rFonts w:ascii="Arial" w:hAnsi="Arial" w:cs="Arial"/>
          <w:sz w:val="24"/>
          <w:szCs w:val="24"/>
        </w:rPr>
        <w:t>Inotai</w:t>
      </w:r>
      <w:proofErr w:type="spellEnd"/>
      <w:r w:rsidRPr="00864D33">
        <w:rPr>
          <w:rFonts w:ascii="Arial" w:hAnsi="Arial" w:cs="Arial"/>
          <w:sz w:val="24"/>
          <w:szCs w:val="24"/>
        </w:rPr>
        <w:t xml:space="preserve">, A., Campbell, J. D., &amp; </w:t>
      </w:r>
      <w:proofErr w:type="spellStart"/>
      <w:r w:rsidRPr="00864D33">
        <w:rPr>
          <w:rFonts w:ascii="Arial" w:hAnsi="Arial" w:cs="Arial"/>
          <w:sz w:val="24"/>
          <w:szCs w:val="24"/>
        </w:rPr>
        <w:t>Kaló</w:t>
      </w:r>
      <w:proofErr w:type="spellEnd"/>
      <w:r w:rsidRPr="00864D33">
        <w:rPr>
          <w:rFonts w:ascii="Arial" w:hAnsi="Arial" w:cs="Arial"/>
          <w:sz w:val="24"/>
          <w:szCs w:val="24"/>
        </w:rPr>
        <w:t xml:space="preserve">, Z. (2019). Comparison of weighting methods used in multicriteria decision analysis frameworks in healthcare with focus on low-and middle-income countries. Journal of comparative effectiveness research, 8(4), 195-204. </w:t>
      </w:r>
      <w:r>
        <w:rPr>
          <w:rFonts w:ascii="Arial" w:hAnsi="Arial" w:cs="Arial"/>
          <w:sz w:val="24"/>
          <w:szCs w:val="24"/>
        </w:rPr>
        <w:t xml:space="preserve"> </w:t>
      </w:r>
      <w:hyperlink r:id="rId14" w:history="1">
        <w:r w:rsidRPr="006E7520">
          <w:rPr>
            <w:rStyle w:val="Hyperlink"/>
            <w:rFonts w:ascii="Arial" w:hAnsi="Arial" w:cs="Arial"/>
            <w:sz w:val="24"/>
            <w:szCs w:val="24"/>
          </w:rPr>
          <w:t>https://www.futuremedicine.com/doi/10.2217/cer-2018-0102</w:t>
        </w:r>
      </w:hyperlink>
    </w:p>
    <w:p w14:paraId="0B8D4D3D" w14:textId="3C2A3657" w:rsidR="000A4664" w:rsidRPr="000A4664" w:rsidRDefault="000A4664" w:rsidP="000A4664">
      <w:pPr>
        <w:ind w:left="720" w:hanging="720"/>
        <w:rPr>
          <w:rFonts w:ascii="Arial" w:hAnsi="Arial" w:cs="Arial"/>
          <w:sz w:val="24"/>
          <w:szCs w:val="24"/>
        </w:rPr>
      </w:pPr>
      <w:r>
        <w:rPr>
          <w:rFonts w:ascii="Arial" w:hAnsi="Arial" w:cs="Arial"/>
          <w:sz w:val="24"/>
          <w:szCs w:val="24"/>
        </w:rPr>
        <w:t xml:space="preserve">Calthorpe Associates, </w:t>
      </w:r>
      <w:proofErr w:type="spellStart"/>
      <w:r>
        <w:rPr>
          <w:rFonts w:ascii="Arial" w:hAnsi="Arial" w:cs="Arial"/>
          <w:sz w:val="24"/>
          <w:szCs w:val="24"/>
        </w:rPr>
        <w:t>Mintier</w:t>
      </w:r>
      <w:proofErr w:type="spellEnd"/>
      <w:r>
        <w:rPr>
          <w:rFonts w:ascii="Arial" w:hAnsi="Arial" w:cs="Arial"/>
          <w:sz w:val="24"/>
          <w:szCs w:val="24"/>
        </w:rPr>
        <w:t xml:space="preserve"> &amp; Associates. “Transit-Oriented Development Design Guidelines”. Sacramento County Planning &amp; Community Development Department. September 1990. </w:t>
      </w:r>
      <w:hyperlink r:id="rId15" w:history="1">
        <w:r w:rsidRPr="00D804FC">
          <w:rPr>
            <w:rStyle w:val="Hyperlink"/>
            <w:rFonts w:ascii="Arial" w:hAnsi="Arial" w:cs="Arial"/>
            <w:sz w:val="24"/>
            <w:szCs w:val="24"/>
          </w:rPr>
          <w:t>https://planning.saccounty.net/PlansandProjectsIn-Progress/Documents/General%20Plan%202030/GP%20Elements/TOD%20Guidelines.pdf</w:t>
        </w:r>
      </w:hyperlink>
      <w:r>
        <w:rPr>
          <w:rFonts w:ascii="Arial" w:hAnsi="Arial" w:cs="Arial"/>
          <w:sz w:val="24"/>
          <w:szCs w:val="24"/>
        </w:rPr>
        <w:t xml:space="preserve">. </w:t>
      </w:r>
    </w:p>
    <w:p w14:paraId="3D1D5AE2" w14:textId="77777777" w:rsidR="00550A7D" w:rsidRPr="00550A7D" w:rsidRDefault="00550A7D" w:rsidP="00550A7D">
      <w:pPr>
        <w:pStyle w:val="ListParagraph"/>
        <w:rPr>
          <w:rFonts w:ascii="Arial" w:hAnsi="Arial" w:cs="Arial"/>
          <w:sz w:val="24"/>
          <w:szCs w:val="24"/>
        </w:rPr>
      </w:pPr>
    </w:p>
    <w:sectPr w:rsidR="00550A7D" w:rsidRPr="0055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E4C1A"/>
    <w:multiLevelType w:val="hybridMultilevel"/>
    <w:tmpl w:val="8E086136"/>
    <w:lvl w:ilvl="0" w:tplc="4DC00F18">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32692"/>
    <w:multiLevelType w:val="multilevel"/>
    <w:tmpl w:val="D168F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68126323">
    <w:abstractNumId w:val="0"/>
  </w:num>
  <w:num w:numId="2" w16cid:durableId="10631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EF"/>
    <w:rsid w:val="000A4664"/>
    <w:rsid w:val="00144E0E"/>
    <w:rsid w:val="001A6A39"/>
    <w:rsid w:val="003320B7"/>
    <w:rsid w:val="00353B57"/>
    <w:rsid w:val="004F149F"/>
    <w:rsid w:val="00527B76"/>
    <w:rsid w:val="00550A7D"/>
    <w:rsid w:val="00582283"/>
    <w:rsid w:val="006E71D4"/>
    <w:rsid w:val="007503C9"/>
    <w:rsid w:val="00795FB4"/>
    <w:rsid w:val="007E4723"/>
    <w:rsid w:val="00865DD5"/>
    <w:rsid w:val="008C2FB0"/>
    <w:rsid w:val="008E42AF"/>
    <w:rsid w:val="00947C30"/>
    <w:rsid w:val="009E7B27"/>
    <w:rsid w:val="00AD1008"/>
    <w:rsid w:val="00AF6638"/>
    <w:rsid w:val="00B24A5F"/>
    <w:rsid w:val="00D37C63"/>
    <w:rsid w:val="00D84EC1"/>
    <w:rsid w:val="00DD1134"/>
    <w:rsid w:val="00E72CF0"/>
    <w:rsid w:val="00F13F89"/>
    <w:rsid w:val="00F14AEF"/>
    <w:rsid w:val="00F3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4D82"/>
  <w15:chartTrackingRefBased/>
  <w15:docId w15:val="{D36E55EA-FA40-4A25-9A00-F12B5BDB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AEF"/>
    <w:rPr>
      <w:color w:val="0563C1" w:themeColor="hyperlink"/>
      <w:u w:val="single"/>
    </w:rPr>
  </w:style>
  <w:style w:type="paragraph" w:styleId="ListParagraph">
    <w:name w:val="List Paragraph"/>
    <w:basedOn w:val="Normal"/>
    <w:uiPriority w:val="34"/>
    <w:qFormat/>
    <w:rsid w:val="00B24A5F"/>
    <w:pPr>
      <w:ind w:left="720"/>
      <w:contextualSpacing/>
    </w:pPr>
  </w:style>
  <w:style w:type="table" w:styleId="TableGrid">
    <w:name w:val="Table Grid"/>
    <w:basedOn w:val="TableNormal"/>
    <w:uiPriority w:val="39"/>
    <w:rsid w:val="0094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4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vrpc.org/webmaps/TOD/#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vrpc.org/webmaps/TOD/" TargetMode="External"/><Relationship Id="rId11" Type="http://schemas.openxmlformats.org/officeDocument/2006/relationships/image" Target="media/image5.png"/><Relationship Id="rId5" Type="http://schemas.openxmlformats.org/officeDocument/2006/relationships/hyperlink" Target="https://urbanspatial.github.io/PublicPolicyAnalytics/TOD.html" TargetMode="External"/><Relationship Id="rId15" Type="http://schemas.openxmlformats.org/officeDocument/2006/relationships/hyperlink" Target="https://planning.saccounty.net/PlansandProjectsIn-Progress/Documents/General%20Plan%202030/GP%20Elements/TOD%20Guideline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uturemedicine.com/doi/10.2217/cer-2018-0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9</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Lechuan Huang</dc:creator>
  <cp:keywords/>
  <dc:description/>
  <cp:lastModifiedBy>Lechuan Huang</cp:lastModifiedBy>
  <cp:revision>6</cp:revision>
  <dcterms:created xsi:type="dcterms:W3CDTF">2022-04-28T15:57:00Z</dcterms:created>
  <dcterms:modified xsi:type="dcterms:W3CDTF">2022-04-29T01:55:00Z</dcterms:modified>
</cp:coreProperties>
</file>