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A6495" w14:textId="1100243C" w:rsidR="00865DD5" w:rsidRDefault="00B206E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 </w:t>
      </w:r>
      <w:r>
        <w:rPr>
          <w:rFonts w:ascii="Arial" w:hAnsi="Arial" w:cs="Arial" w:hint="eastAsia"/>
          <w:sz w:val="24"/>
          <w:szCs w:val="24"/>
        </w:rPr>
        <w:t>in</w:t>
      </w:r>
      <w:r>
        <w:rPr>
          <w:rFonts w:ascii="Arial" w:hAnsi="Arial" w:cs="Arial"/>
          <w:sz w:val="24"/>
          <w:szCs w:val="24"/>
        </w:rPr>
        <w:t xml:space="preserve"> Philadelphia</w:t>
      </w:r>
    </w:p>
    <w:p w14:paraId="4D7ACD37" w14:textId="39243605" w:rsidR="00CF2A67" w:rsidRDefault="00CF2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Lechuan Huang</w:t>
      </w:r>
    </w:p>
    <w:p w14:paraId="735D299F" w14:textId="3838ECC8" w:rsidR="00FF0246" w:rsidRPr="00FF0246" w:rsidRDefault="009351A6" w:rsidP="005F5216">
      <w:pPr>
        <w:rPr>
          <w:rFonts w:ascii="Arial" w:hAnsi="Arial" w:cs="Arial"/>
          <w:b/>
          <w:bCs/>
          <w:sz w:val="24"/>
          <w:szCs w:val="24"/>
        </w:rPr>
      </w:pPr>
      <w:r w:rsidRPr="009351A6">
        <w:rPr>
          <w:rFonts w:ascii="Arial" w:hAnsi="Arial" w:cs="Arial"/>
          <w:b/>
          <w:bCs/>
          <w:sz w:val="24"/>
          <w:szCs w:val="24"/>
        </w:rPr>
        <w:t>Topic</w:t>
      </w:r>
      <w:r>
        <w:rPr>
          <w:rFonts w:ascii="Arial" w:hAnsi="Arial" w:cs="Arial"/>
          <w:sz w:val="24"/>
          <w:szCs w:val="24"/>
        </w:rPr>
        <w:t xml:space="preserve">: </w:t>
      </w:r>
      <w:r w:rsidRPr="009351A6">
        <w:rPr>
          <w:rFonts w:ascii="Arial" w:hAnsi="Arial" w:cs="Arial"/>
          <w:sz w:val="24"/>
          <w:szCs w:val="24"/>
        </w:rPr>
        <w:t>develop a method to analyze the existence or potential of TOD</w:t>
      </w:r>
      <w:r w:rsidR="005F5216">
        <w:rPr>
          <w:rFonts w:ascii="Arial" w:hAnsi="Arial" w:cs="Arial"/>
          <w:sz w:val="24"/>
          <w:szCs w:val="24"/>
        </w:rPr>
        <w:t xml:space="preserve"> opportunities</w:t>
      </w:r>
      <w:r>
        <w:rPr>
          <w:rFonts w:ascii="Arial" w:hAnsi="Arial" w:cs="Arial"/>
          <w:sz w:val="24"/>
          <w:szCs w:val="24"/>
        </w:rPr>
        <w:t xml:space="preserve"> in Philadelphia </w:t>
      </w:r>
      <w:r w:rsidR="005F5216">
        <w:rPr>
          <w:rFonts w:ascii="Arial" w:hAnsi="Arial" w:cs="Arial"/>
          <w:sz w:val="24"/>
          <w:szCs w:val="24"/>
        </w:rPr>
        <w:t>MSA (DVRPC) using Multi-Criteria Decision Analysis and Machine Learning.</w:t>
      </w:r>
    </w:p>
    <w:p w14:paraId="132BF0B9" w14:textId="41C666A9" w:rsidR="00B206E6" w:rsidRPr="006F349D" w:rsidRDefault="006F349D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Background</w:t>
      </w:r>
    </w:p>
    <w:p w14:paraId="39D95B7E" w14:textId="2B343E82" w:rsidR="00B206E6" w:rsidRDefault="005518F0">
      <w:pPr>
        <w:rPr>
          <w:rFonts w:ascii="Arial" w:hAnsi="Arial" w:cs="Arial"/>
          <w:sz w:val="24"/>
          <w:szCs w:val="24"/>
        </w:rPr>
      </w:pPr>
      <w:hyperlink r:id="rId5" w:history="1">
        <w:r w:rsidR="00B206E6" w:rsidRPr="008B5C22">
          <w:rPr>
            <w:rStyle w:val="Hyperlink"/>
            <w:rFonts w:ascii="Arial" w:hAnsi="Arial" w:cs="Arial"/>
            <w:sz w:val="24"/>
            <w:szCs w:val="24"/>
          </w:rPr>
          <w:t>https://urbanspatial.github.io/PublicPolicyAnalytics/TOD.html</w:t>
        </w:r>
      </w:hyperlink>
      <w:r w:rsidR="00B206E6">
        <w:rPr>
          <w:rFonts w:ascii="Arial" w:hAnsi="Arial" w:cs="Arial"/>
          <w:sz w:val="24"/>
          <w:szCs w:val="24"/>
        </w:rPr>
        <w:t xml:space="preserve"> </w:t>
      </w:r>
    </w:p>
    <w:p w14:paraId="0E4EC8B6" w14:textId="1B61605B" w:rsidR="006F349D" w:rsidRDefault="006F3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Philadelphia has its own subway and regional rail systems built over a century ago. However, according to analysis, only certain parts of the city served by rail transit had a positive impact brought by TOD. Other parts of the city served by subways, like West and North Philly remains unchanged compared to non-TOD communities.</w:t>
      </w:r>
    </w:p>
    <w:p w14:paraId="272E6A24" w14:textId="382B329E" w:rsidR="006F349D" w:rsidRDefault="005518F0">
      <w:pPr>
        <w:rPr>
          <w:rFonts w:ascii="Arial" w:hAnsi="Arial" w:cs="Arial"/>
          <w:sz w:val="24"/>
          <w:szCs w:val="24"/>
        </w:rPr>
      </w:pPr>
      <w:hyperlink r:id="rId6" w:history="1">
        <w:r w:rsidR="006F349D" w:rsidRPr="008B5C22">
          <w:rPr>
            <w:rStyle w:val="Hyperlink"/>
            <w:rFonts w:ascii="Arial" w:hAnsi="Arial" w:cs="Arial"/>
            <w:sz w:val="24"/>
            <w:szCs w:val="24"/>
          </w:rPr>
          <w:t>https://www.dvrpc.org/webmaps/TOD/</w:t>
        </w:r>
      </w:hyperlink>
      <w:r w:rsidR="006F349D">
        <w:rPr>
          <w:rFonts w:ascii="Arial" w:hAnsi="Arial" w:cs="Arial"/>
          <w:sz w:val="24"/>
          <w:szCs w:val="24"/>
        </w:rPr>
        <w:t xml:space="preserve"> </w:t>
      </w:r>
    </w:p>
    <w:p w14:paraId="3C740EF5" w14:textId="3E3541DD" w:rsidR="00CF2A67" w:rsidRDefault="00CF2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DVRPC did produce a map showing the TOD indexes for all major rail transit stations in the Philadelphia MSA. </w:t>
      </w:r>
    </w:p>
    <w:p w14:paraId="1C2C90B5" w14:textId="1F58784E" w:rsidR="00CF2A67" w:rsidRDefault="00CF2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Factors includes:</w:t>
      </w:r>
    </w:p>
    <w:p w14:paraId="4ED047A9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Transit Service Quality</w:t>
      </w:r>
      <w:r>
        <w:rPr>
          <w:rFonts w:ascii="Arial" w:hAnsi="Arial" w:cs="Arial"/>
          <w:sz w:val="24"/>
          <w:szCs w:val="24"/>
        </w:rPr>
        <w:t xml:space="preserve">: in </w:t>
      </w:r>
      <w:r w:rsidRPr="00CF2A67">
        <w:rPr>
          <w:rFonts w:ascii="Arial" w:hAnsi="Arial" w:cs="Arial"/>
          <w:sz w:val="24"/>
          <w:szCs w:val="24"/>
        </w:rPr>
        <w:t>TCI Score</w:t>
      </w:r>
    </w:p>
    <w:p w14:paraId="1B39E249" w14:textId="618D032E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 xml:space="preserve">Job Access: </w:t>
      </w:r>
      <w:r>
        <w:rPr>
          <w:rFonts w:ascii="Arial" w:hAnsi="Arial" w:cs="Arial"/>
          <w:sz w:val="24"/>
          <w:szCs w:val="24"/>
        </w:rPr>
        <w:t>number of</w:t>
      </w:r>
      <w:r w:rsidRPr="00CF2A67">
        <w:rPr>
          <w:rFonts w:ascii="Arial" w:hAnsi="Arial" w:cs="Arial"/>
          <w:sz w:val="24"/>
          <w:szCs w:val="24"/>
        </w:rPr>
        <w:t xml:space="preserve"> jobs accessible within 30-minute transit ride</w:t>
      </w:r>
    </w:p>
    <w:p w14:paraId="16D453DD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 xml:space="preserve">Travel Time to Philly: transit </w:t>
      </w:r>
      <w:r>
        <w:rPr>
          <w:rFonts w:ascii="Arial" w:hAnsi="Arial" w:cs="Arial"/>
          <w:sz w:val="24"/>
          <w:szCs w:val="24"/>
        </w:rPr>
        <w:t xml:space="preserve">time </w:t>
      </w:r>
      <w:r w:rsidRPr="00CF2A67">
        <w:rPr>
          <w:rFonts w:ascii="Arial" w:hAnsi="Arial" w:cs="Arial"/>
          <w:sz w:val="24"/>
          <w:szCs w:val="24"/>
        </w:rPr>
        <w:t>to auto travel time ratio</w:t>
      </w:r>
    </w:p>
    <w:p w14:paraId="7EC5152F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Population density in half-mile radius</w:t>
      </w:r>
    </w:p>
    <w:p w14:paraId="613A78A5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Car Ownership</w:t>
      </w:r>
    </w:p>
    <w:p w14:paraId="287C99EB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Non-Car Commuters</w:t>
      </w:r>
    </w:p>
    <w:p w14:paraId="4852E64E" w14:textId="133DD124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Walk Score</w:t>
      </w:r>
    </w:p>
    <w:p w14:paraId="458D064E" w14:textId="31040DD5" w:rsidR="006F349D" w:rsidRPr="006F349D" w:rsidRDefault="006F349D" w:rsidP="006F3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It also measures stations’ future potential to develop new TODs</w:t>
      </w:r>
    </w:p>
    <w:p w14:paraId="2CDA5A08" w14:textId="6BEBBDB1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Recent </w:t>
      </w:r>
      <w:r w:rsidRPr="00CF2A67">
        <w:rPr>
          <w:rFonts w:ascii="Arial" w:hAnsi="Arial" w:cs="Arial"/>
          <w:sz w:val="24"/>
          <w:szCs w:val="24"/>
        </w:rPr>
        <w:t>Development Activity</w:t>
      </w:r>
    </w:p>
    <w:p w14:paraId="42F1B1D2" w14:textId="77777777" w:rsid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Commercial rent and residential rent</w:t>
      </w:r>
    </w:p>
    <w:p w14:paraId="75BFCFA9" w14:textId="6E7F2918" w:rsidR="00CF2A67" w:rsidRPr="00CF2A67" w:rsidRDefault="00CF2A67" w:rsidP="00CF2A6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CF2A67">
        <w:rPr>
          <w:rFonts w:ascii="Arial" w:hAnsi="Arial" w:cs="Arial"/>
          <w:sz w:val="24"/>
          <w:szCs w:val="24"/>
        </w:rPr>
        <w:t>Available Land</w:t>
      </w:r>
    </w:p>
    <w:p w14:paraId="3718E750" w14:textId="6C41A16D" w:rsidR="00CF2A67" w:rsidRDefault="00CF2A67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However, it does not include the factors like safety, existing demography that will affect the feasibility of transition and may cause gentrification.</w:t>
      </w:r>
    </w:p>
    <w:p w14:paraId="4BE9416F" w14:textId="2CDABE1F" w:rsidR="00B206E6" w:rsidRDefault="005518F0">
      <w:pPr>
        <w:rPr>
          <w:rFonts w:ascii="Arial" w:hAnsi="Arial" w:cs="Arial"/>
          <w:sz w:val="24"/>
          <w:szCs w:val="24"/>
        </w:rPr>
      </w:pPr>
      <w:hyperlink r:id="rId7" w:history="1">
        <w:r w:rsidR="00B206E6" w:rsidRPr="008B5C22">
          <w:rPr>
            <w:rStyle w:val="Hyperlink"/>
            <w:rFonts w:ascii="Arial" w:hAnsi="Arial" w:cs="Arial"/>
            <w:sz w:val="24"/>
            <w:szCs w:val="24"/>
          </w:rPr>
          <w:t>https://whyy.org/articles/council-proposes-zoning-changes-to-drive-transit-oriented-development/</w:t>
        </w:r>
      </w:hyperlink>
      <w:r w:rsidR="00B206E6">
        <w:rPr>
          <w:rFonts w:ascii="Arial" w:hAnsi="Arial" w:cs="Arial"/>
          <w:sz w:val="24"/>
          <w:szCs w:val="24"/>
        </w:rPr>
        <w:t xml:space="preserve"> </w:t>
      </w:r>
    </w:p>
    <w:p w14:paraId="5EBC77E9" w14:textId="039363FF" w:rsidR="006F349D" w:rsidRDefault="006F349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This map shows possible stations could be used for TOD-development in Center City, but it only considers rail accessibility. </w:t>
      </w:r>
    </w:p>
    <w:p w14:paraId="486FE948" w14:textId="7ABDA26D" w:rsidR="006F349D" w:rsidRPr="006F349D" w:rsidRDefault="006F349D">
      <w:pPr>
        <w:rPr>
          <w:rFonts w:ascii="Arial" w:hAnsi="Arial" w:cs="Arial"/>
          <w:b/>
          <w:bCs/>
          <w:sz w:val="24"/>
          <w:szCs w:val="24"/>
        </w:rPr>
      </w:pPr>
      <w:r w:rsidRPr="006F349D">
        <w:rPr>
          <w:rFonts w:ascii="Arial" w:hAnsi="Arial" w:cs="Arial"/>
          <w:b/>
          <w:bCs/>
          <w:sz w:val="24"/>
          <w:szCs w:val="24"/>
        </w:rPr>
        <w:t>Assumptions</w:t>
      </w:r>
    </w:p>
    <w:p w14:paraId="7B673BDE" w14:textId="5B1C9AE6" w:rsidR="00FF0246" w:rsidRDefault="006F349D" w:rsidP="00FF02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I can rezone, upzone, redevelop parcels based on my analysis of parcels’ existing conditions</w:t>
      </w:r>
    </w:p>
    <w:p w14:paraId="6EBFBD53" w14:textId="0E8B6729" w:rsidR="004A6F4C" w:rsidRDefault="004A6F4C" w:rsidP="006F349D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New TOD projects will require affordable housing quotas</w:t>
      </w:r>
    </w:p>
    <w:p w14:paraId="736F3EE5" w14:textId="77777777" w:rsidR="00FF0246" w:rsidRDefault="009351A6" w:rsidP="00FF02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 buffers will have perfect walking and cycling infrastructure eventually</w:t>
      </w:r>
    </w:p>
    <w:p w14:paraId="15013656" w14:textId="4A12795B" w:rsidR="009351A6" w:rsidRPr="00FF0246" w:rsidRDefault="00FF0246" w:rsidP="00FF02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The transit service to Center PHL will be improved (more frequencies, express services) if I choose to do suburban counties</w:t>
      </w:r>
    </w:p>
    <w:p w14:paraId="10021319" w14:textId="41F22799" w:rsidR="00484819" w:rsidRPr="00E96578" w:rsidRDefault="00484819" w:rsidP="00484819">
      <w:pPr>
        <w:rPr>
          <w:rFonts w:ascii="Arial" w:hAnsi="Arial" w:cs="Arial"/>
          <w:b/>
          <w:bCs/>
          <w:sz w:val="24"/>
          <w:szCs w:val="24"/>
        </w:rPr>
      </w:pPr>
      <w:r w:rsidRPr="00E96578">
        <w:rPr>
          <w:rFonts w:ascii="Arial" w:hAnsi="Arial" w:cs="Arial"/>
          <w:b/>
          <w:bCs/>
          <w:sz w:val="24"/>
          <w:szCs w:val="24"/>
        </w:rPr>
        <w:t>Criterias (TBD)</w:t>
      </w:r>
      <w:r w:rsidR="004A6F4C">
        <w:rPr>
          <w:rFonts w:ascii="Arial" w:hAnsi="Arial" w:cs="Arial"/>
          <w:b/>
          <w:bCs/>
          <w:sz w:val="24"/>
          <w:szCs w:val="24"/>
        </w:rPr>
        <w:t xml:space="preserve"> and Deliverables</w:t>
      </w:r>
    </w:p>
    <w:p w14:paraId="69F2F4C8" w14:textId="75531580" w:rsidR="009C126B" w:rsidRDefault="009C126B" w:rsidP="0048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</w:t>
      </w:r>
      <w:r>
        <w:rPr>
          <w:rFonts w:ascii="Arial" w:hAnsi="Arial" w:cs="Arial" w:hint="eastAsia"/>
          <w:sz w:val="24"/>
          <w:szCs w:val="24"/>
        </w:rPr>
        <w:t>efore</w:t>
      </w:r>
      <w:r>
        <w:rPr>
          <w:rFonts w:ascii="Arial" w:hAnsi="Arial" w:cs="Arial"/>
          <w:sz w:val="24"/>
          <w:szCs w:val="24"/>
        </w:rPr>
        <w:t xml:space="preserve"> the analysis for TOD, a prediction of potential population trend in the future will be conducted.</w:t>
      </w:r>
    </w:p>
    <w:p w14:paraId="0F6CBD0C" w14:textId="040B36A6" w:rsidR="009C126B" w:rsidRDefault="009C126B" w:rsidP="0048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 TOD index will be calculated </w:t>
      </w:r>
      <w:r>
        <w:rPr>
          <w:rFonts w:ascii="Arial" w:hAnsi="Arial" w:cs="Arial" w:hint="eastAsia"/>
          <w:sz w:val="24"/>
          <w:szCs w:val="24"/>
        </w:rPr>
        <w:t>based</w:t>
      </w:r>
      <w:r>
        <w:rPr>
          <w:rFonts w:ascii="Arial" w:hAnsi="Arial" w:cs="Arial"/>
          <w:sz w:val="24"/>
          <w:szCs w:val="24"/>
        </w:rPr>
        <w:t xml:space="preserve"> on a combination of differently weighted factors.</w:t>
      </w:r>
    </w:p>
    <w:p w14:paraId="78E8CB52" w14:textId="3BA2A724" w:rsidR="00484819" w:rsidRDefault="00484819" w:rsidP="0048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assessing TOD potentials</w:t>
      </w:r>
      <w:r w:rsidR="00E96578">
        <w:rPr>
          <w:rFonts w:ascii="Arial" w:hAnsi="Arial" w:cs="Arial"/>
          <w:sz w:val="24"/>
          <w:szCs w:val="24"/>
        </w:rPr>
        <w:t>:</w:t>
      </w:r>
    </w:p>
    <w:p w14:paraId="4C782F34" w14:textId="375F698E" w:rsidR="00484819" w:rsidRDefault="009351A6" w:rsidP="003E7EF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Factors used by DVRPC (mentioned above)</w:t>
      </w:r>
    </w:p>
    <w:p w14:paraId="74D31193" w14:textId="3A16254F" w:rsidR="004A6F4C" w:rsidRPr="00484819" w:rsidRDefault="004A6F4C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With existing high-density housing (apartment) but limited commercials </w:t>
      </w:r>
    </w:p>
    <w:p w14:paraId="544BE4BE" w14:textId="0A05718C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stations with large vacant/underused parcels (e.g. parking lot</w:t>
      </w:r>
      <w:r w:rsidR="004A6F4C">
        <w:rPr>
          <w:rFonts w:ascii="Arial" w:hAnsi="Arial" w:cs="Arial"/>
          <w:sz w:val="24"/>
          <w:szCs w:val="24"/>
        </w:rPr>
        <w:t>, buildings in bad conditions</w:t>
      </w:r>
      <w:r>
        <w:rPr>
          <w:rFonts w:ascii="Arial" w:hAnsi="Arial" w:cs="Arial"/>
          <w:sz w:val="24"/>
          <w:szCs w:val="24"/>
        </w:rPr>
        <w:t>)</w:t>
      </w:r>
    </w:p>
    <w:p w14:paraId="162D72D9" w14:textId="72267C2E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served by high-frequency bus routes/with a lot of bus routes</w:t>
      </w:r>
    </w:p>
    <w:p w14:paraId="4976E945" w14:textId="025CF9A1" w:rsidR="004A6F4C" w:rsidRDefault="004A6F4C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For BSL, stops with express services will be weighted more.</w:t>
      </w:r>
    </w:p>
    <w:p w14:paraId="0DD17608" w14:textId="1D0D3BE5" w:rsidR="00484819" w:rsidRDefault="00E96578" w:rsidP="0048481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Once the potential study is finished, I am also going to conduct feasibility study that will identify which potential TOD-stations will take least governments’ effort to redevelop/having minimum gentrification.</w:t>
      </w:r>
    </w:p>
    <w:p w14:paraId="234C15D4" w14:textId="754E9B62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Safety</w:t>
      </w:r>
      <w:r w:rsidR="00CF24C0">
        <w:rPr>
          <w:rFonts w:ascii="Arial" w:hAnsi="Arial" w:cs="Arial"/>
          <w:sz w:val="24"/>
          <w:szCs w:val="24"/>
        </w:rPr>
        <w:t xml:space="preserve"> (Crimes and Police Station)</w:t>
      </w:r>
    </w:p>
    <w:p w14:paraId="342F38BF" w14:textId="0DE1C29B" w:rsidR="00484819" w:rsidRDefault="00484819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Demography</w:t>
      </w:r>
      <w:r w:rsidR="00E96578">
        <w:rPr>
          <w:rFonts w:ascii="Arial" w:hAnsi="Arial" w:cs="Arial"/>
          <w:sz w:val="24"/>
          <w:szCs w:val="24"/>
        </w:rPr>
        <w:t xml:space="preserve"> (race, income etc.) within and outside TOD buffer</w:t>
      </w:r>
    </w:p>
    <w:p w14:paraId="28F3775F" w14:textId="6421C521" w:rsidR="004A6F4C" w:rsidRDefault="004A6F4C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 Districts</w:t>
      </w:r>
    </w:p>
    <w:p w14:paraId="7E946B0F" w14:textId="2DFD0CEF" w:rsidR="009351A6" w:rsidRDefault="009351A6" w:rsidP="00484819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Gaps in walking and biking infrastructure</w:t>
      </w:r>
    </w:p>
    <w:p w14:paraId="5FE609BC" w14:textId="3CB8C88F" w:rsidR="009351A6" w:rsidRPr="009351A6" w:rsidRDefault="009351A6" w:rsidP="009351A6">
      <w:pPr>
        <w:rPr>
          <w:rFonts w:ascii="Arial" w:hAnsi="Arial" w:cs="Arial"/>
          <w:b/>
          <w:bCs/>
          <w:sz w:val="24"/>
          <w:szCs w:val="24"/>
        </w:rPr>
      </w:pPr>
      <w:r w:rsidRPr="009351A6">
        <w:rPr>
          <w:rFonts w:ascii="Arial" w:hAnsi="Arial" w:cs="Arial"/>
          <w:b/>
          <w:bCs/>
          <w:sz w:val="24"/>
          <w:szCs w:val="24"/>
        </w:rPr>
        <w:t>Data Sources</w:t>
      </w:r>
    </w:p>
    <w:p w14:paraId="6AEA3332" w14:textId="44B46C03" w:rsidR="009351A6" w:rsidRDefault="009351A6" w:rsidP="009351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DVRPC (for their TOD index and factor score)</w:t>
      </w:r>
    </w:p>
    <w:p w14:paraId="089FFE4D" w14:textId="17F2E35A" w:rsidR="009351A6" w:rsidRDefault="009351A6" w:rsidP="009351A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OpenPhillyData</w:t>
      </w:r>
    </w:p>
    <w:p w14:paraId="5C08BF85" w14:textId="3DA83B3E" w:rsidR="009351A6" w:rsidRDefault="009351A6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ACS/Decennial Census</w:t>
      </w:r>
      <w:r w:rsidR="00FF0246">
        <w:rPr>
          <w:rFonts w:ascii="Arial" w:hAnsi="Arial" w:cs="Arial"/>
          <w:sz w:val="24"/>
          <w:szCs w:val="24"/>
        </w:rPr>
        <w:t>/Tidycensus</w:t>
      </w:r>
    </w:p>
    <w:p w14:paraId="7EE17AF8" w14:textId="68A6BC78" w:rsidR="009351A6" w:rsidRDefault="009351A6" w:rsidP="00776344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Parcel (zoning, building type and age)</w:t>
      </w:r>
    </w:p>
    <w:p w14:paraId="739F4BE5" w14:textId="0D226A82" w:rsidR="009351A6" w:rsidRDefault="009351A6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Crime Incidents</w:t>
      </w:r>
    </w:p>
    <w:p w14:paraId="72C3C8B4" w14:textId="1720C659" w:rsidR="00CF24C0" w:rsidRDefault="00193037" w:rsidP="00193037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Schools</w:t>
      </w:r>
    </w:p>
    <w:p w14:paraId="139789AC" w14:textId="2D0AAF37" w:rsidR="00CF24C0" w:rsidRDefault="00CF24C0" w:rsidP="009351A6">
      <w:pPr>
        <w:pStyle w:val="ListParagraph"/>
        <w:numPr>
          <w:ilvl w:val="1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INDEGO stations</w:t>
      </w:r>
    </w:p>
    <w:p w14:paraId="23C81794" w14:textId="39EE4E8A" w:rsidR="00FF0246" w:rsidRDefault="00FF0246" w:rsidP="00FF0246">
      <w:pPr>
        <w:rPr>
          <w:rFonts w:ascii="Arial" w:hAnsi="Arial" w:cs="Arial"/>
          <w:sz w:val="24"/>
          <w:szCs w:val="24"/>
        </w:rPr>
      </w:pPr>
      <w:r w:rsidRPr="00FF0246">
        <w:rPr>
          <w:rFonts w:ascii="Arial" w:hAnsi="Arial" w:cs="Arial"/>
          <w:b/>
          <w:bCs/>
          <w:sz w:val="24"/>
          <w:szCs w:val="24"/>
        </w:rPr>
        <w:t>Software</w:t>
      </w:r>
      <w:r>
        <w:rPr>
          <w:rFonts w:ascii="Arial" w:hAnsi="Arial" w:cs="Arial"/>
          <w:sz w:val="24"/>
          <w:szCs w:val="24"/>
        </w:rPr>
        <w:t>: R, ArcGIS</w:t>
      </w:r>
      <w:r w:rsidR="00DD648C">
        <w:rPr>
          <w:rFonts w:ascii="Arial" w:hAnsi="Arial" w:cs="Arial"/>
          <w:sz w:val="24"/>
          <w:szCs w:val="24"/>
        </w:rPr>
        <w:t>, Excel (for simple projections)</w:t>
      </w:r>
    </w:p>
    <w:p w14:paraId="60300180" w14:textId="06B4D1FC" w:rsidR="00CF24C0" w:rsidRDefault="00CF24C0" w:rsidP="00FF0246">
      <w:pPr>
        <w:rPr>
          <w:rFonts w:ascii="Arial" w:hAnsi="Arial" w:cs="Arial"/>
          <w:sz w:val="24"/>
          <w:szCs w:val="24"/>
        </w:rPr>
      </w:pPr>
      <w:r w:rsidRPr="00CF24C0">
        <w:rPr>
          <w:rFonts w:ascii="Arial" w:hAnsi="Arial" w:cs="Arial"/>
          <w:b/>
          <w:bCs/>
          <w:sz w:val="24"/>
          <w:szCs w:val="24"/>
        </w:rPr>
        <w:t>User Case</w:t>
      </w:r>
      <w:r>
        <w:rPr>
          <w:rFonts w:ascii="Arial" w:hAnsi="Arial" w:cs="Arial"/>
          <w:sz w:val="24"/>
          <w:szCs w:val="24"/>
        </w:rPr>
        <w:t xml:space="preserve">: </w:t>
      </w:r>
      <w:r w:rsidR="00915FB6">
        <w:rPr>
          <w:rFonts w:ascii="Arial" w:hAnsi="Arial" w:cs="Arial"/>
          <w:sz w:val="24"/>
          <w:szCs w:val="24"/>
        </w:rPr>
        <w:t>a memo</w:t>
      </w:r>
      <w:r w:rsidR="009A5B57">
        <w:rPr>
          <w:rFonts w:ascii="Arial" w:hAnsi="Arial" w:cs="Arial"/>
          <w:sz w:val="24"/>
          <w:szCs w:val="24"/>
        </w:rPr>
        <w:t>/report</w:t>
      </w:r>
      <w:r w:rsidR="00915FB6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for local government to identify possible TOD locations and their feasibility to </w:t>
      </w:r>
      <w:r w:rsidR="00915FB6">
        <w:rPr>
          <w:rFonts w:ascii="Arial" w:hAnsi="Arial" w:cs="Arial"/>
          <w:sz w:val="24"/>
          <w:szCs w:val="24"/>
        </w:rPr>
        <w:t xml:space="preserve">be </w:t>
      </w:r>
      <w:r>
        <w:rPr>
          <w:rFonts w:ascii="Arial" w:hAnsi="Arial" w:cs="Arial"/>
          <w:sz w:val="24"/>
          <w:szCs w:val="24"/>
        </w:rPr>
        <w:t>redevelop</w:t>
      </w:r>
      <w:r w:rsidR="00915FB6">
        <w:rPr>
          <w:rFonts w:ascii="Arial" w:hAnsi="Arial" w:cs="Arial"/>
          <w:sz w:val="24"/>
          <w:szCs w:val="24"/>
        </w:rPr>
        <w:t>ed</w:t>
      </w:r>
      <w:r>
        <w:rPr>
          <w:rFonts w:ascii="Arial" w:hAnsi="Arial" w:cs="Arial"/>
          <w:sz w:val="24"/>
          <w:szCs w:val="24"/>
        </w:rPr>
        <w:t xml:space="preserve"> and </w:t>
      </w:r>
      <w:r w:rsidR="00915FB6">
        <w:rPr>
          <w:rFonts w:ascii="Arial" w:hAnsi="Arial" w:cs="Arial"/>
          <w:sz w:val="24"/>
          <w:szCs w:val="24"/>
        </w:rPr>
        <w:t>renewed</w:t>
      </w:r>
      <w:r>
        <w:rPr>
          <w:rFonts w:ascii="Arial" w:hAnsi="Arial" w:cs="Arial"/>
          <w:sz w:val="24"/>
          <w:szCs w:val="24"/>
        </w:rPr>
        <w:t>.</w:t>
      </w:r>
    </w:p>
    <w:p w14:paraId="61E87555" w14:textId="0E9DCBCB" w:rsidR="00217001" w:rsidRPr="00217001" w:rsidRDefault="00217001" w:rsidP="00FF0246">
      <w:pPr>
        <w:rPr>
          <w:rFonts w:ascii="Arial" w:hAnsi="Arial" w:cs="Arial"/>
          <w:b/>
          <w:bCs/>
          <w:sz w:val="24"/>
          <w:szCs w:val="24"/>
        </w:rPr>
      </w:pPr>
      <w:r w:rsidRPr="00217001">
        <w:rPr>
          <w:rFonts w:ascii="Arial" w:hAnsi="Arial" w:cs="Arial"/>
          <w:b/>
          <w:bCs/>
          <w:sz w:val="24"/>
          <w:szCs w:val="24"/>
        </w:rPr>
        <w:lastRenderedPageBreak/>
        <w:t>Exploratory Data Analysis</w:t>
      </w:r>
    </w:p>
    <w:p w14:paraId="135474FC" w14:textId="5F994240" w:rsidR="005F5216" w:rsidRDefault="005F5216" w:rsidP="00FF0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As of Feb 17, I have</w:t>
      </w:r>
      <w:r w:rsidR="00776344">
        <w:rPr>
          <w:rFonts w:ascii="Arial" w:hAnsi="Arial" w:cs="Arial"/>
          <w:sz w:val="24"/>
          <w:szCs w:val="24"/>
        </w:rPr>
        <w:t>:</w:t>
      </w:r>
    </w:p>
    <w:p w14:paraId="717069A5" w14:textId="128685DF" w:rsidR="005F5216" w:rsidRDefault="005F5216" w:rsidP="005F5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</w:t>
      </w:r>
      <w:r>
        <w:rPr>
          <w:rFonts w:ascii="Arial" w:hAnsi="Arial" w:cs="Arial" w:hint="eastAsia"/>
          <w:sz w:val="24"/>
          <w:szCs w:val="24"/>
        </w:rPr>
        <w:t>iltered</w:t>
      </w:r>
      <w:r>
        <w:rPr>
          <w:rFonts w:ascii="Arial" w:hAnsi="Arial" w:cs="Arial"/>
          <w:sz w:val="24"/>
          <w:szCs w:val="24"/>
        </w:rPr>
        <w:t xml:space="preserve"> existing census tracts within the TOD-radius</w:t>
      </w:r>
    </w:p>
    <w:p w14:paraId="4DCA64C6" w14:textId="6B4AF06D" w:rsidR="005F5216" w:rsidRDefault="005F5216" w:rsidP="005F5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Obtained the original TOD-index shapefile used by DVRPC</w:t>
      </w:r>
    </w:p>
    <w:p w14:paraId="34F686A0" w14:textId="303EEC57" w:rsidR="005F5216" w:rsidRDefault="005F5216" w:rsidP="005F5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Obtain the parcel data, converted to point data to save energy when analyzing, and filtered those within the TOD-tracts</w:t>
      </w:r>
      <w:r w:rsidR="00774DC2">
        <w:rPr>
          <w:rFonts w:ascii="Arial" w:hAnsi="Arial" w:cs="Arial"/>
          <w:sz w:val="24"/>
          <w:szCs w:val="24"/>
        </w:rPr>
        <w:t>.</w:t>
      </w:r>
    </w:p>
    <w:p w14:paraId="78FD8BCF" w14:textId="183D33D7" w:rsidR="00774DC2" w:rsidRDefault="00774DC2" w:rsidP="005F521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Exploratory Analysis of Parcels (TOD comparing to non-TOD)</w:t>
      </w:r>
    </w:p>
    <w:p w14:paraId="5ED45042" w14:textId="7900C2A3" w:rsidR="0009371E" w:rsidRDefault="005F5216" w:rsidP="00FF02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Exploratory Analysis using census data.</w:t>
      </w:r>
    </w:p>
    <w:p w14:paraId="2D37DF1A" w14:textId="055E9CA1" w:rsidR="005518F0" w:rsidRDefault="005518F0" w:rsidP="00FF0246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See </w:t>
      </w:r>
      <w:hyperlink r:id="rId8" w:history="1">
        <w:r w:rsidRPr="005518F0">
          <w:rPr>
            <w:rStyle w:val="Hyperlink"/>
            <w:rFonts w:ascii="Arial" w:hAnsi="Arial" w:cs="Arial"/>
            <w:sz w:val="24"/>
            <w:szCs w:val="24"/>
          </w:rPr>
          <w:t>Presentation</w:t>
        </w:r>
      </w:hyperlink>
      <w:r>
        <w:rPr>
          <w:rFonts w:ascii="Arial" w:hAnsi="Arial" w:cs="Arial"/>
          <w:sz w:val="24"/>
          <w:szCs w:val="24"/>
        </w:rPr>
        <w:t xml:space="preserve"> about previous explanatory data.</w:t>
      </w:r>
    </w:p>
    <w:p w14:paraId="59B5BFE4" w14:textId="77777777" w:rsidR="005518F0" w:rsidRDefault="00776344" w:rsidP="00551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 look at ACS data for all of the TOD-tracts: they represent a very different pattern in terms of race, wealth, and housing, as our background study suggested.</w:t>
      </w:r>
    </w:p>
    <w:p w14:paraId="2C8F7455" w14:textId="77777777" w:rsidR="005518F0" w:rsidRDefault="005518F0" w:rsidP="00551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First thing I noticed is the inconsistency between Median Income data and Poverty Rate data, I am surprising to find out that areas like Media/Elwyn, Further North and Northeast Philly have high median income but high poverty rate; while periphery areas close to Center Philadelphia and Camden Downtown has lower median income but low poverty rate.</w:t>
      </w:r>
    </w:p>
    <w:p w14:paraId="1FB80DD5" w14:textId="2E0718A9" w:rsidR="0009371E" w:rsidRDefault="005518F0" w:rsidP="005518F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Most of the suburban area are wealthy, but there are outliers like Pennsauken, NJ (Atlantic City Line), Berwyn, PA (Paoli/Thorndale Line), Norristown, PA (Norristown Line and High-Speed Line), Bristol, PA (Trenton Line), Chester, PA (Wilmington Line), Norristown HSL west of 69</w:t>
      </w:r>
      <w:r w:rsidRPr="0036157B">
        <w:rPr>
          <w:rFonts w:ascii="Arial" w:hAnsi="Arial" w:cs="Arial"/>
          <w:sz w:val="24"/>
          <w:szCs w:val="24"/>
          <w:vertAlign w:val="superscript"/>
        </w:rPr>
        <w:t>th</w:t>
      </w:r>
      <w:r>
        <w:rPr>
          <w:rFonts w:ascii="Arial" w:hAnsi="Arial" w:cs="Arial"/>
          <w:sz w:val="24"/>
          <w:szCs w:val="24"/>
        </w:rPr>
        <w:t xml:space="preserve"> St. </w:t>
      </w:r>
      <w:r w:rsidR="00776344">
        <w:rPr>
          <w:rFonts w:ascii="Arial" w:hAnsi="Arial" w:cs="Arial"/>
          <w:sz w:val="24"/>
          <w:szCs w:val="24"/>
        </w:rPr>
        <w:t xml:space="preserve"> </w:t>
      </w:r>
    </w:p>
    <w:p w14:paraId="7734FD82" w14:textId="664F1728" w:rsidR="00071227" w:rsidRDefault="00A8183F" w:rsidP="0009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Median Income vs. Poverty</w:t>
      </w:r>
    </w:p>
    <w:p w14:paraId="033835FF" w14:textId="2E823657" w:rsidR="00A8183F" w:rsidRDefault="00A8183F" w:rsidP="0009371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1ED9FCB" wp14:editId="0AFD1904">
            <wp:extent cx="2900363" cy="2320951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24363" cy="23401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AA68EBD" wp14:editId="12BACCA1">
            <wp:extent cx="2948796" cy="2343150"/>
            <wp:effectExtent l="0" t="0" r="444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67923" cy="2358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1F2AD" w14:textId="77777777" w:rsidR="005518F0" w:rsidRDefault="005518F0" w:rsidP="0009371E">
      <w:pPr>
        <w:rPr>
          <w:rFonts w:ascii="Arial" w:hAnsi="Arial" w:cs="Arial"/>
          <w:sz w:val="24"/>
          <w:szCs w:val="24"/>
        </w:rPr>
      </w:pPr>
    </w:p>
    <w:p w14:paraId="6E416F51" w14:textId="77777777" w:rsidR="005518F0" w:rsidRDefault="005518F0" w:rsidP="0009371E">
      <w:pPr>
        <w:rPr>
          <w:rFonts w:ascii="Arial" w:hAnsi="Arial" w:cs="Arial"/>
          <w:sz w:val="24"/>
          <w:szCs w:val="24"/>
        </w:rPr>
      </w:pPr>
    </w:p>
    <w:p w14:paraId="5C33F99E" w14:textId="77777777" w:rsidR="005518F0" w:rsidRDefault="005518F0" w:rsidP="0009371E">
      <w:pPr>
        <w:rPr>
          <w:rFonts w:ascii="Arial" w:hAnsi="Arial" w:cs="Arial"/>
          <w:sz w:val="24"/>
          <w:szCs w:val="24"/>
        </w:rPr>
      </w:pPr>
    </w:p>
    <w:p w14:paraId="1819103E" w14:textId="12CF2D6C" w:rsidR="00776344" w:rsidRDefault="00776344" w:rsidP="0009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Areas with high house-ownership: not in Norristown, Center City, West and North Philly Media-Elwyn, again, has high house ownership despite high poverty rates</w:t>
      </w:r>
      <w:r w:rsidR="005518F0">
        <w:rPr>
          <w:rFonts w:ascii="Arial" w:hAnsi="Arial" w:cs="Arial"/>
          <w:sz w:val="24"/>
          <w:szCs w:val="24"/>
        </w:rPr>
        <w:t>:</w:t>
      </w:r>
    </w:p>
    <w:p w14:paraId="1B290FA6" w14:textId="244D3314" w:rsidR="00776344" w:rsidRDefault="00A8183F" w:rsidP="00776344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6DD70764" wp14:editId="35AFA419">
            <wp:extent cx="5130857" cy="34194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252" cy="34210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A0DE7" w14:textId="77777777" w:rsidR="00776344" w:rsidRDefault="00776344" w:rsidP="00776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Areas with low-median rent: MFL west, MFL northeast, BSL north, Media-Elwyn Line, Trenton Line, PACTO middle, Trenton Line </w:t>
      </w:r>
    </w:p>
    <w:p w14:paraId="0EEC5296" w14:textId="310E44ED" w:rsidR="00776344" w:rsidRDefault="00776344" w:rsidP="0009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Areas with high-median rent: Center City, Cinnaminson, West Trenton (surprising compared to Trenton), Media-Elwyn Terminus, Woodcrest</w:t>
      </w:r>
      <w:r w:rsidR="005518F0">
        <w:rPr>
          <w:rFonts w:ascii="Arial" w:hAnsi="Arial" w:cs="Arial"/>
          <w:sz w:val="24"/>
          <w:szCs w:val="24"/>
        </w:rPr>
        <w:t>:</w:t>
      </w:r>
    </w:p>
    <w:p w14:paraId="755B0C7B" w14:textId="57DCC73E" w:rsidR="00153EEF" w:rsidRDefault="00153EEF" w:rsidP="0009371E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044C4B5A" wp14:editId="5BDD7CB4">
            <wp:extent cx="4694948" cy="312896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0677" cy="3132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FE353" w14:textId="77777777" w:rsidR="005518F0" w:rsidRDefault="005518F0" w:rsidP="0009371E">
      <w:pPr>
        <w:rPr>
          <w:rFonts w:ascii="Arial" w:hAnsi="Arial" w:cs="Arial"/>
          <w:sz w:val="24"/>
          <w:szCs w:val="24"/>
        </w:rPr>
      </w:pPr>
    </w:p>
    <w:p w14:paraId="50265DD2" w14:textId="1361A6EB" w:rsidR="00776344" w:rsidRDefault="005518F0" w:rsidP="0009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Second thing I noticed about is the inconsistency between the poverty rates, median rents and house ownership. A lot of areas have high house ownership and high poverty rates. </w:t>
      </w:r>
      <w:r w:rsidR="00776344">
        <w:rPr>
          <w:rFonts w:ascii="Arial" w:hAnsi="Arial" w:cs="Arial"/>
          <w:sz w:val="24"/>
          <w:szCs w:val="24"/>
        </w:rPr>
        <w:t>The following is the table of areas where such inconsistency is observed:</w:t>
      </w:r>
    </w:p>
    <w:p w14:paraId="2D4735A1" w14:textId="6516DC64" w:rsidR="00153EEF" w:rsidRDefault="00153EEF" w:rsidP="0009371E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Low – Green; High – Grey to Orange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1"/>
        <w:gridCol w:w="1354"/>
        <w:gridCol w:w="1507"/>
        <w:gridCol w:w="1408"/>
        <w:gridCol w:w="1386"/>
        <w:gridCol w:w="1364"/>
      </w:tblGrid>
      <w:tr w:rsidR="00F03541" w14:paraId="28DC6CDE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55159AC6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54" w:type="dxa"/>
            <w:shd w:val="clear" w:color="auto" w:fill="D9D9D9" w:themeFill="background1" w:themeFillShade="D9"/>
          </w:tcPr>
          <w:p w14:paraId="447232AD" w14:textId="4EE4F8C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Suburban</w:t>
            </w:r>
          </w:p>
        </w:tc>
        <w:tc>
          <w:tcPr>
            <w:tcW w:w="1507" w:type="dxa"/>
            <w:shd w:val="clear" w:color="auto" w:fill="D9D9D9" w:themeFill="background1" w:themeFillShade="D9"/>
          </w:tcPr>
          <w:p w14:paraId="454FF02E" w14:textId="1B9F2C46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Median Income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14:paraId="38DF846F" w14:textId="2DFC5B86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Poverty Rate</w:t>
            </w:r>
          </w:p>
        </w:tc>
        <w:tc>
          <w:tcPr>
            <w:tcW w:w="1386" w:type="dxa"/>
            <w:shd w:val="clear" w:color="auto" w:fill="D9D9D9" w:themeFill="background1" w:themeFillShade="D9"/>
          </w:tcPr>
          <w:p w14:paraId="71E85C61" w14:textId="0AE5EDB6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Median Rent</w:t>
            </w:r>
          </w:p>
        </w:tc>
        <w:tc>
          <w:tcPr>
            <w:tcW w:w="1364" w:type="dxa"/>
            <w:shd w:val="clear" w:color="auto" w:fill="D9D9D9" w:themeFill="background1" w:themeFillShade="D9"/>
          </w:tcPr>
          <w:p w14:paraId="7A2CEF12" w14:textId="37017369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Ownership</w:t>
            </w:r>
          </w:p>
        </w:tc>
      </w:tr>
      <w:tr w:rsidR="00F03541" w14:paraId="6AE16055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2B4946B5" w14:textId="1974BC71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Norristown, PA</w:t>
            </w:r>
          </w:p>
        </w:tc>
        <w:tc>
          <w:tcPr>
            <w:tcW w:w="1354" w:type="dxa"/>
          </w:tcPr>
          <w:p w14:paraId="12E6F09D" w14:textId="10FC8BF9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07" w:type="dxa"/>
            <w:shd w:val="clear" w:color="auto" w:fill="FFD966" w:themeFill="accent4" w:themeFillTint="99"/>
          </w:tcPr>
          <w:p w14:paraId="62132AC3" w14:textId="6C0EE7FE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7BC64"/>
          </w:tcPr>
          <w:p w14:paraId="352A613A" w14:textId="26BE0003" w:rsidR="00F03541" w:rsidRPr="00153EEF" w:rsidRDefault="00F03541" w:rsidP="00153EEF">
            <w:pPr>
              <w:jc w:val="center"/>
              <w:rPr>
                <w:rFonts w:ascii="Arial" w:hAnsi="Arial" w:cs="Arial"/>
                <w:color w:val="A7BC64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BF8F00" w:themeFill="accent4" w:themeFillShade="BF"/>
          </w:tcPr>
          <w:p w14:paraId="35E0AEE2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92D050"/>
          </w:tcPr>
          <w:p w14:paraId="07A1F284" w14:textId="77777777" w:rsidR="00F03541" w:rsidRPr="00153EEF" w:rsidRDefault="00F03541" w:rsidP="0009371E">
            <w:pPr>
              <w:rPr>
                <w:rFonts w:ascii="Arial" w:hAnsi="Arial" w:cs="Arial"/>
                <w:color w:val="92D050"/>
                <w:sz w:val="24"/>
                <w:szCs w:val="24"/>
              </w:rPr>
            </w:pPr>
          </w:p>
        </w:tc>
      </w:tr>
      <w:tr w:rsidR="00F03541" w14:paraId="00B67E9D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6339876D" w14:textId="28AD4B4A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North Philadelphia</w:t>
            </w:r>
          </w:p>
        </w:tc>
        <w:tc>
          <w:tcPr>
            <w:tcW w:w="1354" w:type="dxa"/>
          </w:tcPr>
          <w:p w14:paraId="4102D742" w14:textId="0E9A285F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07" w:type="dxa"/>
            <w:shd w:val="clear" w:color="auto" w:fill="92D050"/>
          </w:tcPr>
          <w:p w14:paraId="34ED0B9A" w14:textId="40A97BE5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A7BC64"/>
          </w:tcPr>
          <w:p w14:paraId="310D45D4" w14:textId="145C531C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92D050"/>
          </w:tcPr>
          <w:p w14:paraId="653C98B3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A7BC64"/>
          </w:tcPr>
          <w:p w14:paraId="60BAFE31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541" w14:paraId="1F1F294C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7423F438" w14:textId="6898BA2F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West Philadelphia</w:t>
            </w:r>
          </w:p>
        </w:tc>
        <w:tc>
          <w:tcPr>
            <w:tcW w:w="1354" w:type="dxa"/>
          </w:tcPr>
          <w:p w14:paraId="5FD45733" w14:textId="13B62226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07" w:type="dxa"/>
            <w:shd w:val="clear" w:color="auto" w:fill="92D050"/>
          </w:tcPr>
          <w:p w14:paraId="0C4A3EBE" w14:textId="2508DB5D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tcBorders>
              <w:bottom w:val="single" w:sz="4" w:space="0" w:color="auto"/>
            </w:tcBorders>
            <w:shd w:val="clear" w:color="auto" w:fill="A7BC64"/>
          </w:tcPr>
          <w:p w14:paraId="225D0879" w14:textId="04E2CFCB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92D050"/>
          </w:tcPr>
          <w:p w14:paraId="661AE033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92D050"/>
          </w:tcPr>
          <w:p w14:paraId="3017E0FD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541" w14:paraId="3525E307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2CE3BE5B" w14:textId="71B94723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Camden DT, NJ</w:t>
            </w:r>
          </w:p>
        </w:tc>
        <w:tc>
          <w:tcPr>
            <w:tcW w:w="1354" w:type="dxa"/>
          </w:tcPr>
          <w:p w14:paraId="380A8452" w14:textId="33A8FC75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07" w:type="dxa"/>
            <w:shd w:val="clear" w:color="auto" w:fill="ED7D31" w:themeFill="accent2"/>
          </w:tcPr>
          <w:p w14:paraId="068320C6" w14:textId="0441BEF0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tcBorders>
              <w:bottom w:val="nil"/>
            </w:tcBorders>
            <w:shd w:val="clear" w:color="auto" w:fill="92D050"/>
          </w:tcPr>
          <w:p w14:paraId="6F8CFD61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A7BC64"/>
          </w:tcPr>
          <w:p w14:paraId="0EE16DF3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92D050"/>
          </w:tcPr>
          <w:p w14:paraId="7943B28E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541" w14:paraId="105A3D99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2A1BDDD0" w14:textId="6C79205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Cinnaminson</w:t>
            </w:r>
            <w:r>
              <w:rPr>
                <w:rFonts w:ascii="Arial" w:hAnsi="Arial" w:cs="Arial"/>
                <w:sz w:val="24"/>
                <w:szCs w:val="24"/>
              </w:rPr>
              <w:t>, NJ</w:t>
            </w:r>
          </w:p>
        </w:tc>
        <w:tc>
          <w:tcPr>
            <w:tcW w:w="1354" w:type="dxa"/>
          </w:tcPr>
          <w:p w14:paraId="0A193574" w14:textId="2133F662" w:rsidR="00F03541" w:rsidRDefault="00153EEF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07" w:type="dxa"/>
            <w:shd w:val="clear" w:color="auto" w:fill="ED7D31" w:themeFill="accent2"/>
          </w:tcPr>
          <w:p w14:paraId="04246229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tcBorders>
              <w:top w:val="nil"/>
            </w:tcBorders>
            <w:shd w:val="clear" w:color="auto" w:fill="92D050"/>
          </w:tcPr>
          <w:p w14:paraId="02D66928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ED7D31" w:themeFill="accent2"/>
          </w:tcPr>
          <w:p w14:paraId="768CE816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BF8F00" w:themeFill="accent4" w:themeFillShade="BF"/>
          </w:tcPr>
          <w:p w14:paraId="16B09BEB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541" w14:paraId="718831F0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2F2E3A25" w14:textId="78892CF5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Trenton, NJ</w:t>
            </w:r>
          </w:p>
        </w:tc>
        <w:tc>
          <w:tcPr>
            <w:tcW w:w="1354" w:type="dxa"/>
          </w:tcPr>
          <w:p w14:paraId="1B795EEE" w14:textId="4B661165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507" w:type="dxa"/>
            <w:shd w:val="clear" w:color="auto" w:fill="92D050"/>
          </w:tcPr>
          <w:p w14:paraId="1A3BA0DD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BF8F00" w:themeFill="accent4" w:themeFillShade="BF"/>
          </w:tcPr>
          <w:p w14:paraId="7C96EDF0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92D050"/>
          </w:tcPr>
          <w:p w14:paraId="4532FE1B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92D050"/>
          </w:tcPr>
          <w:p w14:paraId="504B3DA1" w14:textId="77777777" w:rsidR="00F03541" w:rsidRPr="00153EEF" w:rsidRDefault="00F03541" w:rsidP="0009371E">
            <w:pPr>
              <w:rPr>
                <w:rFonts w:ascii="Arial" w:hAnsi="Arial" w:cs="Arial"/>
                <w:color w:val="92D050"/>
                <w:sz w:val="24"/>
                <w:szCs w:val="24"/>
              </w:rPr>
            </w:pPr>
          </w:p>
        </w:tc>
      </w:tr>
      <w:tr w:rsidR="00F03541" w14:paraId="33A6B300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5CD26CE4" w14:textId="79D90FFA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Media/Elwyn, PA</w:t>
            </w:r>
          </w:p>
        </w:tc>
        <w:tc>
          <w:tcPr>
            <w:tcW w:w="1354" w:type="dxa"/>
          </w:tcPr>
          <w:p w14:paraId="0FA83F52" w14:textId="7D909FB6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07" w:type="dxa"/>
            <w:shd w:val="clear" w:color="auto" w:fill="ED7D31" w:themeFill="accent2"/>
          </w:tcPr>
          <w:p w14:paraId="4491F41F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BF8F00" w:themeFill="accent4" w:themeFillShade="BF"/>
          </w:tcPr>
          <w:p w14:paraId="2E4F201B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BF8F00" w:themeFill="accent4" w:themeFillShade="BF"/>
          </w:tcPr>
          <w:p w14:paraId="2C8F734B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ED7D31" w:themeFill="accent2"/>
          </w:tcPr>
          <w:p w14:paraId="1646C2AA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03541" w14:paraId="20590262" w14:textId="77777777" w:rsidTr="00153EEF">
        <w:tc>
          <w:tcPr>
            <w:tcW w:w="2331" w:type="dxa"/>
            <w:shd w:val="clear" w:color="auto" w:fill="D9D9D9" w:themeFill="background1" w:themeFillShade="D9"/>
          </w:tcPr>
          <w:p w14:paraId="21BC065C" w14:textId="77568AB9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NHSL eastern</w:t>
            </w:r>
          </w:p>
        </w:tc>
        <w:tc>
          <w:tcPr>
            <w:tcW w:w="1354" w:type="dxa"/>
          </w:tcPr>
          <w:p w14:paraId="454CADBF" w14:textId="30D8B980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Yes</w:t>
            </w:r>
          </w:p>
        </w:tc>
        <w:tc>
          <w:tcPr>
            <w:tcW w:w="1507" w:type="dxa"/>
            <w:shd w:val="clear" w:color="auto" w:fill="ED7D31" w:themeFill="accent2"/>
          </w:tcPr>
          <w:p w14:paraId="29B24650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08" w:type="dxa"/>
            <w:shd w:val="clear" w:color="auto" w:fill="BF8F00" w:themeFill="accent4" w:themeFillShade="BF"/>
          </w:tcPr>
          <w:p w14:paraId="3740414E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86" w:type="dxa"/>
            <w:shd w:val="clear" w:color="auto" w:fill="ED7D31" w:themeFill="accent2"/>
          </w:tcPr>
          <w:p w14:paraId="371629CC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64" w:type="dxa"/>
            <w:shd w:val="clear" w:color="auto" w:fill="ED7D31" w:themeFill="accent2"/>
          </w:tcPr>
          <w:p w14:paraId="684E567E" w14:textId="77777777" w:rsidR="00F03541" w:rsidRDefault="00F03541" w:rsidP="0009371E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2AEB6A" w14:textId="77777777" w:rsidR="00F03541" w:rsidRPr="0009371E" w:rsidRDefault="00F03541" w:rsidP="0009371E">
      <w:pPr>
        <w:rPr>
          <w:rFonts w:ascii="Arial" w:hAnsi="Arial" w:cs="Arial"/>
          <w:sz w:val="24"/>
          <w:szCs w:val="24"/>
        </w:rPr>
      </w:pPr>
    </w:p>
    <w:p w14:paraId="7DA041D4" w14:textId="2B90F049" w:rsidR="0036157B" w:rsidRDefault="00153EEF" w:rsidP="00FF0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Hypothesis: for area with low median income but low poverty rate, is that because it is also more affordable </w:t>
      </w:r>
      <w:r w:rsidR="00776344">
        <w:rPr>
          <w:rFonts w:ascii="Arial" w:hAnsi="Arial" w:cs="Arial"/>
          <w:sz w:val="24"/>
          <w:szCs w:val="24"/>
        </w:rPr>
        <w:t>housing (due to low median rent or high ownership)? Thus, implementing new development would instead gentrify the area.</w:t>
      </w:r>
    </w:p>
    <w:p w14:paraId="2C8A5222" w14:textId="309F6D64" w:rsidR="00217001" w:rsidRDefault="00031747" w:rsidP="00FF024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Next Step:</w:t>
      </w:r>
    </w:p>
    <w:p w14:paraId="6F345B02" w14:textId="6D63D867" w:rsidR="00031747" w:rsidRDefault="00031747" w:rsidP="000317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31747">
        <w:rPr>
          <w:rFonts w:ascii="Arial" w:hAnsi="Arial" w:cs="Arial"/>
          <w:sz w:val="24"/>
          <w:szCs w:val="24"/>
        </w:rPr>
        <w:t>Join Parcel data into TOD-tracts/TOD-buffer and analyze differences</w:t>
      </w:r>
    </w:p>
    <w:p w14:paraId="2A71EAB2" w14:textId="321560C5" w:rsidR="00031747" w:rsidRDefault="00031747" w:rsidP="000317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Determine Decision Factors</w:t>
      </w:r>
    </w:p>
    <w:p w14:paraId="792E3C1B" w14:textId="4F806C73" w:rsidR="00776344" w:rsidRDefault="00776344" w:rsidP="00031747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Study about the “Affordability Hypothesis”</w:t>
      </w:r>
    </w:p>
    <w:p w14:paraId="0CCD5CA2" w14:textId="02982E19" w:rsidR="00776344" w:rsidRDefault="00776344" w:rsidP="00776344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Other materials:</w:t>
      </w:r>
    </w:p>
    <w:p w14:paraId="232D3359" w14:textId="37237094" w:rsidR="00776344" w:rsidRDefault="00776344" w:rsidP="007763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Predicting Gentrification: </w:t>
      </w:r>
      <w:hyperlink r:id="rId13" w:history="1">
        <w:r w:rsidRPr="004E1857">
          <w:rPr>
            <w:rStyle w:val="Hyperlink"/>
            <w:rFonts w:ascii="Arial" w:hAnsi="Arial" w:cs="Arial"/>
            <w:sz w:val="24"/>
            <w:szCs w:val="24"/>
          </w:rPr>
          <w:t>http://urbanspatialanalysis.com/portfolio/predicting-gentrification-using-longitudinal-census-data/</w:t>
        </w:r>
      </w:hyperlink>
    </w:p>
    <w:p w14:paraId="1CBC066C" w14:textId="39546A2E" w:rsidR="00776344" w:rsidRPr="00776344" w:rsidRDefault="00776344" w:rsidP="00776344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Measuring Gentrification: </w:t>
      </w:r>
      <w:hyperlink r:id="rId14" w:history="1">
        <w:r w:rsidRPr="004E1857">
          <w:rPr>
            <w:rStyle w:val="Hyperlink"/>
            <w:rFonts w:ascii="Arial" w:hAnsi="Arial" w:cs="Arial"/>
            <w:sz w:val="24"/>
            <w:szCs w:val="24"/>
          </w:rPr>
          <w:t>https://bookdown.org/fis/social-life-of-neighborhoods/mapping-gentrification.html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sectPr w:rsidR="00776344" w:rsidRPr="007763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662E60"/>
    <w:multiLevelType w:val="hybridMultilevel"/>
    <w:tmpl w:val="B1E87FA8"/>
    <w:lvl w:ilvl="0" w:tplc="3EA2255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582694"/>
    <w:multiLevelType w:val="hybridMultilevel"/>
    <w:tmpl w:val="F57429DC"/>
    <w:lvl w:ilvl="0" w:tplc="ABB01D8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06E6"/>
    <w:rsid w:val="00031747"/>
    <w:rsid w:val="00071227"/>
    <w:rsid w:val="0009371E"/>
    <w:rsid w:val="00153EEF"/>
    <w:rsid w:val="00193037"/>
    <w:rsid w:val="00217001"/>
    <w:rsid w:val="0036157B"/>
    <w:rsid w:val="003E7EF4"/>
    <w:rsid w:val="00484819"/>
    <w:rsid w:val="004A6F4C"/>
    <w:rsid w:val="005518F0"/>
    <w:rsid w:val="005F5216"/>
    <w:rsid w:val="00653812"/>
    <w:rsid w:val="006F349D"/>
    <w:rsid w:val="00774DC2"/>
    <w:rsid w:val="00776344"/>
    <w:rsid w:val="00865DD5"/>
    <w:rsid w:val="00915FB6"/>
    <w:rsid w:val="009351A6"/>
    <w:rsid w:val="009A5B57"/>
    <w:rsid w:val="009C126B"/>
    <w:rsid w:val="00A8183F"/>
    <w:rsid w:val="00B206E6"/>
    <w:rsid w:val="00CF24C0"/>
    <w:rsid w:val="00CF2A67"/>
    <w:rsid w:val="00DD648C"/>
    <w:rsid w:val="00E96578"/>
    <w:rsid w:val="00F03541"/>
    <w:rsid w:val="00F334EB"/>
    <w:rsid w:val="00FF0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5F7334"/>
  <w15:chartTrackingRefBased/>
  <w15:docId w15:val="{014B592C-795B-4246-B32E-A76EA764B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06E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06E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F2A67"/>
    <w:pPr>
      <w:ind w:left="720"/>
      <w:contextualSpacing/>
    </w:pPr>
  </w:style>
  <w:style w:type="table" w:styleId="TableGrid">
    <w:name w:val="Table Grid"/>
    <w:basedOn w:val="TableNormal"/>
    <w:uiPriority w:val="39"/>
    <w:rsid w:val="00F035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PLN-680-Spring-2022/Huang_lechuan_todphilly/blob/main/Captsone%20Presentation.pdf" TargetMode="External"/><Relationship Id="rId13" Type="http://schemas.openxmlformats.org/officeDocument/2006/relationships/hyperlink" Target="http://urbanspatialanalysis.com/portfolio/predicting-gentrification-using-longitudinal-census-data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hyy.org/articles/council-proposes-zoning-changes-to-drive-transit-oriented-development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dvrpc.org/webmaps/TOD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urbanspatial.github.io/PublicPolicyAnalytics/TOD.html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hyperlink" Target="https://bookdown.org/fis/social-life-of-neighborhoods/mapping-gentrifica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</TotalTime>
  <Pages>5</Pages>
  <Words>991</Words>
  <Characters>5653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Lechuan Huang</dc:creator>
  <cp:keywords/>
  <dc:description/>
  <cp:lastModifiedBy>Lechuan Huang</cp:lastModifiedBy>
  <cp:revision>5</cp:revision>
  <dcterms:created xsi:type="dcterms:W3CDTF">2022-02-18T02:00:00Z</dcterms:created>
  <dcterms:modified xsi:type="dcterms:W3CDTF">2022-02-18T05:22:00Z</dcterms:modified>
</cp:coreProperties>
</file>