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4064" w14:textId="600F7CCD" w:rsidR="008F6425" w:rsidRPr="008F6425" w:rsidRDefault="000B5937" w:rsidP="008F6425">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Project Proposal</w:t>
      </w:r>
      <w:r w:rsidR="005D0698">
        <w:rPr>
          <w:rFonts w:ascii="Times New Roman" w:hAnsi="Times New Roman" w:cs="Times New Roman"/>
          <w:b/>
          <w:bCs/>
          <w:sz w:val="24"/>
          <w:szCs w:val="24"/>
        </w:rPr>
        <w:t xml:space="preserve"> </w:t>
      </w:r>
      <w:r w:rsidR="007B1165">
        <w:rPr>
          <w:rFonts w:ascii="Times New Roman" w:hAnsi="Times New Roman" w:cs="Times New Roman"/>
          <w:b/>
          <w:bCs/>
          <w:sz w:val="24"/>
          <w:szCs w:val="24"/>
        </w:rPr>
        <w:t>1</w:t>
      </w:r>
    </w:p>
    <w:p w14:paraId="5F3EADB7" w14:textId="65C3D2FC" w:rsidR="00602F80" w:rsidRDefault="008F6425" w:rsidP="00607665">
      <w:pPr>
        <w:spacing w:after="360" w:line="259" w:lineRule="auto"/>
        <w:jc w:val="center"/>
        <w:rPr>
          <w:rFonts w:ascii="Times New Roman" w:hAnsi="Times New Roman" w:cs="Times New Roman"/>
          <w:sz w:val="24"/>
          <w:szCs w:val="24"/>
        </w:rPr>
      </w:pPr>
      <w:r w:rsidRPr="008F6425">
        <w:rPr>
          <w:rFonts w:ascii="Times New Roman" w:hAnsi="Times New Roman" w:cs="Times New Roman"/>
          <w:sz w:val="24"/>
          <w:szCs w:val="24"/>
        </w:rPr>
        <w:t>Alexander Nelms – CPLN 680</w:t>
      </w:r>
      <w:r w:rsidR="007A1E1B">
        <w:rPr>
          <w:rFonts w:ascii="Times New Roman" w:hAnsi="Times New Roman" w:cs="Times New Roman"/>
          <w:sz w:val="24"/>
          <w:szCs w:val="24"/>
        </w:rPr>
        <w:t xml:space="preserve"> – 2/18/22</w:t>
      </w:r>
    </w:p>
    <w:p w14:paraId="743BF2E0" w14:textId="4137EF01" w:rsidR="000B5937" w:rsidRPr="0097607C" w:rsidRDefault="00BF1938" w:rsidP="0097607C">
      <w:pPr>
        <w:pStyle w:val="Heading1"/>
      </w:pPr>
      <w:r w:rsidRPr="0097607C">
        <w:t xml:space="preserve">Project </w:t>
      </w:r>
      <w:r w:rsidR="000B5937" w:rsidRPr="0097607C">
        <w:t>Question</w:t>
      </w:r>
    </w:p>
    <w:p w14:paraId="73F8F64E" w14:textId="3F77C0F7" w:rsidR="002225B0" w:rsidRPr="0097607C" w:rsidRDefault="00E26BF9" w:rsidP="0097607C">
      <w:pPr>
        <w:pStyle w:val="ListParagraph"/>
        <w:numPr>
          <w:ilvl w:val="0"/>
          <w:numId w:val="4"/>
        </w:numPr>
        <w:rPr>
          <w:rFonts w:ascii="Times New Roman" w:hAnsi="Times New Roman" w:cs="Times New Roman"/>
          <w:i/>
          <w:iCs/>
          <w:sz w:val="24"/>
          <w:szCs w:val="24"/>
        </w:rPr>
      </w:pPr>
      <w:r w:rsidRPr="00E26BF9">
        <w:rPr>
          <w:rFonts w:ascii="Times New Roman" w:hAnsi="Times New Roman" w:cs="Times New Roman"/>
          <w:i/>
          <w:iCs/>
          <w:sz w:val="24"/>
          <w:szCs w:val="24"/>
        </w:rPr>
        <w:t>How long does it take to receive a Permit to Construct a Residential Building?</w:t>
      </w:r>
      <w:r w:rsidR="002225B0" w:rsidRPr="0097607C">
        <w:rPr>
          <w:rFonts w:ascii="Times New Roman" w:hAnsi="Times New Roman" w:cs="Times New Roman"/>
          <w:i/>
          <w:iCs/>
          <w:sz w:val="24"/>
          <w:szCs w:val="24"/>
        </w:rPr>
        <w:t xml:space="preserve"> </w:t>
      </w:r>
    </w:p>
    <w:p w14:paraId="7635B19D" w14:textId="624DEA96" w:rsidR="00896123" w:rsidRDefault="0097607C" w:rsidP="0097607C">
      <w:pPr>
        <w:pStyle w:val="ListParagraph"/>
        <w:numPr>
          <w:ilvl w:val="1"/>
          <w:numId w:val="4"/>
        </w:numPr>
        <w:rPr>
          <w:rFonts w:ascii="Times New Roman" w:hAnsi="Times New Roman" w:cs="Times New Roman"/>
          <w:i/>
          <w:iCs/>
          <w:sz w:val="24"/>
          <w:szCs w:val="24"/>
        </w:rPr>
      </w:pPr>
      <w:r>
        <w:rPr>
          <w:rFonts w:ascii="Times New Roman" w:hAnsi="Times New Roman" w:cs="Times New Roman"/>
          <w:i/>
          <w:iCs/>
          <w:sz w:val="24"/>
          <w:szCs w:val="24"/>
        </w:rPr>
        <w:t xml:space="preserve">Measuring: </w:t>
      </w:r>
      <w:r w:rsidR="00896123">
        <w:rPr>
          <w:rFonts w:ascii="Times New Roman" w:hAnsi="Times New Roman" w:cs="Times New Roman"/>
          <w:i/>
          <w:iCs/>
          <w:sz w:val="24"/>
          <w:szCs w:val="24"/>
        </w:rPr>
        <w:t xml:space="preserve">total days, </w:t>
      </w:r>
      <w:r w:rsidR="0045069B">
        <w:rPr>
          <w:rFonts w:ascii="Times New Roman" w:hAnsi="Times New Roman" w:cs="Times New Roman"/>
          <w:i/>
          <w:iCs/>
          <w:sz w:val="24"/>
          <w:szCs w:val="24"/>
        </w:rPr>
        <w:t>days that it is being approved by the city, days added by a public hearing board</w:t>
      </w:r>
    </w:p>
    <w:p w14:paraId="016AE664" w14:textId="77777777" w:rsidR="007B1165" w:rsidRDefault="007B1165" w:rsidP="007B1165">
      <w:pPr>
        <w:pStyle w:val="ListParagraph"/>
        <w:numPr>
          <w:ilvl w:val="0"/>
          <w:numId w:val="4"/>
        </w:numPr>
        <w:rPr>
          <w:rFonts w:ascii="Times New Roman" w:hAnsi="Times New Roman" w:cs="Times New Roman"/>
          <w:i/>
          <w:iCs/>
          <w:sz w:val="24"/>
          <w:szCs w:val="24"/>
        </w:rPr>
      </w:pPr>
      <w:r w:rsidRPr="007B1165">
        <w:rPr>
          <w:rFonts w:ascii="Times New Roman" w:hAnsi="Times New Roman" w:cs="Times New Roman"/>
          <w:i/>
          <w:iCs/>
          <w:sz w:val="24"/>
          <w:szCs w:val="24"/>
        </w:rPr>
        <w:t xml:space="preserve">Which factors lead to a longer permitting process &amp; </w:t>
      </w:r>
      <w:proofErr w:type="gramStart"/>
      <w:r w:rsidRPr="007B1165">
        <w:rPr>
          <w:rFonts w:ascii="Times New Roman" w:hAnsi="Times New Roman" w:cs="Times New Roman"/>
          <w:i/>
          <w:iCs/>
          <w:sz w:val="24"/>
          <w:szCs w:val="24"/>
        </w:rPr>
        <w:t>an</w:t>
      </w:r>
      <w:proofErr w:type="gramEnd"/>
      <w:r w:rsidRPr="007B1165">
        <w:rPr>
          <w:rFonts w:ascii="Times New Roman" w:hAnsi="Times New Roman" w:cs="Times New Roman"/>
          <w:i/>
          <w:iCs/>
          <w:sz w:val="24"/>
          <w:szCs w:val="24"/>
        </w:rPr>
        <w:t xml:space="preserve"> denied permit?</w:t>
      </w:r>
    </w:p>
    <w:p w14:paraId="0583F70E" w14:textId="77777777" w:rsidR="007B1165" w:rsidRDefault="007B1165" w:rsidP="007B1165">
      <w:pPr>
        <w:pStyle w:val="ListParagraph"/>
        <w:numPr>
          <w:ilvl w:val="1"/>
          <w:numId w:val="4"/>
        </w:numPr>
        <w:rPr>
          <w:rFonts w:ascii="Times New Roman" w:hAnsi="Times New Roman" w:cs="Times New Roman"/>
          <w:i/>
          <w:iCs/>
          <w:sz w:val="24"/>
          <w:szCs w:val="24"/>
        </w:rPr>
      </w:pPr>
      <w:r w:rsidRPr="007B1165">
        <w:rPr>
          <w:rFonts w:ascii="Times New Roman" w:hAnsi="Times New Roman" w:cs="Times New Roman"/>
          <w:i/>
          <w:iCs/>
          <w:sz w:val="24"/>
          <w:szCs w:val="24"/>
        </w:rPr>
        <w:t>Is it the building’s size?</w:t>
      </w:r>
    </w:p>
    <w:p w14:paraId="5023AB0A" w14:textId="77777777" w:rsidR="007B1165" w:rsidRDefault="007B1165" w:rsidP="007B1165">
      <w:pPr>
        <w:pStyle w:val="ListParagraph"/>
        <w:numPr>
          <w:ilvl w:val="1"/>
          <w:numId w:val="4"/>
        </w:numPr>
        <w:rPr>
          <w:rFonts w:ascii="Times New Roman" w:hAnsi="Times New Roman" w:cs="Times New Roman"/>
          <w:i/>
          <w:iCs/>
          <w:sz w:val="24"/>
          <w:szCs w:val="24"/>
        </w:rPr>
      </w:pPr>
      <w:r w:rsidRPr="007B1165">
        <w:rPr>
          <w:rFonts w:ascii="Times New Roman" w:hAnsi="Times New Roman" w:cs="Times New Roman"/>
          <w:i/>
          <w:iCs/>
          <w:sz w:val="24"/>
          <w:szCs w:val="24"/>
        </w:rPr>
        <w:t>Is it the public hearing process?</w:t>
      </w:r>
    </w:p>
    <w:p w14:paraId="2B1AC055" w14:textId="46734B7C" w:rsidR="000B5937" w:rsidRPr="007B1165" w:rsidRDefault="007B1165" w:rsidP="007B1165">
      <w:pPr>
        <w:pStyle w:val="ListParagraph"/>
        <w:numPr>
          <w:ilvl w:val="1"/>
          <w:numId w:val="4"/>
        </w:numPr>
        <w:rPr>
          <w:rFonts w:ascii="Times New Roman" w:hAnsi="Times New Roman" w:cs="Times New Roman"/>
          <w:i/>
          <w:iCs/>
          <w:sz w:val="24"/>
          <w:szCs w:val="24"/>
        </w:rPr>
      </w:pPr>
      <w:r w:rsidRPr="007B1165">
        <w:rPr>
          <w:rFonts w:ascii="Times New Roman" w:hAnsi="Times New Roman" w:cs="Times New Roman"/>
          <w:i/>
          <w:iCs/>
          <w:sz w:val="24"/>
          <w:szCs w:val="24"/>
        </w:rPr>
        <w:t>Is it the compounding result of white elites developing &amp; maintaining discriminatory real estate practices &amp; restrictive land-use controls that preserve racial, political, &amp; economic hierarchies &amp; segregation?</w:t>
      </w:r>
    </w:p>
    <w:p w14:paraId="62DFDF91" w14:textId="5240F54F" w:rsidR="00BD6C10" w:rsidRPr="0097607C" w:rsidRDefault="003C575D" w:rsidP="0097607C">
      <w:pPr>
        <w:pStyle w:val="Heading1"/>
      </w:pPr>
      <w:r w:rsidRPr="0097607C">
        <w:t>Summar</w:t>
      </w:r>
      <w:r w:rsidR="00A62C5E" w:rsidRPr="0097607C">
        <w:t>y</w:t>
      </w:r>
    </w:p>
    <w:p w14:paraId="349234D4" w14:textId="46724463" w:rsidR="0097607C" w:rsidRPr="0097607C" w:rsidRDefault="0097607C" w:rsidP="0097607C">
      <w:pPr>
        <w:pStyle w:val="Heading2"/>
      </w:pPr>
      <w:r w:rsidRPr="0097607C">
        <w:t>Abstract</w:t>
      </w:r>
    </w:p>
    <w:p w14:paraId="54F31F48" w14:textId="5053A949" w:rsidR="0096790E" w:rsidRDefault="00CA7A44" w:rsidP="00BD6C10">
      <w:pPr>
        <w:rPr>
          <w:rFonts w:ascii="Times New Roman" w:hAnsi="Times New Roman" w:cs="Times New Roman"/>
          <w:sz w:val="24"/>
          <w:szCs w:val="24"/>
        </w:rPr>
      </w:pPr>
      <w:r>
        <w:rPr>
          <w:rFonts w:ascii="Times New Roman" w:hAnsi="Times New Roman" w:cs="Times New Roman"/>
          <w:sz w:val="24"/>
          <w:szCs w:val="24"/>
        </w:rPr>
        <w:t xml:space="preserve">This project seeks to find metrics </w:t>
      </w:r>
      <w:r w:rsidR="007C1B4C">
        <w:rPr>
          <w:rFonts w:ascii="Times New Roman" w:hAnsi="Times New Roman" w:cs="Times New Roman"/>
          <w:sz w:val="24"/>
          <w:szCs w:val="24"/>
        </w:rPr>
        <w:t xml:space="preserve">on the length of </w:t>
      </w:r>
      <w:r>
        <w:rPr>
          <w:rFonts w:ascii="Times New Roman" w:hAnsi="Times New Roman" w:cs="Times New Roman"/>
          <w:sz w:val="24"/>
          <w:szCs w:val="24"/>
        </w:rPr>
        <w:t>permitting building construction</w:t>
      </w:r>
      <w:r w:rsidR="007C1B4C">
        <w:rPr>
          <w:rFonts w:ascii="Times New Roman" w:hAnsi="Times New Roman" w:cs="Times New Roman"/>
          <w:sz w:val="24"/>
          <w:szCs w:val="24"/>
        </w:rPr>
        <w:t xml:space="preserve"> – with </w:t>
      </w:r>
      <w:proofErr w:type="gramStart"/>
      <w:r w:rsidR="007C1B4C">
        <w:rPr>
          <w:rFonts w:ascii="Times New Roman" w:hAnsi="Times New Roman" w:cs="Times New Roman"/>
          <w:sz w:val="24"/>
          <w:szCs w:val="24"/>
        </w:rPr>
        <w:t>particular understanding</w:t>
      </w:r>
      <w:proofErr w:type="gramEnd"/>
      <w:r w:rsidR="007C1B4C">
        <w:rPr>
          <w:rFonts w:ascii="Times New Roman" w:hAnsi="Times New Roman" w:cs="Times New Roman"/>
          <w:sz w:val="24"/>
          <w:szCs w:val="24"/>
        </w:rPr>
        <w:t xml:space="preserve"> of how permitting requirements and public hearing bodies add time. With the measurements of each permit approval, there can be larger comparisons of the permit’s </w:t>
      </w:r>
      <w:r w:rsidR="00192E31">
        <w:rPr>
          <w:rFonts w:ascii="Times New Roman" w:hAnsi="Times New Roman" w:cs="Times New Roman"/>
          <w:sz w:val="24"/>
          <w:szCs w:val="24"/>
        </w:rPr>
        <w:t xml:space="preserve">process, </w:t>
      </w:r>
      <w:r w:rsidR="007C1B4C">
        <w:rPr>
          <w:rFonts w:ascii="Times New Roman" w:hAnsi="Times New Roman" w:cs="Times New Roman"/>
          <w:sz w:val="24"/>
          <w:szCs w:val="24"/>
        </w:rPr>
        <w:t xml:space="preserve">building, applicants, and locations.  </w:t>
      </w:r>
    </w:p>
    <w:p w14:paraId="0A9A7992" w14:textId="5DDFBC06" w:rsidR="0097607C" w:rsidRDefault="0097607C" w:rsidP="00BD6C10">
      <w:pPr>
        <w:rPr>
          <w:rFonts w:ascii="Times New Roman" w:hAnsi="Times New Roman" w:cs="Times New Roman"/>
          <w:sz w:val="24"/>
          <w:szCs w:val="24"/>
        </w:rPr>
      </w:pPr>
    </w:p>
    <w:p w14:paraId="6B3D1BE7" w14:textId="66DD3C00" w:rsidR="0097607C" w:rsidRPr="0097607C" w:rsidRDefault="0097607C" w:rsidP="0097607C">
      <w:pPr>
        <w:pStyle w:val="Heading2"/>
      </w:pPr>
      <w:r w:rsidRPr="0097607C">
        <w:t>Background</w:t>
      </w:r>
    </w:p>
    <w:p w14:paraId="4EF09000" w14:textId="77777777" w:rsidR="0097607C" w:rsidRPr="0097607C" w:rsidRDefault="0097607C" w:rsidP="0097607C">
      <w:pPr>
        <w:ind w:firstLine="720"/>
        <w:rPr>
          <w:rFonts w:ascii="Times New Roman" w:hAnsi="Times New Roman" w:cs="Times New Roman"/>
          <w:sz w:val="24"/>
          <w:szCs w:val="24"/>
        </w:rPr>
      </w:pPr>
      <w:r w:rsidRPr="0097607C">
        <w:rPr>
          <w:rFonts w:ascii="Times New Roman" w:hAnsi="Times New Roman" w:cs="Times New Roman"/>
          <w:sz w:val="24"/>
          <w:szCs w:val="24"/>
        </w:rPr>
        <w:t>Building Construction Permits can be notoriously difficult to receive – with many cities having systematic methods of slowing down the process. The public hearing bodies, that are supposed to provide transparency to the process, now are points where NIMBY (Not in My Backyard) residents can publicly pressure officials to legally or illegally halt the projects. The San Francisco Bay area is known for its housing crisis and difficult permitting processes.</w:t>
      </w:r>
    </w:p>
    <w:p w14:paraId="3C29F6F0" w14:textId="7DD134B3" w:rsidR="0097607C" w:rsidRPr="0096790E" w:rsidRDefault="0097607C" w:rsidP="0097607C">
      <w:pPr>
        <w:ind w:firstLine="720"/>
        <w:rPr>
          <w:rFonts w:ascii="Times New Roman" w:hAnsi="Times New Roman" w:cs="Times New Roman"/>
          <w:sz w:val="24"/>
          <w:szCs w:val="24"/>
        </w:rPr>
      </w:pPr>
      <w:r w:rsidRPr="0097607C">
        <w:rPr>
          <w:rFonts w:ascii="Times New Roman" w:hAnsi="Times New Roman" w:cs="Times New Roman"/>
          <w:sz w:val="24"/>
          <w:szCs w:val="24"/>
        </w:rPr>
        <w:t>Because local government typically has siloed data and data illiteracy, it is difficult to get accurate measurements of the permit process. Luckily, many West Coast cities contract Accela to manage their permitting system through software and structured data. Accela is difficult to navigate but it does have a secret but public API. Because of my work with Walnut Creek, I have already created Python scripts that pull permit timelines from Accela, process each task into time measurements, then aggregate them. My personal contacts at San Francisco &amp; Berkeley would allow me to perform a similar function with their permits as well.</w:t>
      </w:r>
    </w:p>
    <w:p w14:paraId="4AD5075D" w14:textId="210FB909" w:rsidR="0096790E" w:rsidRDefault="0096790E" w:rsidP="00BD6C10">
      <w:pPr>
        <w:rPr>
          <w:rFonts w:ascii="Times New Roman" w:hAnsi="Times New Roman" w:cs="Times New Roman"/>
          <w:sz w:val="24"/>
          <w:szCs w:val="24"/>
        </w:rPr>
      </w:pPr>
    </w:p>
    <w:p w14:paraId="733A3FDF" w14:textId="12A0B850" w:rsidR="007C1B4C" w:rsidRPr="0097607C" w:rsidRDefault="007C1B4C" w:rsidP="0097607C">
      <w:pPr>
        <w:pStyle w:val="Heading2"/>
      </w:pPr>
      <w:r w:rsidRPr="0097607C">
        <w:t>Existing Research</w:t>
      </w:r>
    </w:p>
    <w:p w14:paraId="54BCD7A5" w14:textId="7A179F9C" w:rsidR="007C1B4C" w:rsidRDefault="007C1B4C" w:rsidP="00BD6C10">
      <w:pPr>
        <w:rPr>
          <w:rFonts w:ascii="Times New Roman" w:hAnsi="Times New Roman" w:cs="Times New Roman"/>
          <w:sz w:val="24"/>
          <w:szCs w:val="24"/>
        </w:rPr>
      </w:pPr>
      <w:r>
        <w:rPr>
          <w:rFonts w:ascii="Times New Roman" w:hAnsi="Times New Roman" w:cs="Times New Roman"/>
          <w:sz w:val="24"/>
          <w:szCs w:val="24"/>
        </w:rPr>
        <w:t xml:space="preserve">There is existing research that </w:t>
      </w:r>
      <w:r w:rsidR="00192E31">
        <w:rPr>
          <w:rFonts w:ascii="Times New Roman" w:hAnsi="Times New Roman" w:cs="Times New Roman"/>
          <w:sz w:val="24"/>
          <w:szCs w:val="24"/>
        </w:rPr>
        <w:t xml:space="preserve">analyze the overall American building permitting process and how it contributes to the housing economy. Overall, the local government’s permitting process is purposely difficult to navigate as a result of public hearing bodies </w:t>
      </w:r>
      <w:r w:rsidR="003C39EB">
        <w:rPr>
          <w:rFonts w:ascii="Times New Roman" w:hAnsi="Times New Roman" w:cs="Times New Roman"/>
          <w:sz w:val="24"/>
          <w:szCs w:val="24"/>
        </w:rPr>
        <w:t>– specifically Berkeley, CA</w:t>
      </w:r>
      <w:r w:rsidR="003C39EB">
        <w:rPr>
          <w:rStyle w:val="FootnoteReference"/>
          <w:rFonts w:ascii="Times New Roman" w:hAnsi="Times New Roman" w:cs="Times New Roman"/>
          <w:sz w:val="24"/>
          <w:szCs w:val="24"/>
        </w:rPr>
        <w:footnoteReference w:id="1"/>
      </w:r>
      <w:r w:rsidR="003C39EB">
        <w:rPr>
          <w:rFonts w:ascii="Times New Roman" w:hAnsi="Times New Roman" w:cs="Times New Roman"/>
          <w:sz w:val="24"/>
          <w:szCs w:val="24"/>
        </w:rPr>
        <w:t xml:space="preserve"> &amp; San Francisco</w:t>
      </w:r>
      <w:r w:rsidR="003C39EB">
        <w:rPr>
          <w:rStyle w:val="FootnoteReference"/>
          <w:rFonts w:ascii="Times New Roman" w:hAnsi="Times New Roman" w:cs="Times New Roman"/>
          <w:sz w:val="24"/>
          <w:szCs w:val="24"/>
        </w:rPr>
        <w:footnoteReference w:id="2"/>
      </w:r>
      <w:r w:rsidR="003C39EB">
        <w:rPr>
          <w:rStyle w:val="FootnoteReference"/>
          <w:rFonts w:ascii="Times New Roman" w:hAnsi="Times New Roman" w:cs="Times New Roman"/>
          <w:sz w:val="24"/>
          <w:szCs w:val="24"/>
        </w:rPr>
        <w:footnoteReference w:id="3"/>
      </w:r>
      <w:r w:rsidR="003C39EB">
        <w:rPr>
          <w:rFonts w:ascii="Times New Roman" w:hAnsi="Times New Roman" w:cs="Times New Roman"/>
          <w:sz w:val="24"/>
          <w:szCs w:val="24"/>
        </w:rPr>
        <w:t xml:space="preserve"> – and/or land use regulations</w:t>
      </w:r>
      <w:r w:rsidR="003C39EB">
        <w:rPr>
          <w:rStyle w:val="FootnoteReference"/>
          <w:rFonts w:ascii="Times New Roman" w:hAnsi="Times New Roman" w:cs="Times New Roman"/>
          <w:sz w:val="24"/>
          <w:szCs w:val="24"/>
        </w:rPr>
        <w:footnoteReference w:id="4"/>
      </w:r>
      <w:r w:rsidR="003C39EB">
        <w:rPr>
          <w:rFonts w:ascii="Times New Roman" w:hAnsi="Times New Roman" w:cs="Times New Roman"/>
          <w:sz w:val="24"/>
          <w:szCs w:val="24"/>
        </w:rPr>
        <w:t xml:space="preserve">. </w:t>
      </w:r>
      <w:r w:rsidR="00104E9B">
        <w:rPr>
          <w:rFonts w:ascii="Times New Roman" w:hAnsi="Times New Roman" w:cs="Times New Roman"/>
          <w:sz w:val="24"/>
          <w:szCs w:val="24"/>
        </w:rPr>
        <w:t>Literature</w:t>
      </w:r>
      <w:r w:rsidR="00192E31">
        <w:rPr>
          <w:rFonts w:ascii="Times New Roman" w:hAnsi="Times New Roman" w:cs="Times New Roman"/>
          <w:sz w:val="24"/>
          <w:szCs w:val="24"/>
        </w:rPr>
        <w:t xml:space="preserve"> </w:t>
      </w:r>
      <w:proofErr w:type="gramStart"/>
      <w:r w:rsidR="00192E31">
        <w:rPr>
          <w:rFonts w:ascii="Times New Roman" w:hAnsi="Times New Roman" w:cs="Times New Roman"/>
          <w:sz w:val="24"/>
          <w:szCs w:val="24"/>
        </w:rPr>
        <w:t>evaluate</w:t>
      </w:r>
      <w:proofErr w:type="gramEnd"/>
      <w:r w:rsidR="00192E31">
        <w:rPr>
          <w:rFonts w:ascii="Times New Roman" w:hAnsi="Times New Roman" w:cs="Times New Roman"/>
          <w:sz w:val="24"/>
          <w:szCs w:val="24"/>
        </w:rPr>
        <w:t xml:space="preserve"> how </w:t>
      </w:r>
      <w:r w:rsidR="00EC3D57">
        <w:rPr>
          <w:rFonts w:ascii="Times New Roman" w:hAnsi="Times New Roman" w:cs="Times New Roman"/>
          <w:sz w:val="24"/>
          <w:szCs w:val="24"/>
        </w:rPr>
        <w:t xml:space="preserve">public hearing bodies </w:t>
      </w:r>
      <w:r w:rsidR="00EC3D57">
        <w:rPr>
          <w:rFonts w:ascii="Times New Roman" w:hAnsi="Times New Roman" w:cs="Times New Roman"/>
          <w:sz w:val="24"/>
          <w:szCs w:val="24"/>
        </w:rPr>
        <w:lastRenderedPageBreak/>
        <w:t>favor older, wealthier, and white communities.</w:t>
      </w:r>
      <w:r w:rsidR="00EC3D57">
        <w:rPr>
          <w:rStyle w:val="FootnoteReference"/>
          <w:rFonts w:ascii="Times New Roman" w:hAnsi="Times New Roman" w:cs="Times New Roman"/>
          <w:sz w:val="24"/>
          <w:szCs w:val="24"/>
        </w:rPr>
        <w:footnoteReference w:id="5"/>
      </w:r>
      <w:r w:rsidR="00EC3D57">
        <w:rPr>
          <w:rStyle w:val="FootnoteReference"/>
          <w:rFonts w:ascii="Times New Roman" w:hAnsi="Times New Roman" w:cs="Times New Roman"/>
          <w:sz w:val="24"/>
          <w:szCs w:val="24"/>
        </w:rPr>
        <w:footnoteReference w:id="6"/>
      </w:r>
      <w:r w:rsidR="00EA00E8">
        <w:rPr>
          <w:rStyle w:val="FootnoteReference"/>
          <w:rFonts w:ascii="Times New Roman" w:hAnsi="Times New Roman" w:cs="Times New Roman"/>
          <w:sz w:val="24"/>
          <w:szCs w:val="24"/>
        </w:rPr>
        <w:footnoteReference w:id="7"/>
      </w:r>
      <w:r w:rsidR="00104E9B">
        <w:rPr>
          <w:rFonts w:ascii="Times New Roman" w:hAnsi="Times New Roman" w:cs="Times New Roman"/>
          <w:sz w:val="24"/>
          <w:szCs w:val="24"/>
        </w:rPr>
        <w:t xml:space="preserve"> </w:t>
      </w:r>
      <w:r w:rsidR="000639DA">
        <w:rPr>
          <w:rFonts w:ascii="Times New Roman" w:hAnsi="Times New Roman" w:cs="Times New Roman"/>
          <w:sz w:val="24"/>
          <w:szCs w:val="24"/>
        </w:rPr>
        <w:t xml:space="preserve">Some quantitative studies reinforce </w:t>
      </w:r>
      <w:r w:rsidR="00117CC1">
        <w:rPr>
          <w:rFonts w:ascii="Times New Roman" w:hAnsi="Times New Roman" w:cs="Times New Roman"/>
          <w:sz w:val="24"/>
          <w:szCs w:val="24"/>
        </w:rPr>
        <w:t xml:space="preserve">this claim with </w:t>
      </w:r>
      <w:r w:rsidR="00104E9B">
        <w:rPr>
          <w:rFonts w:ascii="Times New Roman" w:hAnsi="Times New Roman" w:cs="Times New Roman"/>
          <w:sz w:val="24"/>
          <w:szCs w:val="24"/>
        </w:rPr>
        <w:t>users surveys</w:t>
      </w:r>
      <w:r w:rsidR="00104E9B">
        <w:rPr>
          <w:rStyle w:val="FootnoteReference"/>
          <w:rFonts w:ascii="Times New Roman" w:hAnsi="Times New Roman" w:cs="Times New Roman"/>
          <w:sz w:val="24"/>
          <w:szCs w:val="24"/>
        </w:rPr>
        <w:footnoteReference w:id="8"/>
      </w:r>
      <w:r w:rsidR="00104E9B">
        <w:rPr>
          <w:rFonts w:ascii="Times New Roman" w:hAnsi="Times New Roman" w:cs="Times New Roman"/>
          <w:sz w:val="24"/>
          <w:szCs w:val="24"/>
        </w:rPr>
        <w:t xml:space="preserve"> and meeting minutes</w:t>
      </w:r>
      <w:r w:rsidR="00104E9B">
        <w:rPr>
          <w:rStyle w:val="FootnoteReference"/>
          <w:rFonts w:ascii="Times New Roman" w:hAnsi="Times New Roman" w:cs="Times New Roman"/>
          <w:sz w:val="24"/>
          <w:szCs w:val="24"/>
        </w:rPr>
        <w:footnoteReference w:id="9"/>
      </w:r>
      <w:r w:rsidR="00104E9B">
        <w:rPr>
          <w:rFonts w:ascii="Times New Roman" w:hAnsi="Times New Roman" w:cs="Times New Roman"/>
          <w:sz w:val="24"/>
          <w:szCs w:val="24"/>
        </w:rPr>
        <w:t>.</w:t>
      </w:r>
      <w:r w:rsidR="00117CC1">
        <w:rPr>
          <w:rFonts w:ascii="Times New Roman" w:hAnsi="Times New Roman" w:cs="Times New Roman"/>
          <w:sz w:val="24"/>
          <w:szCs w:val="24"/>
        </w:rPr>
        <w:t xml:space="preserve"> </w:t>
      </w:r>
    </w:p>
    <w:p w14:paraId="412CE735" w14:textId="430AEAD3" w:rsidR="00192E31" w:rsidRDefault="00192E31" w:rsidP="00BD6C10">
      <w:pPr>
        <w:rPr>
          <w:rFonts w:ascii="Times New Roman" w:hAnsi="Times New Roman" w:cs="Times New Roman"/>
          <w:sz w:val="24"/>
          <w:szCs w:val="24"/>
        </w:rPr>
      </w:pPr>
    </w:p>
    <w:p w14:paraId="14DF6C55" w14:textId="07D469B7" w:rsidR="00117CC1" w:rsidRDefault="00117CC1" w:rsidP="00BD6C10">
      <w:pPr>
        <w:rPr>
          <w:rFonts w:ascii="Times New Roman" w:hAnsi="Times New Roman" w:cs="Times New Roman"/>
          <w:sz w:val="24"/>
          <w:szCs w:val="24"/>
        </w:rPr>
      </w:pPr>
      <w:r>
        <w:rPr>
          <w:rFonts w:ascii="Times New Roman" w:hAnsi="Times New Roman" w:cs="Times New Roman"/>
          <w:sz w:val="24"/>
          <w:szCs w:val="24"/>
        </w:rPr>
        <w:t xml:space="preserve">This study </w:t>
      </w:r>
      <w:r w:rsidR="003C39EB">
        <w:rPr>
          <w:rFonts w:ascii="Times New Roman" w:hAnsi="Times New Roman" w:cs="Times New Roman"/>
          <w:sz w:val="24"/>
          <w:szCs w:val="24"/>
        </w:rPr>
        <w:t xml:space="preserve">helps support the previous claims with </w:t>
      </w:r>
      <w:r>
        <w:rPr>
          <w:rFonts w:ascii="Times New Roman" w:hAnsi="Times New Roman" w:cs="Times New Roman"/>
          <w:sz w:val="24"/>
          <w:szCs w:val="24"/>
        </w:rPr>
        <w:t>valuable quantitative measurement</w:t>
      </w:r>
      <w:r w:rsidR="003C39EB">
        <w:rPr>
          <w:rFonts w:ascii="Times New Roman" w:hAnsi="Times New Roman" w:cs="Times New Roman"/>
          <w:sz w:val="24"/>
          <w:szCs w:val="24"/>
        </w:rPr>
        <w:t>s</w:t>
      </w:r>
      <w:r>
        <w:rPr>
          <w:rFonts w:ascii="Times New Roman" w:hAnsi="Times New Roman" w:cs="Times New Roman"/>
          <w:sz w:val="24"/>
          <w:szCs w:val="24"/>
        </w:rPr>
        <w:t xml:space="preserve"> of (1) how long </w:t>
      </w:r>
      <w:r w:rsidR="0016727B">
        <w:rPr>
          <w:rFonts w:ascii="Times New Roman" w:hAnsi="Times New Roman" w:cs="Times New Roman"/>
          <w:sz w:val="24"/>
          <w:szCs w:val="24"/>
        </w:rPr>
        <w:t xml:space="preserve">the permit process takes and (2) </w:t>
      </w:r>
      <w:r w:rsidR="003C39EB">
        <w:rPr>
          <w:rFonts w:ascii="Times New Roman" w:hAnsi="Times New Roman" w:cs="Times New Roman"/>
          <w:sz w:val="24"/>
          <w:szCs w:val="24"/>
        </w:rPr>
        <w:t>if</w:t>
      </w:r>
      <w:r w:rsidR="0016727B">
        <w:rPr>
          <w:rFonts w:ascii="Times New Roman" w:hAnsi="Times New Roman" w:cs="Times New Roman"/>
          <w:sz w:val="24"/>
          <w:szCs w:val="24"/>
        </w:rPr>
        <w:t xml:space="preserve"> permit times based on the applicant</w:t>
      </w:r>
      <w:r w:rsidR="003C39EB">
        <w:rPr>
          <w:rFonts w:ascii="Times New Roman" w:hAnsi="Times New Roman" w:cs="Times New Roman"/>
          <w:sz w:val="24"/>
          <w:szCs w:val="24"/>
        </w:rPr>
        <w:t xml:space="preserve">s, </w:t>
      </w:r>
      <w:r w:rsidR="0016727B">
        <w:rPr>
          <w:rFonts w:ascii="Times New Roman" w:hAnsi="Times New Roman" w:cs="Times New Roman"/>
          <w:sz w:val="24"/>
          <w:szCs w:val="24"/>
        </w:rPr>
        <w:t>building type</w:t>
      </w:r>
      <w:r w:rsidR="003C39EB">
        <w:rPr>
          <w:rFonts w:ascii="Times New Roman" w:hAnsi="Times New Roman" w:cs="Times New Roman"/>
          <w:sz w:val="24"/>
          <w:szCs w:val="24"/>
        </w:rPr>
        <w:t>, or the area</w:t>
      </w:r>
      <w:r w:rsidR="0016727B">
        <w:rPr>
          <w:rFonts w:ascii="Times New Roman" w:hAnsi="Times New Roman" w:cs="Times New Roman"/>
          <w:sz w:val="24"/>
          <w:szCs w:val="24"/>
        </w:rPr>
        <w:t xml:space="preserve">. </w:t>
      </w:r>
    </w:p>
    <w:p w14:paraId="14A64F51" w14:textId="77777777" w:rsidR="00BF4D88" w:rsidRDefault="00BF4D88" w:rsidP="00BD6C10">
      <w:pPr>
        <w:rPr>
          <w:rFonts w:ascii="Times New Roman" w:hAnsi="Times New Roman" w:cs="Times New Roman"/>
          <w:sz w:val="24"/>
          <w:szCs w:val="24"/>
        </w:rPr>
      </w:pPr>
    </w:p>
    <w:p w14:paraId="127E84BC" w14:textId="66659BB8" w:rsidR="00A62C5E" w:rsidRPr="0097607C" w:rsidRDefault="00A62C5E" w:rsidP="0097607C">
      <w:pPr>
        <w:pStyle w:val="Heading1"/>
      </w:pPr>
      <w:r w:rsidRPr="0097607C">
        <w:t>Datasets</w:t>
      </w:r>
    </w:p>
    <w:p w14:paraId="0B35CAA8" w14:textId="08C68D6C" w:rsidR="00A62C5E"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Raw timeline of each permit process –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start date, end date, public hearing</w:t>
      </w:r>
    </w:p>
    <w:p w14:paraId="442C1C89" w14:textId="2320096B" w:rsidR="0016727B"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Processed time measurements of each permit</w:t>
      </w:r>
    </w:p>
    <w:p w14:paraId="1F16134B" w14:textId="7E26044E" w:rsidR="0016727B"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Locations of permits</w:t>
      </w:r>
    </w:p>
    <w:p w14:paraId="13802AC3" w14:textId="1F11F1D7" w:rsidR="0016727B" w:rsidRPr="0097451A"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Census Tract Demographic &amp; Economic data</w:t>
      </w:r>
    </w:p>
    <w:p w14:paraId="5AC2AE7C" w14:textId="77777777" w:rsidR="005D0698" w:rsidRDefault="005D0698" w:rsidP="00BD6C10">
      <w:pPr>
        <w:rPr>
          <w:rFonts w:ascii="Times New Roman" w:hAnsi="Times New Roman" w:cs="Times New Roman"/>
          <w:sz w:val="24"/>
          <w:szCs w:val="24"/>
        </w:rPr>
      </w:pPr>
    </w:p>
    <w:p w14:paraId="1828239A" w14:textId="1D02F012" w:rsidR="00882605" w:rsidRDefault="00882605" w:rsidP="0097607C">
      <w:pPr>
        <w:pStyle w:val="Heading1"/>
      </w:pPr>
      <w:r>
        <w:t>Methods</w:t>
      </w:r>
    </w:p>
    <w:p w14:paraId="14C0AD05" w14:textId="67613371" w:rsidR="0097607C" w:rsidRPr="0097607C" w:rsidRDefault="0097607C" w:rsidP="0097607C">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Find the Length of Permits</w:t>
      </w:r>
      <w:r w:rsidR="007B1165">
        <w:rPr>
          <w:rFonts w:ascii="Times New Roman" w:hAnsi="Times New Roman" w:cs="Times New Roman"/>
          <w:b/>
          <w:bCs/>
          <w:sz w:val="24"/>
          <w:szCs w:val="24"/>
        </w:rPr>
        <w:t xml:space="preserve"> with Scripts</w:t>
      </w:r>
    </w:p>
    <w:p w14:paraId="45D1EC59" w14:textId="77777777" w:rsidR="003C39EB" w:rsidRPr="003C39EB" w:rsidRDefault="003C39EB" w:rsidP="003C39EB">
      <w:pPr>
        <w:pStyle w:val="ListParagraph"/>
        <w:numPr>
          <w:ilvl w:val="0"/>
          <w:numId w:val="8"/>
        </w:numPr>
        <w:rPr>
          <w:rFonts w:ascii="Times New Roman" w:hAnsi="Times New Roman" w:cs="Times New Roman"/>
          <w:sz w:val="24"/>
          <w:szCs w:val="24"/>
        </w:rPr>
      </w:pPr>
      <w:r w:rsidRPr="003C39EB">
        <w:rPr>
          <w:rFonts w:ascii="Times New Roman" w:hAnsi="Times New Roman" w:cs="Times New Roman"/>
          <w:sz w:val="24"/>
          <w:szCs w:val="24"/>
        </w:rPr>
        <w:t>In short, this data is typically unavailable; however, I am currently in a rare position as a pseudo-GIS/data analyst for a medium-sized city’s planning department (</w:t>
      </w:r>
      <w:proofErr w:type="gramStart"/>
      <w:r w:rsidRPr="003C39EB">
        <w:rPr>
          <w:rFonts w:ascii="Times New Roman" w:hAnsi="Times New Roman" w:cs="Times New Roman"/>
          <w:sz w:val="24"/>
          <w:szCs w:val="24"/>
        </w:rPr>
        <w:t>i.e.</w:t>
      </w:r>
      <w:proofErr w:type="gramEnd"/>
      <w:r w:rsidRPr="003C39EB">
        <w:rPr>
          <w:rFonts w:ascii="Times New Roman" w:hAnsi="Times New Roman" w:cs="Times New Roman"/>
          <w:sz w:val="24"/>
          <w:szCs w:val="24"/>
        </w:rPr>
        <w:t xml:space="preserve"> Walnut Creek) and have already started this project. </w:t>
      </w:r>
    </w:p>
    <w:p w14:paraId="2164FE4E" w14:textId="77777777" w:rsidR="003C39EB" w:rsidRPr="003C39EB" w:rsidRDefault="003C39EB" w:rsidP="003C39EB">
      <w:pPr>
        <w:pStyle w:val="ListParagraph"/>
        <w:numPr>
          <w:ilvl w:val="0"/>
          <w:numId w:val="8"/>
        </w:numPr>
        <w:rPr>
          <w:rFonts w:ascii="Times New Roman" w:hAnsi="Times New Roman" w:cs="Times New Roman"/>
          <w:sz w:val="24"/>
          <w:szCs w:val="24"/>
        </w:rPr>
      </w:pPr>
      <w:r w:rsidRPr="003C39EB">
        <w:rPr>
          <w:rFonts w:ascii="Times New Roman" w:hAnsi="Times New Roman" w:cs="Times New Roman"/>
          <w:sz w:val="24"/>
          <w:szCs w:val="24"/>
        </w:rPr>
        <w:t>For Walnut Creek, I have already created python scripts that process permit times based on raw permit data from a permitting database called Accela.</w:t>
      </w:r>
    </w:p>
    <w:p w14:paraId="3A7CC65C" w14:textId="77777777" w:rsidR="003C39EB" w:rsidRPr="003C39EB" w:rsidRDefault="003C39EB" w:rsidP="003C39EB">
      <w:pPr>
        <w:pStyle w:val="ListParagraph"/>
        <w:numPr>
          <w:ilvl w:val="0"/>
          <w:numId w:val="8"/>
        </w:numPr>
        <w:rPr>
          <w:rFonts w:ascii="Times New Roman" w:hAnsi="Times New Roman" w:cs="Times New Roman"/>
          <w:sz w:val="24"/>
          <w:szCs w:val="24"/>
        </w:rPr>
      </w:pPr>
      <w:r w:rsidRPr="003C39EB">
        <w:rPr>
          <w:rFonts w:ascii="Times New Roman" w:hAnsi="Times New Roman" w:cs="Times New Roman"/>
          <w:sz w:val="24"/>
          <w:szCs w:val="24"/>
        </w:rPr>
        <w:t xml:space="preserve">The raw data format is a timeline of every task for a permit. My script parses the timeline’s dates to count the </w:t>
      </w:r>
    </w:p>
    <w:p w14:paraId="5FD290F6" w14:textId="77777777" w:rsidR="003C39EB" w:rsidRPr="003C39EB" w:rsidRDefault="003C39EB" w:rsidP="0097607C">
      <w:pPr>
        <w:pStyle w:val="ListParagraph"/>
        <w:numPr>
          <w:ilvl w:val="1"/>
          <w:numId w:val="8"/>
        </w:numPr>
        <w:rPr>
          <w:rFonts w:ascii="Times New Roman" w:hAnsi="Times New Roman" w:cs="Times New Roman"/>
          <w:sz w:val="24"/>
          <w:szCs w:val="24"/>
        </w:rPr>
      </w:pPr>
      <w:r w:rsidRPr="003C39EB">
        <w:rPr>
          <w:rFonts w:ascii="Times New Roman" w:hAnsi="Times New Roman" w:cs="Times New Roman"/>
          <w:sz w:val="24"/>
          <w:szCs w:val="24"/>
        </w:rPr>
        <w:t xml:space="preserve">total days, </w:t>
      </w:r>
    </w:p>
    <w:p w14:paraId="2C100988" w14:textId="77777777" w:rsidR="003C39EB" w:rsidRPr="003C39EB" w:rsidRDefault="003C39EB" w:rsidP="0097607C">
      <w:pPr>
        <w:pStyle w:val="ListParagraph"/>
        <w:numPr>
          <w:ilvl w:val="1"/>
          <w:numId w:val="8"/>
        </w:numPr>
        <w:rPr>
          <w:rFonts w:ascii="Times New Roman" w:hAnsi="Times New Roman" w:cs="Times New Roman"/>
          <w:sz w:val="24"/>
          <w:szCs w:val="24"/>
        </w:rPr>
      </w:pPr>
      <w:r w:rsidRPr="003C39EB">
        <w:rPr>
          <w:rFonts w:ascii="Times New Roman" w:hAnsi="Times New Roman" w:cs="Times New Roman"/>
          <w:sz w:val="24"/>
          <w:szCs w:val="24"/>
        </w:rPr>
        <w:t xml:space="preserve">days it is in a city worker’s hands, &amp; </w:t>
      </w:r>
    </w:p>
    <w:p w14:paraId="7E4A69EA" w14:textId="77777777" w:rsidR="003C39EB" w:rsidRPr="003C39EB" w:rsidRDefault="003C39EB" w:rsidP="0097607C">
      <w:pPr>
        <w:pStyle w:val="ListParagraph"/>
        <w:numPr>
          <w:ilvl w:val="1"/>
          <w:numId w:val="8"/>
        </w:numPr>
        <w:rPr>
          <w:rFonts w:ascii="Times New Roman" w:hAnsi="Times New Roman" w:cs="Times New Roman"/>
          <w:sz w:val="24"/>
          <w:szCs w:val="24"/>
        </w:rPr>
      </w:pPr>
      <w:r w:rsidRPr="003C39EB">
        <w:rPr>
          <w:rFonts w:ascii="Times New Roman" w:hAnsi="Times New Roman" w:cs="Times New Roman"/>
          <w:sz w:val="24"/>
          <w:szCs w:val="24"/>
        </w:rPr>
        <w:t xml:space="preserve">days as a result of public hearing bodies. </w:t>
      </w:r>
    </w:p>
    <w:p w14:paraId="5B7ECA89" w14:textId="77777777" w:rsidR="0097607C" w:rsidRPr="0097607C" w:rsidRDefault="0097607C" w:rsidP="0097607C">
      <w:pPr>
        <w:pStyle w:val="ListParagraph"/>
        <w:numPr>
          <w:ilvl w:val="0"/>
          <w:numId w:val="8"/>
        </w:numPr>
        <w:rPr>
          <w:rFonts w:ascii="Times New Roman" w:hAnsi="Times New Roman" w:cs="Times New Roman"/>
          <w:sz w:val="24"/>
          <w:szCs w:val="24"/>
        </w:rPr>
      </w:pPr>
      <w:r w:rsidRPr="0097607C">
        <w:rPr>
          <w:rFonts w:ascii="Times New Roman" w:hAnsi="Times New Roman" w:cs="Times New Roman"/>
          <w:sz w:val="24"/>
          <w:szCs w:val="24"/>
        </w:rPr>
        <w:t xml:space="preserve">Fortunately, Accela is a widely used permit software on the West Coast &amp; has a </w:t>
      </w:r>
      <w:proofErr w:type="gramStart"/>
      <w:r w:rsidRPr="0097607C">
        <w:rPr>
          <w:rFonts w:ascii="Times New Roman" w:hAnsi="Times New Roman" w:cs="Times New Roman"/>
          <w:sz w:val="24"/>
          <w:szCs w:val="24"/>
        </w:rPr>
        <w:t>fairly strict</w:t>
      </w:r>
      <w:proofErr w:type="gramEnd"/>
      <w:r w:rsidRPr="0097607C">
        <w:rPr>
          <w:rFonts w:ascii="Times New Roman" w:hAnsi="Times New Roman" w:cs="Times New Roman"/>
          <w:sz w:val="24"/>
          <w:szCs w:val="24"/>
        </w:rPr>
        <w:t xml:space="preserve"> data format. </w:t>
      </w:r>
    </w:p>
    <w:p w14:paraId="7D1AA5BD" w14:textId="2BDB1C2E" w:rsidR="00882605" w:rsidRDefault="0097607C" w:rsidP="0097607C">
      <w:pPr>
        <w:pStyle w:val="ListParagraph"/>
        <w:numPr>
          <w:ilvl w:val="0"/>
          <w:numId w:val="8"/>
        </w:numPr>
        <w:rPr>
          <w:rFonts w:ascii="Times New Roman" w:hAnsi="Times New Roman" w:cs="Times New Roman"/>
          <w:sz w:val="24"/>
          <w:szCs w:val="24"/>
        </w:rPr>
      </w:pPr>
      <w:r w:rsidRPr="0097607C">
        <w:rPr>
          <w:rFonts w:ascii="Times New Roman" w:hAnsi="Times New Roman" w:cs="Times New Roman"/>
          <w:sz w:val="24"/>
          <w:szCs w:val="24"/>
        </w:rPr>
        <w:t>Combined with my prior experiences with the IT &amp; planning departments of San Francisco &amp; Berkeley, it wouldn’t be a reach to have access to their raw data and then reconfigure my script to process their data.</w:t>
      </w:r>
    </w:p>
    <w:p w14:paraId="0FD4CD1B" w14:textId="5651F7D9" w:rsidR="0097607C" w:rsidRPr="0097607C" w:rsidRDefault="0097607C" w:rsidP="0097607C">
      <w:pPr>
        <w:pStyle w:val="ListParagraph"/>
        <w:numPr>
          <w:ilvl w:val="0"/>
          <w:numId w:val="9"/>
        </w:numPr>
        <w:rPr>
          <w:rFonts w:ascii="Times New Roman" w:hAnsi="Times New Roman" w:cs="Times New Roman"/>
          <w:b/>
          <w:bCs/>
          <w:sz w:val="24"/>
          <w:szCs w:val="24"/>
        </w:rPr>
      </w:pPr>
      <w:r w:rsidRPr="0097607C">
        <w:rPr>
          <w:rFonts w:ascii="Times New Roman" w:hAnsi="Times New Roman" w:cs="Times New Roman"/>
          <w:b/>
          <w:bCs/>
          <w:sz w:val="24"/>
          <w:szCs w:val="24"/>
        </w:rPr>
        <w:t>Compare Permits Lengths</w:t>
      </w:r>
    </w:p>
    <w:p w14:paraId="1A3955F9" w14:textId="656443A7" w:rsidR="004A4737"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Correlate different variables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cities, demographics) to measurements</w:t>
      </w:r>
    </w:p>
    <w:p w14:paraId="52845447" w14:textId="77777777" w:rsidR="00607665" w:rsidRDefault="00607665" w:rsidP="00607665">
      <w:pPr>
        <w:pStyle w:val="ListParagraph"/>
        <w:rPr>
          <w:rFonts w:ascii="Times New Roman" w:hAnsi="Times New Roman" w:cs="Times New Roman"/>
          <w:sz w:val="24"/>
          <w:szCs w:val="24"/>
        </w:rPr>
      </w:pPr>
    </w:p>
    <w:p w14:paraId="26816050" w14:textId="266A53D4" w:rsidR="00882605" w:rsidRDefault="00882605" w:rsidP="00607665">
      <w:pPr>
        <w:pStyle w:val="Heading1"/>
      </w:pPr>
      <w:r>
        <w:t>Deliverables</w:t>
      </w:r>
    </w:p>
    <w:p w14:paraId="42650775" w14:textId="7D3BE124" w:rsidR="00882605" w:rsidRPr="00607665" w:rsidRDefault="00203A07" w:rsidP="00203A07">
      <w:pPr>
        <w:pStyle w:val="ListParagraph"/>
        <w:numPr>
          <w:ilvl w:val="0"/>
          <w:numId w:val="6"/>
        </w:numPr>
        <w:rPr>
          <w:rFonts w:ascii="Times New Roman" w:hAnsi="Times New Roman" w:cs="Times New Roman"/>
          <w:sz w:val="24"/>
          <w:szCs w:val="24"/>
          <w:u w:val="single"/>
        </w:rPr>
      </w:pPr>
      <w:r w:rsidRPr="00607665">
        <w:rPr>
          <w:rFonts w:ascii="Times New Roman" w:hAnsi="Times New Roman" w:cs="Times New Roman"/>
          <w:sz w:val="24"/>
          <w:szCs w:val="24"/>
          <w:u w:val="single"/>
        </w:rPr>
        <w:t xml:space="preserve">Dashboard of </w:t>
      </w:r>
      <w:r w:rsidR="002B2816" w:rsidRPr="00607665">
        <w:rPr>
          <w:rFonts w:ascii="Times New Roman" w:hAnsi="Times New Roman" w:cs="Times New Roman"/>
          <w:sz w:val="24"/>
          <w:szCs w:val="24"/>
          <w:u w:val="single"/>
        </w:rPr>
        <w:t>Live Permit Processing Metrics</w:t>
      </w:r>
    </w:p>
    <w:p w14:paraId="7D390CEC" w14:textId="2A6E504B" w:rsidR="00607665"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Could be used for a city’s operational processes or for the public’s interest</w:t>
      </w:r>
    </w:p>
    <w:p w14:paraId="0290B56C" w14:textId="77777777" w:rsidR="00607665" w:rsidRDefault="00607665" w:rsidP="00607665">
      <w:pPr>
        <w:pStyle w:val="ListParagraph"/>
        <w:ind w:left="450"/>
        <w:rPr>
          <w:rFonts w:ascii="Times New Roman" w:hAnsi="Times New Roman" w:cs="Times New Roman"/>
          <w:sz w:val="24"/>
          <w:szCs w:val="24"/>
        </w:rPr>
      </w:pPr>
    </w:p>
    <w:p w14:paraId="6FA75B9A" w14:textId="650B16D3" w:rsidR="00203A07" w:rsidRDefault="002B2816" w:rsidP="00BD6C1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Research Paper of </w:t>
      </w:r>
      <w:r w:rsidR="004A4737">
        <w:rPr>
          <w:rFonts w:ascii="Times New Roman" w:hAnsi="Times New Roman" w:cs="Times New Roman"/>
          <w:sz w:val="24"/>
          <w:szCs w:val="24"/>
        </w:rPr>
        <w:t xml:space="preserve">Permit Process Comparisons </w:t>
      </w:r>
    </w:p>
    <w:p w14:paraId="757784BA" w14:textId="25744DBA" w:rsidR="00607665"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Would help fill the quantitative gap in understanding the permitting process, public participation process, and potential discrimination </w:t>
      </w:r>
    </w:p>
    <w:p w14:paraId="79D6AD76" w14:textId="13BDBB76" w:rsidR="00607665" w:rsidRPr="00607665"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Could also help me get into a new job and/or another graduate school program</w:t>
      </w:r>
    </w:p>
    <w:p w14:paraId="42898686" w14:textId="77777777" w:rsidR="00607665" w:rsidRDefault="00607665" w:rsidP="00BD6C10">
      <w:pPr>
        <w:rPr>
          <w:rFonts w:ascii="Times New Roman" w:hAnsi="Times New Roman" w:cs="Times New Roman"/>
          <w:sz w:val="24"/>
          <w:szCs w:val="24"/>
        </w:rPr>
      </w:pPr>
    </w:p>
    <w:p w14:paraId="031DFB87" w14:textId="77777777" w:rsidR="00607665" w:rsidRPr="00607665" w:rsidRDefault="00607665" w:rsidP="00BD6C10">
      <w:pPr>
        <w:rPr>
          <w:rFonts w:ascii="Times New Roman" w:hAnsi="Times New Roman" w:cs="Times New Roman"/>
          <w:b/>
          <w:bCs/>
          <w:sz w:val="24"/>
          <w:szCs w:val="24"/>
        </w:rPr>
      </w:pPr>
    </w:p>
    <w:sectPr w:rsidR="00607665" w:rsidRPr="006076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383D5" w14:textId="77777777" w:rsidR="00D04788" w:rsidRDefault="00D04788" w:rsidP="00EC3D57">
      <w:r>
        <w:separator/>
      </w:r>
    </w:p>
  </w:endnote>
  <w:endnote w:type="continuationSeparator" w:id="0">
    <w:p w14:paraId="0E2E41B0" w14:textId="77777777" w:rsidR="00D04788" w:rsidRDefault="00D04788" w:rsidP="00EC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B3EFC" w14:textId="77777777" w:rsidR="00D04788" w:rsidRDefault="00D04788" w:rsidP="00EC3D57">
      <w:r>
        <w:separator/>
      </w:r>
    </w:p>
  </w:footnote>
  <w:footnote w:type="continuationSeparator" w:id="0">
    <w:p w14:paraId="0C8D61DB" w14:textId="77777777" w:rsidR="00D04788" w:rsidRDefault="00D04788" w:rsidP="00EC3D57">
      <w:r>
        <w:continuationSeparator/>
      </w:r>
    </w:p>
  </w:footnote>
  <w:footnote w:id="1">
    <w:p w14:paraId="485E05DF"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{"citationID":"azRkCs6u","properties":{"formattedCitation":"Dougherty, \\uc0\\u8220{}The Great American Single-Family Home Problem.\\uc0\\u8221{}","plainCitation":"Dougherty, “The Great American Single-Family Home Problem.”","noteIndex":6},"citationItems":[{"id":1722,"uris":["http://zotero.org/users/3438581/items/45RXF97Z"],"uri":["http://zotero.org/users/3438581/items/45RXF97Z"],"itemData":{"id":1722,"type":"article-newspaper","abstract":"Building more housing, more densely, could help address a widespread economic challenge. A fight over one lot in Berkeley, Calif., shows how tough that could be.","container-title":"The New York Times","ISSN":"0362-4331","language":"en-US","section":"Business","source":"NYTimes.com","title":"The Great American Single-Family Home Problem","URL":"https://www.nytimes.com/2017/12/01/business/economy/single-family-home.html","author":[{"family":"Dougherty","given":"Conor"}],"accessed":{"date-parts":[["2022",1,21]]},"issued":{"date-parts":[["2017",12,1]]}}}],"schema":"https://github.com/citation-style-language/schema/raw/master/csl-citation.json"} </w:instrText>
      </w:r>
      <w:r>
        <w:fldChar w:fldCharType="separate"/>
      </w:r>
      <w:r w:rsidRPr="00104E9B">
        <w:rPr>
          <w:szCs w:val="24"/>
        </w:rPr>
        <w:t>Dougherty, “The Great American Single-Family Home Problem.”</w:t>
      </w:r>
      <w:r>
        <w:fldChar w:fldCharType="end"/>
      </w:r>
    </w:p>
  </w:footnote>
  <w:footnote w:id="2">
    <w:p w14:paraId="5A140BBC"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{"citationID":"dvuGsecC","properties":{"formattedCitation":"McNee and Pojani, \\uc0\\u8220{}NIMBYism as a Barrier to Housing and Social Mix in San Francisco.\\uc0\\u8221{}","plainCitation":"McNee and Pojani, “NIMBYism as a Barrier to Housing and Social Mix in San Francisco.”","noteIndex":7},"citationItems":[{"id":1733,"uris":["http://zotero.org/users/3438581/items/SKVG66P7"],"uri":["http://zotero.org/users/3438581/items/SKVG66P7"],"itemData":{"id":1733,"type":"article-journal","abstract":"We explore the participation levels of NIMBY (‘Not In My Backyard’) proponents versus other voices at public hearings San Francisco, a city with an exceptionally dire housing crisis. Once very diverse, radical, and bohemian, San Francisco has become the most expensive city in the US, which caters to a wealthy minority—heavily connected to the tech industries of the neighboring Silicon Valley. Taking a qualitative approach, we review videos of planning commission meetings between 2018 and 2019 in San Francisco in which housing development proposals are considered. We find that NIMBYism continues to dominate the dialog at public hearings on development proposals. Planning meetings appear to be dominated by older, white, and financially stable residents, and this is a major (though not sole) barrier to the city’s social mix.","container-title":"Journal of Housing and the Built Environment","DOI":"10.1007/s10901-021-09857-6","ISSN":"1573-7772","journalAbbreviation":"J Hous and the Built Environ","language":"en","source":"Springer Link","title":"NIMBYism as a barrier to housing and social mix in San Francisco","URL":"https://doi.org/10.1007/s10901-021-09857-6","author":[{"family":"McNee","given":"Georgina"},{"family":"Pojani","given":"Dorina"}],"accessed":{"date-parts":[["2022",1,21]]},"issued":{"date-parts":[["2021",5,26]]}}}],"schema":"https://github.com/citation-style-language/schema/raw/master/csl-citation.json"} </w:instrText>
      </w:r>
      <w:r>
        <w:fldChar w:fldCharType="separate"/>
      </w:r>
      <w:r w:rsidRPr="000639DA">
        <w:rPr>
          <w:szCs w:val="24"/>
        </w:rPr>
        <w:t>McNee and Pojani, “NIMBYism as a Barrier to Housing and Social Mix in San Francisco.”</w:t>
      </w:r>
      <w:r>
        <w:fldChar w:fldCharType="end"/>
      </w:r>
    </w:p>
  </w:footnote>
  <w:footnote w:id="3">
    <w:p w14:paraId="4E130F53"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{"citationID":"zCFrkwnE","properties":{"formattedCitation":"Egan, \\uc0\\u8220{}The Economics of San Francisco Housing.\\uc0\\u8221{}","plainCitation":"Egan, “The Economics of San Francisco Housing.”","noteIndex":8},"citationItems":[{"id":1738,"uris":["http://zotero.org/users/3438581/items/59GXQ27K"],"uri":["http://zotero.org/users/3438581/items/59GXQ27K"],"itemData":{"id":1738,"type":"article-journal","language":"en","page":"22","source":"Zotero","title":"The Economics of San Francisco Housing","author":[{"family":"Egan","given":"Ted"}]}}],"schema":"https://github.com/citation-style-language/schema/raw/master/csl-citation.json"} </w:instrText>
      </w:r>
      <w:r>
        <w:fldChar w:fldCharType="separate"/>
      </w:r>
      <w:r w:rsidRPr="00117CC1">
        <w:rPr>
          <w:szCs w:val="24"/>
        </w:rPr>
        <w:t>Egan, “The Economics of San Francisco Housing.”</w:t>
      </w:r>
      <w:r>
        <w:fldChar w:fldCharType="end"/>
      </w:r>
    </w:p>
  </w:footnote>
  <w:footnote w:id="4">
    <w:p w14:paraId="4C3FCFCC"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{"citationID":"Den23fn1","properties":{"formattedCitation":"Glaeser and Gyourko, \\uc0\\u8220{}The Impact of Zoning on Housing Affordability.\\uc0\\u8221{}","plainCitation":"Glaeser and Gyourko, “The Impact of Zoning on Housing Affordability.”","noteIndex":8},"citationItems":[{"id":1735,"uris":["http://zotero.org/users/3438581/items/8THR49ED"],"uri":["http://zotero.org/users/3438581/items/8THR49ED"],"itemData":{"id":1735,"type":"report","abstract":"Does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fldChar w:fldCharType="separate"/>
      </w:r>
      <w:r w:rsidRPr="00117CC1">
        <w:rPr>
          <w:szCs w:val="24"/>
        </w:rPr>
        <w:t>Glaeser and Gyourko, “The Impact of Zoning on Housing Affordability.”</w:t>
      </w:r>
      <w:r>
        <w:fldChar w:fldCharType="end"/>
      </w:r>
    </w:p>
  </w:footnote>
  <w:footnote w:id="5">
    <w:p w14:paraId="5F5292DF" w14:textId="474DED81" w:rsidR="00EC3D57" w:rsidRDefault="00EC3D57">
      <w:pPr>
        <w:pStyle w:val="FootnoteText"/>
      </w:pPr>
      <w:r>
        <w:rPr>
          <w:rStyle w:val="FootnoteReference"/>
        </w:rPr>
        <w:footnoteRef/>
      </w:r>
      <w:r>
        <w:t xml:space="preserve"> </w:t>
      </w:r>
      <w:r>
        <w:fldChar w:fldCharType="begin"/>
      </w:r>
      <w:r w:rsidR="00104E9B">
        <w:instrText xml:space="preserve"> ADDIN ZOTERO_ITEM CSL_CITATION {"citationID":"G1jtYVTC","properties":{"formattedCitation":"Einstein, Glick, and Palmer, {\\i{}Neighborhood Defenders}.","plainCitation":"Einstein, Glick, and Palmer, Neighborhood Defenders.","noteIndex":1},"citationItems":[{"id":238,"uris":["http://zotero.org/users/3438581/items/CZNCATA5"],"uri":["http://zotero.org/users/3438581/items/CZNCATA5"],"itemData":{"id":238,"type":"book","abstract":"Since the collapse of the housing market in 2008, demand for housing has consistently outpaced supply in many US communities. The failure to construct sufficient housing - especially affordable housing - in desirable communities and neighborhoods comes with significant social, economic, and environmental costs. This book examines how local participatory land use institutions amplify the power of entrenched interests and privileged homeowners. The book draws on sweeping data to examine the dominance of land use politics by 'neighborhood defenders' - individuals who oppose new housing projects far more strongly than their broader communities and who are likely to be privileged on a variety of dimensions. Neighborhood defenders participate disproportionately and take advantage of land use regulations to restrict the construction of multifamily housing. The result is diminished housing stock and higher housing costs, with participatory institutions perversely reproducing inequality.","event-place":"Cambridge","ISBN":"978-1-108-47727-7","note":"DOI: 10.1017/9781108769495","publisher":"Cambridge University Press","publisher-place":"Cambridge","source":"Cambridge University Press","title":"Neighborhood Defenders: Participatory Politics and America's Housing Crisis","title-short":"Neighborhood Defenders","URL":"https://www.cambridge.org/core/books/neighborhood-defenders/0677F4F75667B490CBC7A98396DD527A","author":[{"family":"Einstein","given":"Katherine Levine"},{"family":"Glick","given":"David M."},{"family":"Palmer","given":"Maxwell"}],"accessed":{"date-parts":[["2022",1,21]]},"issued":{"date-parts":[["2019"]]}}}],"schema":"https://github.com/citation-style-language/schema/raw/master/csl-citation.json"} </w:instrText>
      </w:r>
      <w:r>
        <w:fldChar w:fldCharType="separate"/>
      </w:r>
      <w:r w:rsidR="00104E9B" w:rsidRPr="00104E9B">
        <w:rPr>
          <w:szCs w:val="24"/>
        </w:rPr>
        <w:t xml:space="preserve">Einstein, Glick, and Palmer, </w:t>
      </w:r>
      <w:r w:rsidR="00104E9B" w:rsidRPr="00104E9B">
        <w:rPr>
          <w:i/>
          <w:iCs/>
          <w:szCs w:val="24"/>
        </w:rPr>
        <w:t>Neighborhood Defenders</w:t>
      </w:r>
      <w:r w:rsidR="00104E9B" w:rsidRPr="00104E9B">
        <w:rPr>
          <w:szCs w:val="24"/>
        </w:rPr>
        <w:t>.</w:t>
      </w:r>
      <w:r>
        <w:fldChar w:fldCharType="end"/>
      </w:r>
    </w:p>
  </w:footnote>
  <w:footnote w:id="6">
    <w:p w14:paraId="3FE3B32B" w14:textId="7BE715A0" w:rsidR="00EC3D57" w:rsidRDefault="00EC3D57">
      <w:pPr>
        <w:pStyle w:val="FootnoteText"/>
      </w:pPr>
      <w:r>
        <w:rPr>
          <w:rStyle w:val="FootnoteReference"/>
        </w:rPr>
        <w:footnoteRef/>
      </w:r>
      <w:r>
        <w:t xml:space="preserve"> </w:t>
      </w:r>
      <w:r>
        <w:fldChar w:fldCharType="begin"/>
      </w:r>
      <w:r w:rsidR="00104E9B">
        <w:instrText xml:space="preserve"> ADDIN ZOTERO_ITEM CSL_CITATION {"citationID":"5iOcpQEp","properties":{"formattedCitation":"Schaffner, Rhodes, and Raja, {\\i{}Hometown Inequality}.","plainCitation":"Schaffner, Rhodes, and Raja, Hometown Inequality.","noteIndex":2},"citationItems":[{"id":1720,"uris":["http://zotero.org/users/3438581/items/CITNSSYS"],"uri":["http://zotero.org/users/3438581/items/CITNSSYS"],"itemData":{"id":1720,"type":"book","abstract":"Local governments play a central role in American democracy, providing essential services such as policing, water, and sanitation. Moreover, Americans express great confidence in their municipal governments. But is this confidence warranted? Using big data and a representative sample of American communities, this book provides the first systematic examination of racial and class inequalities in local politics. We find that non-whites and less-affluent residents are consistent losers in local democracy. Residents of color and those with lower incomes receive less representation from local elected officials than do whites and the affluent. Additionally, they are much less likely than privileged community members to have their preferences reflected in local government policy. Contrary to the popular assumption that governments that are \"closest\" govern best, we find that inequalities in representation are most severe in suburbs and small towns. Typical reforms do not seem to improve the situation, and we recommend new approaches.","ISBN":"978-1-108-48594-4","language":"en","note":"Google-Books-ID: ooLoDwAAQBAJ","number-of-pages":"277","publisher":"Cambridge University Press","source":"Google Books","title":"Hometown Inequality: Race, Class, and Representation in American Local Politics","title-short":"Hometown Inequality","author":[{"family":"Schaffner","given":"Brian F."},{"family":"Rhodes","given":"Jesse H."},{"family":"Raja","given":"Raymond J. La"}],"issued":{"date-parts":[["2020",7,9]]}}}],"schema":"https://github.com/citation-style-language/schema/raw/master/csl-citation.json"} </w:instrText>
      </w:r>
      <w:r>
        <w:fldChar w:fldCharType="separate"/>
      </w:r>
      <w:r w:rsidR="00104E9B" w:rsidRPr="00104E9B">
        <w:rPr>
          <w:szCs w:val="24"/>
        </w:rPr>
        <w:t xml:space="preserve">Schaffner, Rhodes, and Raja, </w:t>
      </w:r>
      <w:r w:rsidR="00104E9B" w:rsidRPr="00104E9B">
        <w:rPr>
          <w:i/>
          <w:iCs/>
          <w:szCs w:val="24"/>
        </w:rPr>
        <w:t>Hometown Inequality</w:t>
      </w:r>
      <w:r w:rsidR="00104E9B" w:rsidRPr="00104E9B">
        <w:rPr>
          <w:szCs w:val="24"/>
        </w:rPr>
        <w:t>.</w:t>
      </w:r>
      <w:r>
        <w:fldChar w:fldCharType="end"/>
      </w:r>
    </w:p>
  </w:footnote>
  <w:footnote w:id="7">
    <w:p w14:paraId="1E13A2A6" w14:textId="3974F558" w:rsidR="00EA00E8" w:rsidRDefault="00EA00E8">
      <w:pPr>
        <w:pStyle w:val="FootnoteText"/>
      </w:pPr>
      <w:r>
        <w:rPr>
          <w:rStyle w:val="FootnoteReference"/>
        </w:rPr>
        <w:footnoteRef/>
      </w:r>
      <w:r>
        <w:t xml:space="preserve"> </w:t>
      </w:r>
      <w:r>
        <w:fldChar w:fldCharType="begin"/>
      </w:r>
      <w:r w:rsidR="00104E9B">
        <w:instrText xml:space="preserve"> ADDIN ZOTERO_ITEM CSL_CITATION {"citationID":"VcIvSUFs","properties":{"formattedCitation":"Trounstine, {\\i{}Segregation by Design}.","plainCitation":"Trounstine, Segregation by Design.","noteIndex":3},"citationItems":[{"id":1,"uris":["http://zotero.org/users/3438581/items/HSZ24PAD"],"uri":["http://zotero.org/users/3438581/items/HSZ24PAD"],"itemData":{"id":1,"type":"book","abstract":"Segregation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fldChar w:fldCharType="separate"/>
      </w:r>
      <w:r w:rsidR="00104E9B" w:rsidRPr="00104E9B">
        <w:rPr>
          <w:szCs w:val="24"/>
        </w:rPr>
        <w:t xml:space="preserve">Trounstine, </w:t>
      </w:r>
      <w:r w:rsidR="00104E9B" w:rsidRPr="00104E9B">
        <w:rPr>
          <w:i/>
          <w:iCs/>
          <w:szCs w:val="24"/>
        </w:rPr>
        <w:t>Segregation by Design</w:t>
      </w:r>
      <w:r w:rsidR="00104E9B" w:rsidRPr="00104E9B">
        <w:rPr>
          <w:szCs w:val="24"/>
        </w:rPr>
        <w:t>.</w:t>
      </w:r>
      <w:r>
        <w:fldChar w:fldCharType="end"/>
      </w:r>
    </w:p>
  </w:footnote>
  <w:footnote w:id="8">
    <w:p w14:paraId="6E51B202" w14:textId="6F89F600" w:rsidR="00104E9B" w:rsidRDefault="00104E9B">
      <w:pPr>
        <w:pStyle w:val="FootnoteText"/>
      </w:pPr>
      <w:r>
        <w:rPr>
          <w:rStyle w:val="FootnoteReference"/>
        </w:rPr>
        <w:footnoteRef/>
      </w:r>
      <w:r>
        <w:t xml:space="preserve"> </w:t>
      </w:r>
      <w:r>
        <w:fldChar w:fldCharType="begin"/>
      </w:r>
      <w:r>
        <w:instrText xml:space="preserve"> ADDIN ZOTERO_ITEM CSL_CITATION {"citationID":"F29zGSuN","properties":{"formattedCitation":"Einstein, \\uc0\\u8220{}The Privileged Few.\\uc0\\u8221{}","plainCitation":"Einstein, “The Privileged Few.”","noteIndex":4},"citationItems":[{"id":1596,"uris":["http://zotero.org/users/3438581/items/UHSG3C7R"],"uri":["http://zotero.org/users/3438581/items/UHSG3C7R"],"itemData":{"id":1596,"type":"article-journal","abstract":"“Rethinking Exclusionary Zoning” provocatively claims that the movement to eliminate exclusionary zoning is misguided, and will create a worse set of social, economic, and political conditions than those currently produced by contemporary land-use regulations. In this response, I present several challenges to this claim. First, I demonstrate that “Rethinking Exclusionary Zoning” misses the well-documented political harms wrought by exclusionary zoning. Second, I illustrate that “Rethinking Exclusionary Zoning” misidentifies the central problems and solutions proposed by scholars and policy makers comprising the so-called Anti-EZ Project. These advocates seek fair and equitable land use—not the elimination of all regulations—as part of a broader housing policy agenda to increase the supply of housing in places that need it. They do not view local land-use reform as a panacea to urban inequality.","container-title":"Urban Affairs Review","DOI":"10.1177/1078087419884644","ISSN":"1078-0874","issue":"1","journalAbbreviation":"Urban Affairs Review","language":"en","note":"publisher: SAGE Publications Inc","page":"252-268","source":"SAGE Journals","title":"The Privileged Few: How Exclusionary Zoning Amplifies the Advantaged and Blocks New Housing—and What We Can Do About It","title-short":"The Privileged Few","volume":"57","author":[{"family":"Einstein","given":"Katherine Levine"}],"issued":{"date-parts":[["2021",1,1]]}}}],"schema":"https://github.com/citation-style-language/schema/raw/master/csl-citation.json"} </w:instrText>
      </w:r>
      <w:r>
        <w:fldChar w:fldCharType="separate"/>
      </w:r>
      <w:r w:rsidRPr="00104E9B">
        <w:rPr>
          <w:szCs w:val="24"/>
        </w:rPr>
        <w:t>Einstein, “The Privileged Few.”</w:t>
      </w:r>
      <w:r>
        <w:fldChar w:fldCharType="end"/>
      </w:r>
    </w:p>
  </w:footnote>
  <w:footnote w:id="9">
    <w:p w14:paraId="77CC2DAA" w14:textId="5E0967B2" w:rsidR="00104E9B" w:rsidRDefault="00104E9B">
      <w:pPr>
        <w:pStyle w:val="FootnoteText"/>
      </w:pPr>
      <w:r>
        <w:rPr>
          <w:rStyle w:val="FootnoteReference"/>
        </w:rPr>
        <w:footnoteRef/>
      </w:r>
      <w:r>
        <w:t xml:space="preserve"> </w:t>
      </w:r>
      <w:r>
        <w:fldChar w:fldCharType="begin"/>
      </w:r>
      <w:r>
        <w:instrText xml:space="preserve"> ADDIN ZOTERO_ITEM CSL_CITATION {"citationID":"5wqVpvuF","properties":{"formattedCitation":"Einstein, Palmer, and Glick, \\uc0\\u8220{}Who Participates in Local Government?\\uc0\\u8221{}","plainCitation":"Einstein, Palmer, and Glick, “Who Participates in Local Government?”","noteIndex":5},"citationItems":[{"id":1487,"uris":["http://zotero.org/users/3438581/items/UDTFXZD3"],"uri":["http://zotero.org/users/3438581/items/UDTFXZD3"],"itemData":{"id":1487,"type":"article-journal","abstract":"Scholars and policymakers have highlighted institutions that enable community participation as a potential buffer against existing political inequalities. Yet these venues may bias policy discussions in favor of an unrepresentative group of individuals. To explore who participates, we compile a novel data set by coding thousands of instances of citizens speaking at planning and zoning board meetings concerning housing development. We match individuals to a voter file to investigate local political participation in housing and development policy. We find that individuals who are older, male, longtime residents, voters in local elections, and homeowners are significantly more likely to participate in these meetings. These individuals overwhelmingly (and to a much greater degree than the general public) oppose new housing construction. These participatory inequalities have important policy implications and may be contributing to rising housing costs.","container-title":"Perspectives on Politics","DOI":"10.1017/S153759271800213X","ISSN":"1537-5927, 1541-0986","issue":"1","language":"en","note":"publisher: Cambridge University Press","page":"28-46","source":"Cambridge University Press","title":"Who Participates in Local Government? Evidence from Meeting Minutes","title-short":"Who Participates in Local Government?","volume":"17","author":[{"family":"Einstein","given":"Katherine Levine"},{"family":"Palmer","given":"Maxwell"},{"family":"Glick","given":"David M."}],"issued":{"date-parts":[["2019",3]]}}}],"schema":"https://github.com/citation-style-language/schema/raw/master/csl-citation.json"} </w:instrText>
      </w:r>
      <w:r>
        <w:fldChar w:fldCharType="separate"/>
      </w:r>
      <w:r w:rsidRPr="00104E9B">
        <w:rPr>
          <w:szCs w:val="24"/>
        </w:rPr>
        <w:t>Einstein, Palmer, and Glick, “Who Participates in Local Government?”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7D9F"/>
    <w:multiLevelType w:val="hybridMultilevel"/>
    <w:tmpl w:val="2A02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F7325"/>
    <w:multiLevelType w:val="hybridMultilevel"/>
    <w:tmpl w:val="0C265F22"/>
    <w:lvl w:ilvl="0" w:tplc="3410DA1E">
      <w:start w:val="1"/>
      <w:numFmt w:val="decimal"/>
      <w:lvlText w:val="%1."/>
      <w:lvlJc w:val="left"/>
      <w:pPr>
        <w:ind w:left="360" w:hanging="360"/>
      </w:pPr>
      <w:rPr>
        <w:rFonts w:ascii="Times New Roman" w:eastAsiaTheme="minorHAnsi"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7" w15:restartNumberingAfterBreak="0">
    <w:nsid w:val="4F2B6680"/>
    <w:multiLevelType w:val="hybridMultilevel"/>
    <w:tmpl w:val="207A5F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6"/>
  </w:num>
  <w:num w:numId="3">
    <w:abstractNumId w:val="2"/>
  </w:num>
  <w:num w:numId="4">
    <w:abstractNumId w:val="5"/>
  </w:num>
  <w:num w:numId="5">
    <w:abstractNumId w:val="4"/>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639DA"/>
    <w:rsid w:val="000B5937"/>
    <w:rsid w:val="00104E9B"/>
    <w:rsid w:val="00117CC1"/>
    <w:rsid w:val="0016727B"/>
    <w:rsid w:val="00192E31"/>
    <w:rsid w:val="001D1DD3"/>
    <w:rsid w:val="00203A07"/>
    <w:rsid w:val="0022161A"/>
    <w:rsid w:val="002225B0"/>
    <w:rsid w:val="002B2816"/>
    <w:rsid w:val="003C39EB"/>
    <w:rsid w:val="003C575D"/>
    <w:rsid w:val="00430D1D"/>
    <w:rsid w:val="0045069B"/>
    <w:rsid w:val="00466209"/>
    <w:rsid w:val="004A4737"/>
    <w:rsid w:val="005011A8"/>
    <w:rsid w:val="005D0698"/>
    <w:rsid w:val="00602F80"/>
    <w:rsid w:val="00607665"/>
    <w:rsid w:val="007A1E1B"/>
    <w:rsid w:val="007B1165"/>
    <w:rsid w:val="007C1B4C"/>
    <w:rsid w:val="007D79CE"/>
    <w:rsid w:val="00882605"/>
    <w:rsid w:val="00896123"/>
    <w:rsid w:val="008F6425"/>
    <w:rsid w:val="00917C68"/>
    <w:rsid w:val="0096790E"/>
    <w:rsid w:val="0097451A"/>
    <w:rsid w:val="0097607C"/>
    <w:rsid w:val="00A62C5E"/>
    <w:rsid w:val="00BD6C10"/>
    <w:rsid w:val="00BF1938"/>
    <w:rsid w:val="00BF4D88"/>
    <w:rsid w:val="00C03C83"/>
    <w:rsid w:val="00CA7A44"/>
    <w:rsid w:val="00D04788"/>
    <w:rsid w:val="00D92F2B"/>
    <w:rsid w:val="00E26BF9"/>
    <w:rsid w:val="00E35268"/>
    <w:rsid w:val="00E56C89"/>
    <w:rsid w:val="00EA00E8"/>
    <w:rsid w:val="00EC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10"/>
    <w:pPr>
      <w:spacing w:after="0" w:line="240" w:lineRule="auto"/>
    </w:pPr>
    <w:rPr>
      <w:rFonts w:ascii="Calibri" w:hAnsi="Calibri" w:cs="Calibri"/>
    </w:rPr>
  </w:style>
  <w:style w:type="paragraph" w:styleId="Heading1">
    <w:name w:val="heading 1"/>
    <w:next w:val="Normal"/>
    <w:link w:val="Heading1Char"/>
    <w:uiPriority w:val="9"/>
    <w:qFormat/>
    <w:rsid w:val="0097607C"/>
    <w:pP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97607C"/>
    <w:pPr>
      <w:outlineLvl w:val="1"/>
    </w:pPr>
    <w:rPr>
      <w:rFonts w:ascii="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semiHidden/>
    <w:unhideWhenUsed/>
    <w:rsid w:val="00EC3D57"/>
    <w:rPr>
      <w:sz w:val="20"/>
      <w:szCs w:val="20"/>
    </w:rPr>
  </w:style>
  <w:style w:type="character" w:customStyle="1" w:styleId="FootnoteTextChar">
    <w:name w:val="Footnote Text Char"/>
    <w:basedOn w:val="DefaultParagraphFont"/>
    <w:link w:val="FootnoteText"/>
    <w:uiPriority w:val="99"/>
    <w:semiHidden/>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97607C"/>
    <w:rPr>
      <w:rFonts w:ascii="Times New Roman" w:hAnsi="Times New Roman" w:cs="Times New Roman"/>
      <w:sz w:val="24"/>
      <w:szCs w:val="24"/>
      <w:u w:val="single"/>
    </w:rPr>
  </w:style>
  <w:style w:type="character" w:customStyle="1" w:styleId="Heading1Char">
    <w:name w:val="Heading 1 Char"/>
    <w:basedOn w:val="DefaultParagraphFont"/>
    <w:link w:val="Heading1"/>
    <w:uiPriority w:val="9"/>
    <w:rsid w:val="0097607C"/>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2</cp:revision>
  <dcterms:created xsi:type="dcterms:W3CDTF">2022-02-18T13:34:00Z</dcterms:created>
  <dcterms:modified xsi:type="dcterms:W3CDTF">2022-02-18T13:34:00Z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id="JUXZO5A8"/&gt;&lt;style id="http://www.zotero.org/styles/chicago-note-bibliography" locale="en-US" hasBibliography="1" bibliographyStyleHasBeenSet="0"/&gt;&lt;prefs&gt;&lt;pref name="fieldType" value="Field"/&gt;&lt;p</vt:lpwstr>
  </property>
  <property fmtid="{D5CDD505-2E9C-101B-9397-08002B2CF9AE}" pid="3" name="ZOTERO_PREF_2">
    <vt:lpwstr>ref name="automaticJournalAbbreviations" value="true"/&gt;&lt;pref name="noteType" value="1"/&gt;&lt;/prefs&gt;&lt;/data&gt;</vt:lpwstr>
  </property>
</Properties>
</file>