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CPMCoverTitle"/>
        <w:spacing w:before="4760"/>
      </w:pPr>
      <w:r>
        <w:t>BETTERCP/M 1.0</w:t>
      </w:r>
    </w:p>
    <w:p>
      <w:pPr>
        <w:pStyle w:val="BCPMCoverSubtitle"/>
      </w:pPr>
      <w:r>
        <w:t>USER'S GUIDE</w:t>
      </w:r>
    </w:p>
    <w:p>
      <w:pPr>
        <w:pStyle w:val="BCPMCoverDetail"/>
        <w:spacing w:before="880"/>
      </w:pPr>
      <w:r>
        <w:t>BETA EDITION</w:t>
      </w:r>
    </w:p>
    <w:p>
      <w:pPr>
        <w:pStyle w:val="BCPMCoverDetail"/>
        <w:spacing w:before="2840"/>
      </w:pPr>
      <w:r>
        <w:t>*HUMONGOUS* CP/M ARCHIVES</w:t>
      </w:r>
    </w:p>
    <w:p>
      <w:pPr>
        <w:pStyle w:val="BCPMCoverDetail"/>
        <w:spacing w:before="80"/>
      </w:pPr>
      <w:r>
        <w:t>2026</w:t>
      </w:r>
    </w:p>
    <w:p>
      <w:pPr>
        <w:sectPr>
          <w:headerReference w:type="default" r:id="rId9"/>
          <w:footerReference w:type="default" r:id="rId12"/>
          <w:pgSz w:w="12240" w:h="15840"/>
          <w:pgMar w:top="360" w:right="1080" w:bottom="360" w:left="1080" w:header="0" w:footer="720" w:gutter="0"/>
          <w:cols w:space="720"/>
          <w:docGrid w:linePitch="360"/>
        </w:sectPr>
      </w:pPr>
    </w:p>
    <w:p>
      <w:pPr>
        <w:pStyle w:val="BCPMTitle"/>
        <w:spacing w:before="2560" w:after="520"/>
      </w:pPr>
      <w:r>
        <w:t>BETTERCP/M 1.0</w:t>
      </w:r>
    </w:p>
    <w:p>
      <w:pPr>
        <w:pStyle w:val="BCPMSubtitle"/>
      </w:pPr>
      <w:r>
        <w:t>USER'S GUIDE</w:t>
      </w:r>
    </w:p>
    <w:p>
      <w:pPr>
        <w:pStyle w:val="BCPMFrontMatter"/>
        <w:spacing w:before="1840"/>
      </w:pPr>
      <w:r>
        <w:t>Beta Edition</w:t>
      </w:r>
    </w:p>
    <w:p>
      <w:pPr>
        <w:pStyle w:val="BCPMFrontMatter"/>
        <w:spacing w:before="100"/>
      </w:pPr>
      <w:r>
        <w:t>September 2026</w:t>
      </w:r>
    </w:p>
    <w:p>
      <w:pPr>
        <w:pStyle w:val="BCPMFrontMatter"/>
        <w:spacing w:before="2560"/>
      </w:pPr>
      <w:r>
        <w:rPr>
          <w:b/>
        </w:rPr>
        <w:t>*HUMONGOUS* CP/M ARCHIVES</w:t>
      </w:r>
    </w:p>
    <w:p>
      <w:pPr>
        <w:sectPr>
          <w:headerReference w:type="default" r:id="rId10"/>
          <w:footerReference w:type="default" r:id="rId13"/>
          <w:pgSz w:w="12240" w:h="15840"/>
          <w:pgMar w:top="1152" w:right="1080" w:bottom="1152" w:left="1080" w:header="0" w:footer="720" w:gutter="0"/>
          <w:cols w:space="720"/>
          <w:docGrid w:linePitch="360"/>
        </w:sectPr>
      </w:pPr>
    </w:p>
    <w:p>
      <w:pPr>
        <w:pStyle w:val="BCPMTOCTitle"/>
      </w:pPr>
      <w:r>
        <w:t>TABLE OF CONTENTS</w:t>
      </w:r>
    </w:p>
    <w:p>
      <w:pPr>
        <w:pStyle w:val="BCPMTOCBook"/>
      </w:pPr>
      <w:r>
        <w:t>BETTERCP/M 1.0 USER'S GUIDE</w:t>
      </w:r>
    </w:p>
    <w:p>
      <w:pPr>
        <w:pStyle w:val="BCPMTOCChapter"/>
      </w:pPr>
      <w:r>
        <w:t>1. INTRODUCTION</w:t>
      </w:r>
    </w:p>
    <w:p>
      <w:pPr>
        <w:pStyle w:val="BCPMTOCSection"/>
      </w:pPr>
      <w:r>
        <w:t>1.1 What is BetterCP/M?</w:t>
      </w:r>
    </w:p>
    <w:p>
      <w:pPr>
        <w:pStyle w:val="BCPMTOCSection"/>
      </w:pPr>
      <w:r>
        <w:t>1.2 Starting BetterCP/M</w:t>
      </w:r>
    </w:p>
    <w:p>
      <w:pPr>
        <w:pStyle w:val="BCPMTOCSection"/>
      </w:pPr>
      <w:r>
        <w:t>1.3 The Command Environment</w:t>
      </w:r>
    </w:p>
    <w:p>
      <w:pPr>
        <w:pStyle w:val="BCPMTOCSection"/>
      </w:pPr>
      <w:r>
        <w:t>1.4 Using This Manual</w:t>
      </w:r>
    </w:p>
    <w:p>
      <w:pPr>
        <w:pStyle w:val="BCPMTOCChapter"/>
      </w:pPr>
      <w:r>
        <w:t>2. DRIVES, USER AREAS, AND FILES</w:t>
      </w:r>
    </w:p>
    <w:p>
      <w:pPr>
        <w:pStyle w:val="BCPMTOCSection"/>
      </w:pPr>
      <w:r>
        <w:t>2.1 Drives and User Areas</w:t>
      </w:r>
    </w:p>
    <w:p>
      <w:pPr>
        <w:pStyle w:val="BCPMTOCSection"/>
      </w:pPr>
      <w:r>
        <w:t>2.2 File Names and File Specifications</w:t>
      </w:r>
    </w:p>
    <w:p>
      <w:pPr>
        <w:pStyle w:val="BCPMTOCSection"/>
      </w:pPr>
      <w:r>
        <w:t>2.3 Wildcards</w:t>
      </w:r>
    </w:p>
    <w:p>
      <w:pPr>
        <w:pStyle w:val="BCPMTOCSection"/>
      </w:pPr>
      <w:r>
        <w:t>2.4 File Attributes</w:t>
      </w:r>
    </w:p>
    <w:p>
      <w:pPr>
        <w:pStyle w:val="BCPMTOCSection"/>
      </w:pPr>
      <w:r>
        <w:t>2.5 Changing Media</w:t>
      </w:r>
    </w:p>
    <w:p>
      <w:pPr>
        <w:pStyle w:val="BCPMTOCSection"/>
      </w:pPr>
      <w:r>
        <w:t>2.6 Disk Status and Capacity</w:t>
      </w:r>
    </w:p>
    <w:p>
      <w:pPr>
        <w:pStyle w:val="BCPMTOCChapter"/>
      </w:pPr>
      <w:r>
        <w:t>3. USING THE COMMAND ENVIRONMENT</w:t>
      </w:r>
    </w:p>
    <w:p>
      <w:pPr>
        <w:pStyle w:val="BCPMTOCSection"/>
      </w:pPr>
      <w:r>
        <w:t>3.1 The BetterCP/M Prompt</w:t>
      </w:r>
    </w:p>
    <w:p>
      <w:pPr>
        <w:pStyle w:val="BCPMTOCSection"/>
      </w:pPr>
      <w:r>
        <w:t>3.2 Entering Commands</w:t>
      </w:r>
    </w:p>
    <w:p>
      <w:pPr>
        <w:pStyle w:val="BCPMTOCSection"/>
      </w:pPr>
      <w:r>
        <w:t>3.3 Command-Line Editing</w:t>
      </w:r>
    </w:p>
    <w:p>
      <w:pPr>
        <w:pStyle w:val="BCPMTOCSection"/>
      </w:pPr>
      <w:r>
        <w:t>3.4 Command History</w:t>
      </w:r>
    </w:p>
    <w:p>
      <w:pPr>
        <w:pStyle w:val="BCPMTOCSection"/>
      </w:pPr>
      <w:r>
        <w:t>3.5 Selecting Drives and User Areas</w:t>
      </w:r>
    </w:p>
    <w:p>
      <w:pPr>
        <w:pStyle w:val="BCPMTOCSection"/>
      </w:pPr>
      <w:r>
        <w:t>3.6 Resident and Transient Commands</w:t>
      </w:r>
    </w:p>
    <w:p>
      <w:pPr>
        <w:pStyle w:val="BCPMTOCSection"/>
      </w:pPr>
      <w:r>
        <w:t>3.7 CPX Commands</w:t>
      </w:r>
    </w:p>
    <w:p>
      <w:pPr>
        <w:pStyle w:val="BCPMTOCSection"/>
      </w:pPr>
      <w:r>
        <w:t>3.8 Command Search and Program Execution</w:t>
      </w:r>
    </w:p>
    <w:p>
      <w:pPr>
        <w:pStyle w:val="BCPMTOCSection"/>
      </w:pPr>
      <w:r>
        <w:t>3.9 Terminating Commands and Programs</w:t>
      </w:r>
    </w:p>
    <w:p>
      <w:pPr>
        <w:pStyle w:val="BCPMTOCChapter"/>
      </w:pPr>
      <w:r>
        <w:t>4. BASIC COMMANDS</w:t>
      </w:r>
    </w:p>
    <w:p>
      <w:pPr>
        <w:pStyle w:val="BCPMTOCSection"/>
      </w:pPr>
      <w:r>
        <w:t>4.1 DIR — Directory</w:t>
      </w:r>
    </w:p>
    <w:p>
      <w:pPr>
        <w:pStyle w:val="BCPMTOCSection"/>
      </w:pPr>
      <w:r>
        <w:t>4.2 ERA — Erase Files</w:t>
      </w:r>
    </w:p>
    <w:p>
      <w:pPr>
        <w:pStyle w:val="BCPMTOCSection"/>
      </w:pPr>
      <w:r>
        <w:t>4.3 REN — Rename Files</w:t>
      </w:r>
    </w:p>
    <w:p>
      <w:pPr>
        <w:pStyle w:val="BCPMTOCSection"/>
      </w:pPr>
      <w:r>
        <w:t>4.4 TYPE — Display a File</w:t>
      </w:r>
    </w:p>
    <w:p>
      <w:pPr>
        <w:pStyle w:val="BCPMTOCSection"/>
      </w:pPr>
      <w:r>
        <w:t>4.5 USER — Select User Area</w:t>
      </w:r>
    </w:p>
    <w:p>
      <w:pPr>
        <w:pStyle w:val="BCPMTOCSection"/>
      </w:pPr>
      <w:r>
        <w:t>4.6 COPY — Copy Files</w:t>
      </w:r>
    </w:p>
    <w:p>
      <w:pPr>
        <w:pStyle w:val="BCPMTOCSection"/>
      </w:pPr>
      <w:r>
        <w:t>4.7 MOVE — Move Files</w:t>
      </w:r>
    </w:p>
    <w:p>
      <w:pPr>
        <w:pStyle w:val="BCPMTOCSection"/>
      </w:pPr>
      <w:r>
        <w:t>4.8 CLS — Clear Screen</w:t>
      </w:r>
    </w:p>
    <w:p>
      <w:pPr>
        <w:pStyle w:val="BCPMTOCSection"/>
      </w:pPr>
      <w:r>
        <w:t>4.9 VER — Display Version Information</w:t>
      </w:r>
    </w:p>
    <w:p>
      <w:pPr>
        <w:pStyle w:val="BCPMTOCSection"/>
      </w:pPr>
      <w:r>
        <w:t>4.10 SAVE — Save Memory to a File</w:t>
      </w:r>
    </w:p>
    <w:p>
      <w:pPr>
        <w:pStyle w:val="BCPMTOCSection"/>
      </w:pPr>
      <w:r>
        <w:t>4.11 GET — Load a File into Memory</w:t>
      </w:r>
    </w:p>
    <w:p>
      <w:pPr>
        <w:pStyle w:val="BCPMTOCSection"/>
      </w:pPr>
      <w:r>
        <w:t>4.12 GO — Execute at 0100H</w:t>
      </w:r>
    </w:p>
    <w:p>
      <w:pPr>
        <w:pStyle w:val="BCPMTOCSection"/>
      </w:pPr>
      <w:r>
        <w:t>4.13 JUMP — Execute at an Address</w:t>
      </w:r>
    </w:p>
    <w:p>
      <w:pPr>
        <w:pStyle w:val="BCPMTOCSection"/>
      </w:pPr>
      <w:r>
        <w:t>4.14 PEEK / P — Display Memory</w:t>
      </w:r>
    </w:p>
    <w:p>
      <w:pPr>
        <w:pStyle w:val="BCPMTOCSection"/>
      </w:pPr>
      <w:r>
        <w:t>4.15 POKE — Modify Memory</w:t>
      </w:r>
    </w:p>
    <w:p>
      <w:pPr>
        <w:pStyle w:val="BCPMTOCChapter"/>
      </w:pPr>
      <w:r>
        <w:t>5. BATCH PROCESSING</w:t>
      </w:r>
    </w:p>
    <w:p>
      <w:pPr>
        <w:pStyle w:val="BCPMTOCSection"/>
      </w:pPr>
      <w:r>
        <w:t>5.1 SUBMIT</w:t>
      </w:r>
    </w:p>
    <w:p>
      <w:pPr>
        <w:pStyle w:val="BCPMTOCSection"/>
      </w:pPr>
      <w:r>
        <w:t>5.2 SUB Files</w:t>
      </w:r>
    </w:p>
    <w:p>
      <w:pPr>
        <w:pStyle w:val="BCPMTOCSection"/>
      </w:pPr>
      <w:r>
        <w:t>5.3 Parameters and Substitution</w:t>
      </w:r>
    </w:p>
    <w:p>
      <w:pPr>
        <w:pStyle w:val="BCPMTOCSection"/>
      </w:pPr>
      <w:r>
        <w:t>5.4 XSUB</w:t>
      </w:r>
    </w:p>
    <w:p>
      <w:pPr>
        <w:pStyle w:val="BCPMTOCSection"/>
      </w:pPr>
      <w:r>
        <w:t>5.5 Batch Execution and Termination</w:t>
      </w:r>
    </w:p>
    <w:p>
      <w:pPr>
        <w:pStyle w:val="BCPMTOCSection"/>
      </w:pPr>
      <w:r>
        <w:t>5.6 Examples</w:t>
      </w:r>
    </w:p>
    <w:p>
      <w:pPr>
        <w:pStyle w:val="BCPMTOCChapter"/>
      </w:pPr>
      <w:r>
        <w:t>6. CPX AND RSX EXTENSIONS</w:t>
      </w:r>
    </w:p>
    <w:p>
      <w:pPr>
        <w:pStyle w:val="BCPMTOCSection"/>
      </w:pPr>
      <w:r>
        <w:t>6.1 BetterCP/M Extensions</w:t>
      </w:r>
    </w:p>
    <w:p>
      <w:pPr>
        <w:pStyle w:val="BCPMTOCSection"/>
      </w:pPr>
      <w:r>
        <w:t>6.2 CPXs</w:t>
      </w:r>
    </w:p>
    <w:p>
      <w:pPr>
        <w:pStyle w:val="BCPMTOCSection"/>
      </w:pPr>
      <w:r>
        <w:t>6.3 Listing CPXs</w:t>
      </w:r>
    </w:p>
    <w:p>
      <w:pPr>
        <w:pStyle w:val="BCPMTOCSection"/>
      </w:pPr>
      <w:r>
        <w:t>6.4 Loading and Unloading CPXs</w:t>
      </w:r>
    </w:p>
    <w:p>
      <w:pPr>
        <w:pStyle w:val="BCPMTOCSection"/>
      </w:pPr>
      <w:r>
        <w:t>6.5 RSXs</w:t>
      </w:r>
    </w:p>
    <w:p>
      <w:pPr>
        <w:pStyle w:val="BCPMTOCSection"/>
      </w:pPr>
      <w:r>
        <w:t>6.6 Listing RSXs</w:t>
      </w:r>
    </w:p>
    <w:p>
      <w:pPr>
        <w:pStyle w:val="BCPMTOCSection"/>
      </w:pPr>
      <w:r>
        <w:t>6.7 Loading and Unloading RSXs</w:t>
      </w:r>
    </w:p>
    <w:p>
      <w:pPr>
        <w:pStyle w:val="BCPMTOCSection"/>
      </w:pPr>
      <w:r>
        <w:t>6.8 Extension Order and Memory Use</w:t>
      </w:r>
    </w:p>
    <w:p>
      <w:pPr>
        <w:pStyle w:val="BCPMTOCSection"/>
      </w:pPr>
      <w:r>
        <w:t>6.9 Warm Boot and Extension Persistence</w:t>
      </w:r>
    </w:p>
    <w:p>
      <w:pPr>
        <w:pStyle w:val="BCPMTOCSection"/>
      </w:pPr>
      <w:r>
        <w:t>6.10 Recovery</w:t>
      </w:r>
    </w:p>
    <w:p>
      <w:pPr>
        <w:pStyle w:val="BCPMTOCChapter"/>
      </w:pPr>
      <w:r>
        <w:t>7. CONFIGURING BETTERCP/M</w:t>
      </w:r>
    </w:p>
    <w:p>
      <w:pPr>
        <w:pStyle w:val="BCPMTOCSection"/>
      </w:pPr>
      <w:r>
        <w:t>7.1 CONFIG</w:t>
      </w:r>
    </w:p>
    <w:p>
      <w:pPr>
        <w:pStyle w:val="BCPMTOCSection"/>
      </w:pPr>
      <w:r>
        <w:t>7.2 Active and Saved Configuration</w:t>
      </w:r>
    </w:p>
    <w:p>
      <w:pPr>
        <w:pStyle w:val="BCPMTOCSection"/>
      </w:pPr>
      <w:r>
        <w:t>7.3 Applying and Saving Changes</w:t>
      </w:r>
    </w:p>
    <w:p>
      <w:pPr>
        <w:pStyle w:val="BCPMTOCSection"/>
      </w:pPr>
      <w:r>
        <w:t>7.4 System Devices</w:t>
      </w:r>
    </w:p>
    <w:p>
      <w:pPr>
        <w:pStyle w:val="BCPMTOCSection"/>
      </w:pPr>
      <w:r>
        <w:t>7.5 Keyboard and Console Settings</w:t>
      </w:r>
    </w:p>
    <w:p>
      <w:pPr>
        <w:pStyle w:val="BCPMTOCSection"/>
      </w:pPr>
      <w:r>
        <w:t>7.6 Printer and List-Device Settings</w:t>
      </w:r>
    </w:p>
    <w:p>
      <w:pPr>
        <w:pStyle w:val="BCPMTOCSection"/>
      </w:pPr>
      <w:r>
        <w:t>7.7 Serial Configuration</w:t>
      </w:r>
    </w:p>
    <w:p>
      <w:pPr>
        <w:pStyle w:val="BCPMTOCSection"/>
      </w:pPr>
      <w:r>
        <w:t>7.8 Disk Configuration</w:t>
      </w:r>
    </w:p>
    <w:p>
      <w:pPr>
        <w:pStyle w:val="BCPMTOCSection"/>
      </w:pPr>
      <w:r>
        <w:t>7.9 Startup Command</w:t>
      </w:r>
    </w:p>
    <w:p>
      <w:pPr>
        <w:pStyle w:val="BCPMTOCSection"/>
      </w:pPr>
      <w:r>
        <w:t>7.10 Platform-Specific Options</w:t>
      </w:r>
    </w:p>
    <w:p>
      <w:pPr>
        <w:pStyle w:val="BCPMTOCSection"/>
      </w:pPr>
      <w:r>
        <w:t>7.11 Configuration Recovery</w:t>
      </w:r>
    </w:p>
    <w:p>
      <w:pPr>
        <w:pStyle w:val="BCPMTOCChapter"/>
      </w:pPr>
      <w:r>
        <w:t>8. DISK OPERATIONS</w:t>
      </w:r>
    </w:p>
    <w:p>
      <w:pPr>
        <w:pStyle w:val="BCPMTOCSection"/>
      </w:pPr>
      <w:r>
        <w:t>8.1 DUP — Disk Utility Program</w:t>
      </w:r>
    </w:p>
    <w:p>
      <w:pPr>
        <w:pStyle w:val="BCPMTOCSection"/>
      </w:pPr>
      <w:r>
        <w:t>8.2 Disk Formats</w:t>
      </w:r>
    </w:p>
    <w:p>
      <w:pPr>
        <w:pStyle w:val="BCPMTOCSection"/>
      </w:pPr>
      <w:r>
        <w:t>8.3 Inspecting Disks</w:t>
      </w:r>
    </w:p>
    <w:p>
      <w:pPr>
        <w:pStyle w:val="BCPMTOCSection"/>
      </w:pPr>
      <w:r>
        <w:t>8.4 Preparing and Formatting Media</w:t>
      </w:r>
    </w:p>
    <w:p>
      <w:pPr>
        <w:pStyle w:val="BCPMTOCSection"/>
      </w:pPr>
      <w:r>
        <w:t>8.5 Copying Disks</w:t>
      </w:r>
    </w:p>
    <w:p>
      <w:pPr>
        <w:pStyle w:val="BCPMTOCSection"/>
      </w:pPr>
      <w:r>
        <w:t>8.6 Other DUP Operations</w:t>
      </w:r>
    </w:p>
    <w:p>
      <w:pPr>
        <w:pStyle w:val="BCPMTOCSection"/>
      </w:pPr>
      <w:r>
        <w:t>8.7 Unsupported Formats and Operations</w:t>
      </w:r>
    </w:p>
    <w:p>
      <w:pPr>
        <w:pStyle w:val="BCPMTOCSection"/>
      </w:pPr>
      <w:r>
        <w:t>8.8 Safe Media Handling</w:t>
      </w:r>
    </w:p>
    <w:p>
      <w:pPr>
        <w:pStyle w:val="BCPMTOCChapter"/>
      </w:pPr>
      <w:r>
        <w:t>9. DATE AND TIME</w:t>
      </w:r>
    </w:p>
    <w:p>
      <w:pPr>
        <w:pStyle w:val="BCPMTOCSection"/>
      </w:pPr>
      <w:r>
        <w:t>9.1 BetterCP/M Clock Support</w:t>
      </w:r>
    </w:p>
    <w:p>
      <w:pPr>
        <w:pStyle w:val="BCPMTOCSection"/>
      </w:pPr>
      <w:r>
        <w:t>9.2 TIME</w:t>
      </w:r>
    </w:p>
    <w:p>
      <w:pPr>
        <w:pStyle w:val="BCPMTOCSection"/>
      </w:pPr>
      <w:r>
        <w:t>9.3 Displaying the Date and Time</w:t>
      </w:r>
    </w:p>
    <w:p>
      <w:pPr>
        <w:pStyle w:val="BCPMTOCSection"/>
      </w:pPr>
      <w:r>
        <w:t>9.4 Setting the Date and Time</w:t>
      </w:r>
    </w:p>
    <w:p>
      <w:pPr>
        <w:pStyle w:val="BCPMTOCSection"/>
      </w:pPr>
      <w:r>
        <w:t>9.5 Read-Only Clock Providers</w:t>
      </w:r>
    </w:p>
    <w:p>
      <w:pPr>
        <w:pStyle w:val="BCPMTOCSection"/>
      </w:pPr>
      <w:r>
        <w:t>9.6 P2DOS Compatibility</w:t>
      </w:r>
    </w:p>
    <w:p>
      <w:pPr>
        <w:pStyle w:val="BCPMTOCChapter"/>
      </w:pPr>
      <w:r>
        <w:t>10. INSTALLING BETTERCP/M</w:t>
      </w:r>
    </w:p>
    <w:p>
      <w:pPr>
        <w:pStyle w:val="BCPMTOCSection"/>
      </w:pPr>
      <w:r>
        <w:t>10.1 BetterCP/M Distribution Media</w:t>
      </w:r>
    </w:p>
    <w:p>
      <w:pPr>
        <w:pStyle w:val="BCPMTOCSection"/>
      </w:pPr>
      <w:r>
        <w:t>10.2 Preparing a System Disk</w:t>
      </w:r>
    </w:p>
    <w:p>
      <w:pPr>
        <w:pStyle w:val="BCPMTOCSection"/>
      </w:pPr>
      <w:r>
        <w:t>10.3 Installing BetterCP/M with SYSGEN</w:t>
      </w:r>
    </w:p>
    <w:p>
      <w:pPr>
        <w:pStyle w:val="BCPMTOCSection"/>
      </w:pPr>
      <w:r>
        <w:t>10.4 Preserving Files During Installation</w:t>
      </w:r>
    </w:p>
    <w:p>
      <w:pPr>
        <w:pStyle w:val="BCPMTOCSection"/>
      </w:pPr>
      <w:r>
        <w:t>10.5 Booting the Installed System</w:t>
      </w:r>
    </w:p>
    <w:p>
      <w:pPr>
        <w:pStyle w:val="BCPMTOCSection"/>
      </w:pPr>
      <w:r>
        <w:t>10.6 Installation Problems and Recovery</w:t>
      </w:r>
    </w:p>
    <w:p>
      <w:pPr>
        <w:pStyle w:val="BCPMTOCChapter"/>
      </w:pPr>
      <w:r>
        <w:t>11. MESSAGES AND TROUBLESHOOTING</w:t>
      </w:r>
    </w:p>
    <w:p>
      <w:pPr>
        <w:pStyle w:val="BCPMTOCSection"/>
      </w:pPr>
      <w:r>
        <w:t>11.1 Command Errors</w:t>
      </w:r>
    </w:p>
    <w:p>
      <w:pPr>
        <w:pStyle w:val="BCPMTOCSection"/>
      </w:pPr>
      <w:r>
        <w:t>11.2 File and Disk Errors</w:t>
      </w:r>
    </w:p>
    <w:p>
      <w:pPr>
        <w:pStyle w:val="BCPMTOCSection"/>
      </w:pPr>
      <w:r>
        <w:t>11.3 Configuration Errors</w:t>
      </w:r>
    </w:p>
    <w:p>
      <w:pPr>
        <w:pStyle w:val="BCPMTOCSection"/>
      </w:pPr>
      <w:r>
        <w:t>11.4 CPX/RSX Errors</w:t>
      </w:r>
    </w:p>
    <w:p>
      <w:pPr>
        <w:pStyle w:val="BCPMTOCSection"/>
      </w:pPr>
      <w:r>
        <w:t>11.5 Startup and Boot Problems</w:t>
      </w:r>
    </w:p>
    <w:p>
      <w:pPr>
        <w:pStyle w:val="BCPMTOCSection"/>
      </w:pPr>
      <w:r>
        <w:t>11.6 Recovery Procedures</w:t>
      </w:r>
    </w:p>
    <w:p>
      <w:pPr>
        <w:pStyle w:val="BCPMTOCBook"/>
      </w:pPr>
      <w:r>
        <w:t>APPENDIXES</w:t>
      </w:r>
    </w:p>
    <w:p>
      <w:pPr>
        <w:pStyle w:val="BCPMTOCChapter"/>
      </w:pPr>
      <w:r>
        <w:t>A. Command Summary</w:t>
      </w:r>
    </w:p>
    <w:p>
      <w:pPr>
        <w:pStyle w:val="BCPMTOCChapter"/>
      </w:pPr>
      <w:r>
        <w:t>B. Command-Line Editing Keys</w:t>
      </w:r>
    </w:p>
    <w:p>
      <w:pPr>
        <w:pStyle w:val="BCPMTOCChapter"/>
      </w:pPr>
      <w:r>
        <w:t>C. File Attributes</w:t>
      </w:r>
    </w:p>
    <w:p>
      <w:pPr>
        <w:pStyle w:val="BCPMTOCChapter"/>
      </w:pPr>
      <w:r>
        <w:t>D. Control Characters</w:t>
      </w:r>
    </w:p>
    <w:p>
      <w:pPr>
        <w:pStyle w:val="BCPMTOCChapter"/>
      </w:pPr>
      <w:r>
        <w:t>E. BetterCP/M 1.0 Compatibility Notes</w:t>
      </w:r>
    </w:p>
    <w:p>
      <w:pPr>
        <w:pStyle w:val="BCPMTOCChapter"/>
      </w:pPr>
      <w:r>
        <w:t>F. Error Messages</w:t>
      </w:r>
    </w:p>
    <w:p>
      <w:pPr>
        <w:pStyle w:val="BCPMTOCChapter"/>
      </w:pPr>
      <w:r>
        <w:t>G. Glossary</w:t>
      </w:r>
    </w:p>
    <w:sectPr w:rsidR="00FC693F" w:rsidRPr="0006063C" w:rsidSect="00034616">
      <w:headerReference w:type="default" r:id="rId11"/>
      <w:footerReference w:type="default" r:id="rId14"/>
      <w:pgSz w:w="12240" w:h="15840"/>
      <w:pgMar w:top="1152" w:right="1080" w:bottom="1152" w:left="108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ettercpm_cover_tex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="240" w:lineRule="auto"/>
      <w:ind w:left="0"/>
      <w:jc w:val="left"/>
    </w:pPr>
    <w:rPr>
      <w:rFonts w:ascii="Courier New" w:hAnsi="Courier New" w:eastAsia="Courier New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CPMCoverTitle">
    <w:name w:val="BCPM Cover Title"/>
    <w:pPr>
      <w:keepNext w:val="0"/>
      <w:spacing w:before="0" w:after="140" w:line="240" w:lineRule="auto"/>
      <w:ind w:left="0"/>
      <w:jc w:val="center"/>
    </w:pPr>
    <w:rPr>
      <w:rFonts w:ascii="Courier New" w:hAnsi="Courier New" w:eastAsia="Courier New"/>
      <w:b/>
      <w:color w:val="000000"/>
      <w:sz w:val="40"/>
    </w:rPr>
  </w:style>
  <w:style w:type="paragraph" w:customStyle="1" w:styleId="BCPMCoverSubtitle">
    <w:name w:val="BCPM Cover Subtitle"/>
    <w:pPr>
      <w:keepNext w:val="0"/>
      <w:spacing w:before="0" w:after="0" w:line="240" w:lineRule="auto"/>
      <w:ind w:left="0"/>
      <w:jc w:val="center"/>
    </w:pPr>
    <w:rPr>
      <w:rFonts w:ascii="Courier New" w:hAnsi="Courier New" w:eastAsia="Courier New"/>
      <w:b/>
      <w:color w:val="000000"/>
      <w:sz w:val="36"/>
    </w:rPr>
  </w:style>
  <w:style w:type="paragraph" w:customStyle="1" w:styleId="BCPMCoverDetail">
    <w:name w:val="BCPM Cover Detail"/>
    <w:pPr>
      <w:keepNext w:val="0"/>
      <w:spacing w:before="0" w:after="0" w:line="240" w:lineRule="auto"/>
      <w:ind w:left="0"/>
      <w:jc w:val="center"/>
    </w:pPr>
    <w:rPr>
      <w:rFonts w:ascii="Courier New" w:hAnsi="Courier New" w:eastAsia="Courier New"/>
      <w:b w:val="0"/>
      <w:color w:val="000000"/>
      <w:sz w:val="21"/>
    </w:rPr>
  </w:style>
  <w:style w:type="paragraph" w:customStyle="1" w:styleId="BCPMTitle">
    <w:name w:val="BCPM Title"/>
    <w:basedOn w:val="Title"/>
    <w:pPr>
      <w:keepNext w:val="0"/>
      <w:spacing w:before="0" w:after="280" w:line="240" w:lineRule="auto"/>
      <w:ind w:left="0"/>
      <w:jc w:val="center"/>
      <w:pBdr>
        <w:top w:val="nil"/>
        <w:left w:val="nil"/>
        <w:bottom w:val="nil"/>
        <w:right w:val="nil"/>
        <w:between w:val="nil"/>
        <w:bar w:val="nil"/>
      </w:pBdr>
    </w:pPr>
    <w:rPr>
      <w:rFonts w:ascii="Courier New" w:hAnsi="Courier New" w:eastAsia="Courier New"/>
      <w:b/>
      <w:color w:val="000000"/>
      <w:sz w:val="36"/>
    </w:rPr>
  </w:style>
  <w:style w:type="paragraph" w:customStyle="1" w:styleId="BCPMSubtitle">
    <w:name w:val="BCPM Subtitle"/>
    <w:pPr>
      <w:keepNext w:val="0"/>
      <w:spacing w:before="0" w:after="0" w:line="240" w:lineRule="auto"/>
      <w:ind w:left="0"/>
      <w:jc w:val="center"/>
    </w:pPr>
    <w:rPr>
      <w:rFonts w:ascii="Courier New" w:hAnsi="Courier New" w:eastAsia="Courier New"/>
      <w:b/>
      <w:color w:val="000000"/>
      <w:sz w:val="32"/>
    </w:rPr>
  </w:style>
  <w:style w:type="paragraph" w:customStyle="1" w:styleId="BCPMFrontMatter">
    <w:name w:val="BCPM Front Matter"/>
    <w:pPr>
      <w:keepNext w:val="0"/>
      <w:spacing w:before="0" w:after="0" w:line="240" w:lineRule="auto"/>
      <w:ind w:left="0"/>
      <w:jc w:val="center"/>
    </w:pPr>
    <w:rPr>
      <w:rFonts w:ascii="Courier New" w:hAnsi="Courier New" w:eastAsia="Courier New"/>
      <w:b w:val="0"/>
      <w:color w:val="000000"/>
      <w:sz w:val="21"/>
    </w:rPr>
  </w:style>
  <w:style w:type="paragraph" w:customStyle="1" w:styleId="BCPMTOCTitle">
    <w:name w:val="BCPM TOC Title"/>
    <w:pPr>
      <w:keepNext/>
      <w:spacing w:before="0" w:after="280" w:line="240" w:lineRule="auto"/>
      <w:ind w:left="0"/>
      <w:jc w:val="left"/>
    </w:pPr>
    <w:rPr>
      <w:rFonts w:ascii="Courier New" w:hAnsi="Courier New" w:eastAsia="Courier New"/>
      <w:b/>
      <w:color w:val="000000"/>
      <w:sz w:val="28"/>
    </w:rPr>
  </w:style>
  <w:style w:type="paragraph" w:customStyle="1" w:styleId="BCPMTOCBook">
    <w:name w:val="BCPM TOC Book"/>
    <w:pPr>
      <w:keepNext/>
      <w:spacing w:before="180" w:after="100" w:line="240" w:lineRule="auto"/>
      <w:ind w:left="360"/>
      <w:jc w:val="left"/>
    </w:pPr>
    <w:rPr>
      <w:rFonts w:ascii="Courier New" w:hAnsi="Courier New" w:eastAsia="Courier New"/>
      <w:b/>
      <w:color w:val="000000"/>
      <w:sz w:val="23"/>
    </w:rPr>
  </w:style>
  <w:style w:type="paragraph" w:customStyle="1" w:styleId="BCPMTOCChapter">
    <w:name w:val="BCPM TOC Chapter"/>
    <w:pPr>
      <w:keepNext/>
      <w:spacing w:before="100" w:after="20" w:line="240" w:lineRule="auto"/>
      <w:ind w:left="720"/>
      <w:jc w:val="left"/>
    </w:pPr>
    <w:rPr>
      <w:rFonts w:ascii="Courier New" w:hAnsi="Courier New" w:eastAsia="Courier New"/>
      <w:b/>
      <w:color w:val="000000"/>
      <w:sz w:val="21"/>
    </w:rPr>
  </w:style>
  <w:style w:type="paragraph" w:customStyle="1" w:styleId="BCPMTOCSection">
    <w:name w:val="BCPM TOC Section"/>
    <w:pPr>
      <w:keepNext w:val="0"/>
      <w:spacing w:before="0" w:after="20" w:line="240" w:lineRule="auto"/>
      <w:ind w:left="1152"/>
      <w:jc w:val="left"/>
    </w:pPr>
    <w:rPr>
      <w:rFonts w:ascii="Courier New" w:hAnsi="Courier New" w:eastAsia="Courier New"/>
      <w:b w:val="0"/>
      <w:color w:val="000000"/>
      <w:sz w:val="20"/>
    </w:rPr>
  </w:style>
  <w:style w:type="paragraph" w:customStyle="1" w:styleId="BCPMChapter">
    <w:name w:val="BCPM Chapter"/>
    <w:pPr>
      <w:keepNext/>
      <w:spacing w:before="240" w:after="160" w:line="240" w:lineRule="auto"/>
      <w:ind w:left="0"/>
      <w:jc w:val="left"/>
    </w:pPr>
    <w:rPr>
      <w:rFonts w:ascii="Courier New" w:hAnsi="Courier New" w:eastAsia="Courier New"/>
      <w:b/>
      <w:color w:val="000000"/>
      <w:sz w:val="28"/>
    </w:rPr>
  </w:style>
  <w:style w:type="paragraph" w:customStyle="1" w:styleId="BCPMSection">
    <w:name w:val="BCPM Section"/>
    <w:pPr>
      <w:keepNext/>
      <w:spacing w:before="180" w:after="100" w:line="240" w:lineRule="auto"/>
      <w:ind w:left="0"/>
      <w:jc w:val="left"/>
    </w:pPr>
    <w:rPr>
      <w:rFonts w:ascii="Courier New" w:hAnsi="Courier New" w:eastAsia="Courier New"/>
      <w:b/>
      <w:color w:val="000000"/>
      <w:sz w:val="22"/>
    </w:rPr>
  </w:style>
  <w:style w:type="paragraph" w:customStyle="1" w:styleId="BCPMSubsection">
    <w:name w:val="BCPM Subsection"/>
    <w:pPr>
      <w:keepNext/>
      <w:spacing w:before="140" w:after="80" w:line="240" w:lineRule="auto"/>
      <w:ind w:left="0"/>
      <w:jc w:val="left"/>
    </w:pPr>
    <w:rPr>
      <w:rFonts w:ascii="Courier New" w:hAnsi="Courier New" w:eastAsia="Courier New"/>
      <w:b/>
      <w:color w:val="000000"/>
      <w:sz w:val="21"/>
    </w:rPr>
  </w:style>
  <w:style w:type="paragraph" w:customStyle="1" w:styleId="BCPMBody">
    <w:name w:val="BCPM Body"/>
    <w:pPr>
      <w:keepNext w:val="0"/>
      <w:spacing w:before="0" w:after="100" w:line="240" w:lineRule="auto"/>
      <w:ind w:left="0"/>
      <w:jc w:val="left"/>
    </w:pPr>
    <w:rPr>
      <w:rFonts w:ascii="Courier New" w:hAnsi="Courier New" w:eastAsia="Courier New"/>
      <w:b w:val="0"/>
      <w:color w:val="000000"/>
      <w:sz w:val="21"/>
    </w:rPr>
  </w:style>
  <w:style w:type="paragraph" w:customStyle="1" w:styleId="BCPMSyntax">
    <w:name w:val="BCPM Syntax"/>
    <w:pPr>
      <w:keepNext w:val="0"/>
      <w:spacing w:before="60" w:after="60" w:line="240" w:lineRule="auto"/>
      <w:ind w:left="720"/>
      <w:jc w:val="left"/>
    </w:pPr>
    <w:rPr>
      <w:rFonts w:ascii="Courier New" w:hAnsi="Courier New" w:eastAsia="Courier New"/>
      <w:b w:val="0"/>
      <w:color w:val="000000"/>
      <w:sz w:val="20"/>
    </w:rPr>
  </w:style>
  <w:style w:type="paragraph" w:customStyle="1" w:styleId="BCPMConsole">
    <w:name w:val="BCPM Console"/>
    <w:pPr>
      <w:keepNext w:val="0"/>
      <w:spacing w:before="60" w:after="60" w:line="240" w:lineRule="auto"/>
      <w:ind w:left="720"/>
      <w:jc w:val="left"/>
    </w:pPr>
    <w:rPr>
      <w:rFonts w:ascii="Courier New" w:hAnsi="Courier New" w:eastAsia="Courier New"/>
      <w:b w:val="0"/>
      <w:color w:val="000000"/>
      <w:sz w:val="20"/>
    </w:rPr>
  </w:style>
  <w:style w:type="paragraph" w:customStyle="1" w:styleId="BCPMNote">
    <w:name w:val="BCPM Note"/>
    <w:pPr>
      <w:keepNext w:val="0"/>
      <w:spacing w:before="80" w:after="80" w:line="240" w:lineRule="auto"/>
      <w:ind w:left="360"/>
      <w:jc w:val="left"/>
    </w:pPr>
    <w:rPr>
      <w:rFonts w:ascii="Courier New" w:hAnsi="Courier New" w:eastAsia="Courier New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BetterCP/M 1.0 User's Guide Prototype</dc:title>
  <dc:subject>Cover, title page, and table of contents visual prototype</dc:subject>
  <dc:creator>*HUMONGOUS* CP/M ARCHIVES</dc:creator>
  <cp:keywords>BetterCP/M, CP/M, User's Guide, prototype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