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C++11  Knowledge Point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09" w:right="0" w:hanging="360"/>
        <w:rPr>
          <w:sz w:val="48"/>
          <w:szCs w:val="48"/>
        </w:rPr>
      </w:pPr>
      <w:r>
        <w:rPr>
          <w:sz w:val="48"/>
          <w:szCs w:val="48"/>
        </w:rPr>
        <w:t xml:space="preserve">Chapter 2 </w:t>
      </w:r>
    </w:p>
    <w:p>
      <w:pPr>
        <w:pStyle w:val="Normal"/>
        <w:numPr>
          <w:ilvl w:val="1"/>
          <w:numId w:val="1"/>
        </w:numPr>
        <w:ind w:left="1418" w:right="0" w:hanging="360"/>
        <w:rPr>
          <w:rFonts w:ascii="Bitstream Charter" w:hAnsi="Bitstream Charter"/>
          <w:sz w:val="30"/>
          <w:szCs w:val="30"/>
        </w:rPr>
      </w:pPr>
      <w:r>
        <w:rPr>
          <w:rFonts w:ascii="Bitstream Charter" w:hAnsi="Bitstream Charter"/>
          <w:sz w:val="30"/>
          <w:szCs w:val="30"/>
        </w:rPr>
        <w:t>2.4.1. References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2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Terminology: const Reference is a Reference to const.Technically speaking, there are no const references.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3"/>
        </w:numPr>
        <w:ind w:left="1418" w:right="0" w:hanging="360"/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2.4.2.  Pointers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It may be helpful to think of pointers and references to const as pointers or references “that think they point or refer to const.”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Like a references to const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const pointers: pointer that is itself const.the address that it holds can not be changed.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2.4.3.  Top-Level const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6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top-level const to indicate that the pointer itself is a const.</w:t>
      </w:r>
    </w:p>
    <w:p>
      <w:pPr>
        <w:pStyle w:val="Normal"/>
        <w:numPr>
          <w:ilvl w:val="1"/>
          <w:numId w:val="6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pointer can point to a const object</w:t>
      </w:r>
      <w:r>
        <w:rPr>
          <w:rFonts w:ascii="WenQuanYi Zen Hei" w:hAnsi="WenQuanYi Zen Hei" w:cs="Lohit Devanagari"/>
          <w:color w:val="00000A"/>
          <w:sz w:val="24"/>
          <w:szCs w:val="24"/>
          <w:lang w:val="en-US" w:eastAsia="zh-CN" w:bidi="hi-IN"/>
        </w:rPr>
        <w:t>，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we refer to that const as a low-level const.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2.4.4. constexpr and Constant Expressions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constant expression is an expression whose value cannot change and that can be evaluated at compile time.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Literal Types:the arithmetic, reference, and pointer types are literal types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Variables defined inside a function ordinarily are not stored at a fixed address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Hence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,we cannot use a constexpr pointer to point to such variables.On the other hand, the address of an object defined outside of any function is a constant expression.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Pointers and constexpr: constexpr specifier applies to the pointer.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e.g. const int *p = nullptr; constexpr int *q = nullptr;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 is a pointer to const int,q is a const pointer to int.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5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.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1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. 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Type Aliases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8"/>
        </w:numPr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two ways: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e.g.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double wages;   // wages is a synonym for double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wages base, *p; // base is a synonym for double, p for double*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e.g.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SI = Sales_item;  // SI is a synonym for Sales_item</w:t>
      </w:r>
    </w:p>
    <w:p>
      <w:pPr>
        <w:pStyle w:val="Normal"/>
        <w:numPr>
          <w:ilvl w:val="1"/>
          <w:numId w:val="8"/>
        </w:numPr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Pointers, const, and Type Aliases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char *pstring;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 pstring cstr = 0; // cstr is a constant pointer to char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const pstring *ps;      // ps is a pointer to a constant pointer to char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base type in these declarations is const pstring.</w:t>
      </w:r>
    </w:p>
    <w:p>
      <w:pPr>
        <w:pStyle w:val="Normal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2.5.2. The auto Type Specifier</w:t>
      </w:r>
    </w:p>
    <w:p>
      <w:pPr>
        <w:pStyle w:val="Normal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numPr>
          <w:ilvl w:val="3"/>
          <w:numId w:val="9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By implication ,a variable that uses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auto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as its type specifier must</w:t>
        <w:t xml:space="preserve"> have an initializer.</w:t>
      </w:r>
    </w:p>
    <w:p>
      <w:pPr>
        <w:pStyle w:val="Normal"/>
        <w:numPr>
          <w:ilvl w:val="3"/>
          <w:numId w:val="9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When we define multiple variables using auto,initializers for all the</w:t>
        <w:t xml:space="preserve"> variables in the declaration must have types that are consistent with each other.</w:t>
      </w:r>
    </w:p>
    <w:p>
      <w:pPr>
        <w:pStyle w:val="Normal"/>
        <w:numPr>
          <w:ilvl w:val="3"/>
          <w:numId w:val="9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compiler adjusts the type to conform to normal initialization rules: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3333"/>
          <w:sz w:val="24"/>
          <w:szCs w:val="24"/>
          <w:lang w:val="en-US" w:eastAsia="zh-CN" w:bidi="hi-IN"/>
        </w:rPr>
        <w:t xml:space="preserve">First: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when we use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reference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,we are really use the object to which the reference refers.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3333"/>
          <w:sz w:val="24"/>
          <w:szCs w:val="24"/>
          <w:lang w:val="en-US" w:eastAsia="zh-CN" w:bidi="hi-IN"/>
        </w:rPr>
        <w:t xml:space="preserve">Second: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auto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ordinarily ignores top-level consts; low-level consts, such as when an initializer is a pointer to const, are</w:t>
        <w:t xml:space="preserve"> kept.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>Third: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if we want the deduced type to have a top-level const, we must say so explicitly. 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e.g. const auto f = ci;// deduced type of ci is int; f has type const int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 xml:space="preserve">Forth: 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When we ask for a reference to an auto-deduced type, top-level consts in the initializer are not ignored. As usual, consts are not top-level when we bind a</w:t>
        <w:t>reference to an initializer.</w:t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2.5.3. The </w:t>
      </w:r>
      <w:r>
        <w:rPr>
          <w:rFonts w:eastAsia="WenQuanYi Zen Hei Sharp" w:cs="Lohit Devanagari" w:ascii="Bitstream Charter" w:hAnsi="Bitstream Charter"/>
          <w:color w:val="006600"/>
          <w:sz w:val="30"/>
          <w:szCs w:val="30"/>
          <w:lang w:val="en-US" w:eastAsia="zh-CN" w:bidi="hi-IN"/>
        </w:rPr>
        <w:t>decltype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Type Specifier</w:t>
      </w:r>
    </w:p>
    <w:p>
      <w:pPr>
        <w:pStyle w:val="Normal"/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returns the type of its operand. The compiler analyzes the expression to determine its</w:t>
        <w:t xml:space="preserve"> type but does not evaluate the expression.</w:t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way decltype handles top-level const and references differs subtly from the</w:t>
        <w:t xml:space="preserve"> way auto does.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When the expression to which we apply decltype is a variable,</w:t>
        <w:t xml:space="preserve"> decltype returns the type of that variable, including top-level const and</w:t>
        <w:t xml:space="preserve"> references.</w:t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decltype and References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When we apply decltype to an expression that is not a variable, we get the type</w:t>
        <w:t xml:space="preserve"> that that expression yields.Generally speaking, decltype returns a reference type for expressions that yield objects that can stand on the left-hand side</w:t>
        <w:t xml:space="preserve"> of the assignment</w:t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decltype of a parenthesized variable is always a reference(diff with auto)</w:t>
      </w:r>
    </w:p>
    <w:p>
      <w:pPr>
        <w:pStyle w:val="Normal"/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2.6.1. Defining the Sales_data Type</w:t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Bitstream Charte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enQuanYi Zen Hei">
    <w:charset w:val="01"/>
    <w:family w:val="roman"/>
    <w:pitch w:val="variable"/>
  </w:font>
  <w:font w:name="WenQuanYi Zen Hei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  <w:color w:val="00000A"/>
      <w:sz w:val="30"/>
      <w:szCs w:val="30"/>
      <w:lang w:val="en-US" w:eastAsia="zh-CN" w:bidi="hi-IN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ascii="Bitstream Charter" w:hAnsi="Bitstream Charter" w:eastAsia="WenQuanYi Zen Hei Sharp" w:cs="OpenSymbol"/>
      <w:color w:val="00000A"/>
      <w:sz w:val="30"/>
      <w:szCs w:val="30"/>
      <w:lang w:val="en-US" w:eastAsia="zh-CN" w:bidi="hi-IN"/>
    </w:rPr>
  </w:style>
  <w:style w:type="character" w:styleId="NumberingSymbols">
    <w:name w:val="Numbering Symbols"/>
    <w:rPr>
      <w:rFonts w:ascii="Liberation Serif" w:hAnsi="Liberation Serif"/>
      <w:color w:val="000000"/>
      <w:sz w:val="24"/>
      <w:szCs w:val="24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  <w:color w:val="00000A"/>
      <w:sz w:val="30"/>
      <w:szCs w:val="30"/>
    </w:rPr>
  </w:style>
  <w:style w:type="character" w:styleId="ListLabel9">
    <w:name w:val="ListLabel 9"/>
    <w:rPr>
      <w:sz w:val="24"/>
      <w:szCs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2015-03-31T22:02:51Z</dcterms:created>
  <dc:creator>King </dc:creator>
  <dc:language>en-US</dc:language>
  <cp:revision>0</cp:revision>
</cp:coreProperties>
</file>