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764E47" w:rsidRDefault="009D77F0">
      <w:pPr>
        <w:rPr>
          <w:b/>
        </w:rPr>
      </w:pPr>
      <w:r>
        <w:rPr>
          <w:b/>
        </w:rPr>
        <w:t>Introduction</w:t>
      </w:r>
    </w:p>
    <w:p w14:paraId="00000002" w14:textId="3D425EA6" w:rsidR="00764E47" w:rsidRDefault="009D77F0">
      <w:pPr>
        <w:ind w:firstLine="720"/>
      </w:pPr>
      <w:r>
        <w:t>Infants who are born small for gestational age, or who experience early growth faltering have the opportunity for catch-up growth should environmental conditions improve (Boersma and Wit 1997; Singhal 2017; Wells 2018; Metcalfe and Monaghan 2001). Catch-up</w:t>
      </w:r>
      <w:r>
        <w:t xml:space="preserve"> growth is marked by rapid weight or height gain following a period of restricted development </w:t>
      </w:r>
      <w:r>
        <w:t>(Boersma and Wit 1997</w:t>
      </w:r>
      <w:r>
        <w:t xml:space="preserve">; </w:t>
      </w:r>
      <w:proofErr w:type="spellStart"/>
      <w:r>
        <w:t>Hornick</w:t>
      </w:r>
      <w:proofErr w:type="spellEnd"/>
      <w:r>
        <w:t xml:space="preserve"> et al. 2000)</w:t>
      </w:r>
      <w:r>
        <w:t>. During a catch-up phase, elevated growth rates allow a child to either approach or reach their genetically predetermi</w:t>
      </w:r>
      <w:r>
        <w:t xml:space="preserve">ned, “normal” growth curve </w:t>
      </w:r>
      <w:r>
        <w:t>(Boersma and Wit 1997)</w:t>
      </w:r>
      <w:r>
        <w:t xml:space="preserve">. </w:t>
      </w:r>
      <w:commentRangeStart w:id="0"/>
      <w:ins w:id="1" w:author="Calen Patrick Ryan" w:date="2021-07-30T13:28:00Z">
        <w:r w:rsidR="003A216A">
          <w:t>However, t</w:t>
        </w:r>
      </w:ins>
      <w:del w:id="2" w:author="Calen Patrick Ryan" w:date="2021-07-30T13:28:00Z">
        <w:r w:rsidDel="003A216A">
          <w:delText>T</w:delText>
        </w:r>
      </w:del>
      <w:r>
        <w:t xml:space="preserve">here is evidence that such accelerated growth may carry deleterious long-term health effects, suggesting a physiological cost of growth </w:t>
      </w:r>
      <w:r>
        <w:t>(Singhal 2017; Metcalfe and Monaghan 2001; Wells 2018)</w:t>
      </w:r>
      <w:r>
        <w:t xml:space="preserve">. </w:t>
      </w:r>
      <w:commentRangeEnd w:id="0"/>
      <w:r w:rsidR="003A216A">
        <w:rPr>
          <w:rStyle w:val="CommentReference"/>
        </w:rPr>
        <w:commentReference w:id="0"/>
      </w:r>
      <w:commentRangeStart w:id="3"/>
      <w:r>
        <w:t>In this pape</w:t>
      </w:r>
      <w:r>
        <w:t>r we investigate how these costs may present in terms of epigenetic age during adulthood</w:t>
      </w:r>
      <w:commentRangeEnd w:id="3"/>
      <w:r w:rsidR="003A216A">
        <w:rPr>
          <w:rStyle w:val="CommentReference"/>
        </w:rPr>
        <w:commentReference w:id="3"/>
      </w:r>
    </w:p>
    <w:p w14:paraId="00000003" w14:textId="77777777" w:rsidR="00764E47" w:rsidRDefault="00764E47"/>
    <w:p w14:paraId="00000004" w14:textId="77777777" w:rsidR="00764E47" w:rsidRDefault="009D77F0">
      <w:r>
        <w:tab/>
      </w:r>
      <w:commentRangeStart w:id="4"/>
      <w:r>
        <w:t>The idea that growth carries a biological cost is supported by life history theory, which treats energy as a finite resource that must be partitioned to fitness comp</w:t>
      </w:r>
      <w:r>
        <w:t xml:space="preserve">onents. Organisms differentially allocate energy between growth, survival, or reproduction </w:t>
      </w:r>
      <w:r>
        <w:t>(Jones 2011)</w:t>
      </w:r>
      <w:r>
        <w:t>. The optimal allocation strategy is under selection to maximize fitness. During a period of catch-up growth, it is expected that energy would be diverte</w:t>
      </w:r>
      <w:r>
        <w:t xml:space="preserve">d away from cell maintenance. Such a process favors immediate survival and early reproduction over future survival, thus decreasing long-term life expectancy </w:t>
      </w:r>
      <w:r>
        <w:t>(Wells 2018; Metcalfe and Monaghan 2001)</w:t>
      </w:r>
      <w:r>
        <w:t xml:space="preserve">.  </w:t>
      </w:r>
      <w:commentRangeEnd w:id="4"/>
      <w:r w:rsidR="003A216A">
        <w:rPr>
          <w:rStyle w:val="CommentReference"/>
        </w:rPr>
        <w:commentReference w:id="4"/>
      </w:r>
    </w:p>
    <w:p w14:paraId="00000005" w14:textId="77777777" w:rsidR="00764E47" w:rsidRDefault="00764E47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0000006" w14:textId="77777777" w:rsidR="00764E47" w:rsidRDefault="009D77F0">
      <w:r>
        <w:tab/>
      </w:r>
      <w:commentRangeStart w:id="5"/>
      <w:r>
        <w:t>To measure a possible cost of growth, we will look a</w:t>
      </w:r>
      <w:r>
        <w:t xml:space="preserve">t adult epigenetic age and determine if individuals who experienced childhood catch-up growth appear biologically older than expected. </w:t>
      </w:r>
      <w:commentRangeEnd w:id="5"/>
      <w:r w:rsidR="003A216A">
        <w:rPr>
          <w:rStyle w:val="CommentReference"/>
        </w:rPr>
        <w:commentReference w:id="5"/>
      </w:r>
      <w:r>
        <w:t xml:space="preserve">Epigenetic age, or </w:t>
      </w:r>
      <w:proofErr w:type="spellStart"/>
      <w:r>
        <w:t>DNAm</w:t>
      </w:r>
      <w:proofErr w:type="spellEnd"/>
      <w:r>
        <w:t xml:space="preserve"> age, is measured by the proportion of methylated CpG sites within the DNA of a given sample </w:t>
      </w:r>
      <w:r>
        <w:t>(Ryan</w:t>
      </w:r>
      <w:r>
        <w:t xml:space="preserve"> 2021; Horvath and Raj 2018)</w:t>
      </w:r>
      <w:r>
        <w:t xml:space="preserve">. DNA methylation occurs at predictable rates, allowing for an accurate estimate of chronological age, and a proxy for predicting life-cycle changes </w:t>
      </w:r>
      <w:r>
        <w:t>(Ryan 2021)</w:t>
      </w:r>
      <w:r>
        <w:t xml:space="preserve"> </w:t>
      </w:r>
      <w:proofErr w:type="spellStart"/>
      <w:r>
        <w:t>Bocklandt</w:t>
      </w:r>
      <w:proofErr w:type="spellEnd"/>
      <w:r>
        <w:t xml:space="preserve"> et al 2011). Deviations from chronological age, however, </w:t>
      </w:r>
      <w:r>
        <w:t xml:space="preserve">do occur. An individual who appears epigenetically older than anticipated displays positive age acceleration-- a phenomenon which predicts mortality risk among adults </w:t>
      </w:r>
      <w:r>
        <w:t xml:space="preserve">(Horvath and Raj 2018; Ryan 2021; </w:t>
      </w:r>
      <w:proofErr w:type="spellStart"/>
      <w:r>
        <w:t>Simpkin</w:t>
      </w:r>
      <w:proofErr w:type="spellEnd"/>
      <w:r>
        <w:t xml:space="preserve"> et al. 2016</w:t>
      </w:r>
      <w:proofErr w:type="gramStart"/>
      <w:r>
        <w:t>; )</w:t>
      </w:r>
      <w:proofErr w:type="gramEnd"/>
      <w:r>
        <w:t>.</w:t>
      </w:r>
    </w:p>
    <w:p w14:paraId="00000007" w14:textId="77777777" w:rsidR="00764E47" w:rsidRDefault="00764E47"/>
    <w:p w14:paraId="00000008" w14:textId="77777777" w:rsidR="00764E47" w:rsidRDefault="009D77F0">
      <w:pPr>
        <w:ind w:firstLine="720"/>
      </w:pPr>
      <w:r>
        <w:t xml:space="preserve">Epigenetic age increases more </w:t>
      </w:r>
      <w:r>
        <w:t xml:space="preserve">rapidly during periods of </w:t>
      </w:r>
      <w:proofErr w:type="gramStart"/>
      <w:r>
        <w:t>growth, and</w:t>
      </w:r>
      <w:proofErr w:type="gramEnd"/>
      <w:r>
        <w:t xml:space="preserve"> is associated with certain childhood developmental changes </w:t>
      </w:r>
      <w:r>
        <w:t xml:space="preserve">(Horvath and Raj 2018; </w:t>
      </w:r>
      <w:proofErr w:type="spellStart"/>
      <w:r>
        <w:t>Simpkin</w:t>
      </w:r>
      <w:proofErr w:type="spellEnd"/>
      <w:r>
        <w:t xml:space="preserve"> et al. 2016; 2017)</w:t>
      </w:r>
      <w:r>
        <w:t>. Childhood and adolescent accelerated epigenetic age can persist into adulthood, where it predicts elevated m</w:t>
      </w:r>
      <w:r>
        <w:t xml:space="preserve">ortality </w:t>
      </w:r>
      <w:r>
        <w:t>(Horvath and Raj 2018)</w:t>
      </w:r>
      <w:r>
        <w:t xml:space="preserve">. There is also evidence to suggest that early catch-up growth is indicative of </w:t>
      </w:r>
      <w:proofErr w:type="spellStart"/>
      <w:r>
        <w:t>non communicable</w:t>
      </w:r>
      <w:proofErr w:type="spellEnd"/>
      <w:r>
        <w:t xml:space="preserve"> disease risk and a shorter lifespan </w:t>
      </w:r>
      <w:r>
        <w:t>(Metcalfe and Monaghan 2001; Singhal 2017; Wells 2018)</w:t>
      </w:r>
      <w:r>
        <w:t>. It has been acknowledged, however, t</w:t>
      </w:r>
      <w:r>
        <w:t xml:space="preserve">hat the relationship between catch-up growth and life expectancy is difficult to measure because of both confounding variables and ethical concerns </w:t>
      </w:r>
      <w:r>
        <w:t>(Lee, Monaghan, and Metcalfe 2013; Boersma and Wit 1997)</w:t>
      </w:r>
      <w:r>
        <w:t>. Our study aims to answer this question by relating</w:t>
      </w:r>
      <w:r>
        <w:t xml:space="preserve"> catch-up growth to positive age acceleration with data from the </w:t>
      </w:r>
      <w:commentRangeStart w:id="6"/>
      <w:r>
        <w:t>Cebu Longitudinal Health and Nutrition Survey</w:t>
      </w:r>
      <w:commentRangeEnd w:id="6"/>
      <w:r w:rsidR="003A216A">
        <w:rPr>
          <w:rStyle w:val="CommentReference"/>
        </w:rPr>
        <w:commentReference w:id="6"/>
      </w:r>
      <w:r>
        <w:t xml:space="preserve">. We predict a positive relationship between early growth rate and epigenetic age in adulthood. This association would indicate a biological cost </w:t>
      </w:r>
      <w:r>
        <w:t xml:space="preserve">of growth, and a life-history tradeoff between cell maintenance and development. </w:t>
      </w:r>
    </w:p>
    <w:p w14:paraId="00000009" w14:textId="77777777" w:rsidR="00764E47" w:rsidRDefault="00764E47"/>
    <w:p w14:paraId="4879E722" w14:textId="483B1084" w:rsidR="002762F6" w:rsidRDefault="002762F6">
      <w:pPr>
        <w:rPr>
          <w:ins w:id="7" w:author="Calen Patrick Ryan" w:date="2021-07-30T13:38:00Z"/>
        </w:rPr>
      </w:pPr>
      <w:ins w:id="8" w:author="Calen Patrick Ryan" w:date="2021-07-30T13:38:00Z">
        <w:r>
          <w:lastRenderedPageBreak/>
          <w:t xml:space="preserve">This is a </w:t>
        </w:r>
      </w:ins>
      <w:ins w:id="9" w:author="Calen Patrick Ryan" w:date="2021-07-30T16:43:00Z">
        <w:r w:rsidR="00092257">
          <w:t xml:space="preserve">very </w:t>
        </w:r>
      </w:ins>
      <w:ins w:id="10" w:author="Calen Patrick Ryan" w:date="2021-07-30T13:38:00Z">
        <w:r>
          <w:t xml:space="preserve">good start! </w:t>
        </w:r>
      </w:ins>
    </w:p>
    <w:p w14:paraId="619F2FF7" w14:textId="32FFFFC8" w:rsidR="002762F6" w:rsidRDefault="002762F6">
      <w:pPr>
        <w:rPr>
          <w:ins w:id="11" w:author="Calen Patrick Ryan" w:date="2021-07-30T13:38:00Z"/>
        </w:rPr>
      </w:pPr>
    </w:p>
    <w:p w14:paraId="22046876" w14:textId="520DB86B" w:rsidR="002762F6" w:rsidRDefault="002762F6">
      <w:pPr>
        <w:rPr>
          <w:ins w:id="12" w:author="Calen Patrick Ryan" w:date="2021-07-30T13:39:00Z"/>
        </w:rPr>
      </w:pPr>
      <w:ins w:id="13" w:author="Calen Patrick Ryan" w:date="2021-07-30T13:38:00Z">
        <w:r>
          <w:t>All the pieces</w:t>
        </w:r>
      </w:ins>
      <w:ins w:id="14" w:author="Calen Patrick Ryan" w:date="2021-07-30T13:39:00Z">
        <w:r>
          <w:t xml:space="preserve"> are there – I might restructure a bit to make sure we have the </w:t>
        </w:r>
        <w:proofErr w:type="gramStart"/>
        <w:r>
          <w:t>background, and</w:t>
        </w:r>
        <w:proofErr w:type="gramEnd"/>
        <w:r>
          <w:t xml:space="preserve"> are not backtracking. Something like the following:</w:t>
        </w:r>
      </w:ins>
    </w:p>
    <w:p w14:paraId="7368BDA1" w14:textId="55BC28EF" w:rsidR="002762F6" w:rsidRDefault="002762F6">
      <w:pPr>
        <w:rPr>
          <w:ins w:id="15" w:author="Calen Patrick Ryan" w:date="2021-07-30T13:39:00Z"/>
        </w:rPr>
      </w:pPr>
    </w:p>
    <w:p w14:paraId="2E7B3091" w14:textId="5D0DFAC2" w:rsidR="002762F6" w:rsidRDefault="00092257" w:rsidP="002762F6">
      <w:pPr>
        <w:pStyle w:val="ListParagraph"/>
        <w:numPr>
          <w:ilvl w:val="0"/>
          <w:numId w:val="2"/>
        </w:numPr>
        <w:rPr>
          <w:ins w:id="16" w:author="Calen Patrick Ryan" w:date="2021-07-30T13:40:00Z"/>
        </w:rPr>
      </w:pPr>
      <w:ins w:id="17" w:author="Calen Patrick Ryan" w:date="2021-07-30T16:43:00Z">
        <w:r>
          <w:t xml:space="preserve">P1. </w:t>
        </w:r>
      </w:ins>
      <w:ins w:id="18" w:author="Calen Patrick Ryan" w:date="2021-07-30T13:39:00Z">
        <w:r w:rsidR="002762F6">
          <w:t xml:space="preserve">Evolutionary life history posits </w:t>
        </w:r>
      </w:ins>
      <w:ins w:id="19" w:author="Calen Patrick Ryan" w:date="2021-07-30T13:40:00Z">
        <w:r w:rsidR="002762F6">
          <w:t>tradeoffs between biological functions, including growth, reproduction, and maintenance. Investment in one, such as growth, may come at the expense of another, such as maintenance</w:t>
        </w:r>
      </w:ins>
      <w:ins w:id="20" w:author="Calen Patrick Ryan" w:date="2021-07-30T13:42:00Z">
        <w:r w:rsidR="002762F6">
          <w:t xml:space="preserve"> (so your second paragraph, reframed a bit to lead with life history theory more generally).</w:t>
        </w:r>
      </w:ins>
    </w:p>
    <w:p w14:paraId="1E8CEF90" w14:textId="66F970AC" w:rsidR="002762F6" w:rsidRDefault="00092257" w:rsidP="002762F6">
      <w:pPr>
        <w:pStyle w:val="ListParagraph"/>
        <w:numPr>
          <w:ilvl w:val="0"/>
          <w:numId w:val="2"/>
        </w:numPr>
        <w:rPr>
          <w:ins w:id="21" w:author="Calen Patrick Ryan" w:date="2021-07-30T13:43:00Z"/>
        </w:rPr>
      </w:pPr>
      <w:ins w:id="22" w:author="Calen Patrick Ryan" w:date="2021-07-30T16:43:00Z">
        <w:r>
          <w:t xml:space="preserve">P2. </w:t>
        </w:r>
      </w:ins>
      <w:ins w:id="23" w:author="Calen Patrick Ryan" w:date="2021-07-30T13:41:00Z">
        <w:r w:rsidR="002762F6">
          <w:t xml:space="preserve">Individuals who are born small have the opportunity to catch-up in their growth, but this may detract from </w:t>
        </w:r>
      </w:ins>
      <w:ins w:id="24" w:author="Calen Patrick Ryan" w:date="2021-07-30T13:42:00Z">
        <w:r w:rsidR="002762F6">
          <w:t>maintenance when…</w:t>
        </w:r>
      </w:ins>
      <w:ins w:id="25" w:author="Calen Patrick Ryan" w:date="2021-07-30T13:43:00Z">
        <w:r w:rsidR="002762F6">
          <w:t xml:space="preserve"> However, this may detract from health of the individual</w:t>
        </w:r>
        <w:proofErr w:type="gramStart"/>
        <w:r w:rsidR="002762F6">
          <w:t>…(</w:t>
        </w:r>
        <w:proofErr w:type="gramEnd"/>
        <w:r w:rsidR="002762F6">
          <w:t>so basically your first paragraph).</w:t>
        </w:r>
        <w:r w:rsidR="002762F6">
          <w:t xml:space="preserve"> For example, in birds…or something. Flesh this out a bit. </w:t>
        </w:r>
      </w:ins>
    </w:p>
    <w:p w14:paraId="5A7CF6F8" w14:textId="2EB58CE9" w:rsidR="002762F6" w:rsidRDefault="009D77F0" w:rsidP="002762F6">
      <w:pPr>
        <w:pStyle w:val="ListParagraph"/>
        <w:numPr>
          <w:ilvl w:val="0"/>
          <w:numId w:val="2"/>
        </w:numPr>
        <w:rPr>
          <w:ins w:id="26" w:author="Calen Patrick Ryan" w:date="2021-07-30T13:49:00Z"/>
        </w:rPr>
      </w:pPr>
      <w:ins w:id="27" w:author="Calen Patrick Ryan" w:date="2021-07-30T16:43:00Z">
        <w:r>
          <w:t xml:space="preserve">P3. </w:t>
        </w:r>
      </w:ins>
      <w:ins w:id="28" w:author="Calen Patrick Ryan" w:date="2021-07-30T13:44:00Z">
        <w:r w:rsidR="002762F6">
          <w:t xml:space="preserve">Catch up growth in humans does occur. </w:t>
        </w:r>
      </w:ins>
      <w:ins w:id="29" w:author="Calen Patrick Ryan" w:date="2021-07-30T13:45:00Z">
        <w:r w:rsidR="002762F6">
          <w:t xml:space="preserve">Examples of apparent health ‘costs’ of </w:t>
        </w:r>
        <w:proofErr w:type="gramStart"/>
        <w:r w:rsidR="002762F6">
          <w:t>catch up</w:t>
        </w:r>
        <w:proofErr w:type="gramEnd"/>
        <w:r w:rsidR="002762F6">
          <w:t xml:space="preserve"> growth. </w:t>
        </w:r>
      </w:ins>
      <w:ins w:id="30" w:author="Calen Patrick Ryan" w:date="2021-07-30T13:44:00Z">
        <w:r w:rsidR="002762F6">
          <w:t xml:space="preserve">However, </w:t>
        </w:r>
      </w:ins>
      <w:ins w:id="31" w:author="Calen Patrick Ryan" w:date="2021-07-30T13:47:00Z">
        <w:r w:rsidR="00C301A6">
          <w:t xml:space="preserve">it is still unclear </w:t>
        </w:r>
      </w:ins>
      <w:ins w:id="32" w:author="Calen Patrick Ryan" w:date="2021-07-30T13:48:00Z">
        <w:r w:rsidR="00C301A6">
          <w:t>how catch-up growth affects the aging process, and how early</w:t>
        </w:r>
      </w:ins>
      <w:ins w:id="33" w:author="Calen Patrick Ryan" w:date="2021-07-30T13:46:00Z">
        <w:r w:rsidR="00C301A6">
          <w:t xml:space="preserve"> the costs of catch-up growth </w:t>
        </w:r>
      </w:ins>
      <w:ins w:id="34" w:author="Calen Patrick Ryan" w:date="2021-07-30T13:48:00Z">
        <w:r w:rsidR="00C301A6">
          <w:t>can b</w:t>
        </w:r>
      </w:ins>
      <w:ins w:id="35" w:author="Calen Patrick Ryan" w:date="2021-07-30T13:49:00Z">
        <w:r w:rsidR="00C301A6">
          <w:t>e detected.</w:t>
        </w:r>
      </w:ins>
    </w:p>
    <w:p w14:paraId="47D4052B" w14:textId="6D7DAB2B" w:rsidR="00E11A72" w:rsidRDefault="009D77F0" w:rsidP="009D77F0">
      <w:pPr>
        <w:pStyle w:val="ListParagraph"/>
        <w:numPr>
          <w:ilvl w:val="0"/>
          <w:numId w:val="2"/>
        </w:numPr>
        <w:rPr>
          <w:ins w:id="36" w:author="Calen Patrick Ryan" w:date="2021-07-30T14:04:00Z"/>
        </w:rPr>
      </w:pPr>
      <w:ins w:id="37" w:author="Calen Patrick Ryan" w:date="2021-07-30T16:43:00Z">
        <w:r>
          <w:t xml:space="preserve">P4. </w:t>
        </w:r>
      </w:ins>
      <w:ins w:id="38" w:author="Calen Patrick Ryan" w:date="2021-07-30T13:49:00Z">
        <w:r w:rsidR="00C301A6">
          <w:t xml:space="preserve">Studying the impacts of catch-up growth on aging often relies on long-term studies, which are expensive and logistically challenging. </w:t>
        </w:r>
      </w:ins>
      <w:ins w:id="39" w:author="Calen Patrick Ryan" w:date="2021-07-30T14:03:00Z">
        <w:r w:rsidR="00C301A6">
          <w:t>What is needed are measures of biological aging that can be used to measure the pace of aging</w:t>
        </w:r>
        <w:r w:rsidR="00E11A72">
          <w:t xml:space="preserve"> and providing an index of health and longevity long before health consequences are known. A recent biomarker</w:t>
        </w:r>
      </w:ins>
      <w:ins w:id="40" w:author="Calen Patrick Ryan" w:date="2021-07-30T14:04:00Z">
        <w:r w:rsidR="00E11A72">
          <w:t xml:space="preserve"> of aging called epigenetic clocks may provide such a measure. Epigenetic clocks are </w:t>
        </w:r>
        <w:proofErr w:type="spellStart"/>
        <w:r w:rsidR="00E11A72">
          <w:t>are</w:t>
        </w:r>
        <w:proofErr w:type="spellEnd"/>
        <w:r w:rsidR="00E11A72">
          <w:t xml:space="preserve"> based on </w:t>
        </w:r>
        <w:proofErr w:type="spellStart"/>
        <w:r w:rsidR="00E11A72">
          <w:t>DNAm</w:t>
        </w:r>
        <w:proofErr w:type="spellEnd"/>
        <w:r w:rsidR="00E11A72">
          <w:t xml:space="preserve">. </w:t>
        </w:r>
        <w:proofErr w:type="spellStart"/>
        <w:r w:rsidR="00E11A72">
          <w:t>DNAm</w:t>
        </w:r>
        <w:proofErr w:type="spellEnd"/>
        <w:r w:rsidR="00E11A72">
          <w:t xml:space="preserve"> is this. </w:t>
        </w:r>
      </w:ins>
    </w:p>
    <w:p w14:paraId="04382254" w14:textId="3DED15A1" w:rsidR="00E11A72" w:rsidRDefault="009D77F0" w:rsidP="002762F6">
      <w:pPr>
        <w:pStyle w:val="ListParagraph"/>
        <w:numPr>
          <w:ilvl w:val="0"/>
          <w:numId w:val="2"/>
        </w:numPr>
        <w:rPr>
          <w:ins w:id="41" w:author="Calen Patrick Ryan" w:date="2021-07-30T13:38:00Z"/>
        </w:rPr>
        <w:pPrChange w:id="42" w:author="Calen Patrick Ryan" w:date="2021-07-30T13:39:00Z">
          <w:pPr/>
        </w:pPrChange>
      </w:pPr>
      <w:ins w:id="43" w:author="Calen Patrick Ryan" w:date="2021-07-30T16:43:00Z">
        <w:r>
          <w:t xml:space="preserve">P5. </w:t>
        </w:r>
      </w:ins>
      <w:ins w:id="44" w:author="Calen Patrick Ryan" w:date="2021-07-30T14:04:00Z">
        <w:r w:rsidR="00E11A72">
          <w:t>Here, we used epigenetic clocks in 500 young adults, to study the impact of catch up growth on rate of aging.</w:t>
        </w:r>
      </w:ins>
    </w:p>
    <w:p w14:paraId="5B1F8E76" w14:textId="101CD179" w:rsidR="002762F6" w:rsidRDefault="002762F6">
      <w:pPr>
        <w:rPr>
          <w:ins w:id="45" w:author="Calen Patrick Ryan" w:date="2021-07-30T13:38:00Z"/>
        </w:rPr>
      </w:pPr>
    </w:p>
    <w:p w14:paraId="0000000A" w14:textId="07A4DF84" w:rsidR="00764E47" w:rsidRDefault="009D77F0">
      <w:r>
        <w:t xml:space="preserve">Goal: to study the potential life-history costs of accelerated aging. To observe the effect of post-natal and childhood compensatory growth on adult epigenetic age. </w:t>
      </w:r>
    </w:p>
    <w:p w14:paraId="0000000B" w14:textId="77777777" w:rsidR="00764E47" w:rsidRDefault="009D77F0">
      <w:r>
        <w:t xml:space="preserve"> </w:t>
      </w:r>
    </w:p>
    <w:p w14:paraId="0000000C" w14:textId="77777777" w:rsidR="00764E47" w:rsidRDefault="009D77F0">
      <w:r>
        <w:t>Quest</w:t>
      </w:r>
      <w:r>
        <w:t>ion: Is there a cost to accelerated growth rate during infancy and or childhood, and are these increased growth rates associated with higher levels of DNA methylation in adulthood?</w:t>
      </w:r>
    </w:p>
    <w:p w14:paraId="0000000D" w14:textId="77777777" w:rsidR="00764E47" w:rsidRDefault="00764E47"/>
    <w:p w14:paraId="0000000E" w14:textId="77777777" w:rsidR="00764E47" w:rsidRDefault="009D77F0">
      <w:r>
        <w:t>Hypothesis: Early compensatory growth is predicted to be associated with a</w:t>
      </w:r>
      <w:r>
        <w:t xml:space="preserve">ccelerated epigenetic age in adulthood. </w:t>
      </w:r>
    </w:p>
    <w:p w14:paraId="0000000F" w14:textId="77777777" w:rsidR="00764E47" w:rsidRDefault="00764E47"/>
    <w:p w14:paraId="00000010" w14:textId="77777777" w:rsidR="00764E47" w:rsidRDefault="009D77F0">
      <w:r>
        <w:t xml:space="preserve">Connect to epigenetic age which is a strong predictor of </w:t>
      </w:r>
      <w:proofErr w:type="spellStart"/>
      <w:r>
        <w:t>non communicable</w:t>
      </w:r>
      <w:proofErr w:type="spellEnd"/>
      <w:r>
        <w:t xml:space="preserve"> disease risk and mortality. </w:t>
      </w:r>
    </w:p>
    <w:p w14:paraId="00000011" w14:textId="77777777" w:rsidR="00764E47" w:rsidRDefault="00764E47"/>
    <w:p w14:paraId="00000012" w14:textId="77777777" w:rsidR="00764E47" w:rsidRDefault="009D77F0">
      <w:r>
        <w:t>References Cited</w:t>
      </w:r>
    </w:p>
    <w:p w14:paraId="00000013" w14:textId="77777777" w:rsidR="00764E47" w:rsidRDefault="00764E47">
      <w:pPr>
        <w:widowControl w:val="0"/>
        <w:spacing w:line="240" w:lineRule="auto"/>
        <w:ind w:left="720"/>
      </w:pPr>
    </w:p>
    <w:p w14:paraId="00000014" w14:textId="77777777" w:rsidR="00764E47" w:rsidRDefault="009D77F0">
      <w:pPr>
        <w:widowControl w:val="0"/>
        <w:spacing w:line="324" w:lineRule="auto"/>
        <w:ind w:left="450" w:hanging="450"/>
      </w:pPr>
      <w:r>
        <w:t xml:space="preserve">Adair, Linda S, Barry M Popkin, John S Akin, David K </w:t>
      </w:r>
      <w:proofErr w:type="spellStart"/>
      <w:r>
        <w:t>Guilkey</w:t>
      </w:r>
      <w:proofErr w:type="spellEnd"/>
      <w:r>
        <w:t xml:space="preserve">, Socorro </w:t>
      </w:r>
      <w:proofErr w:type="spellStart"/>
      <w:r>
        <w:t>Gultiano</w:t>
      </w:r>
      <w:proofErr w:type="spellEnd"/>
      <w:r>
        <w:t>, Judith Borja</w:t>
      </w:r>
      <w:r>
        <w:t xml:space="preserve">, Lorna Perez, Christopher W </w:t>
      </w:r>
      <w:proofErr w:type="spellStart"/>
      <w:r>
        <w:t>Kuzawa</w:t>
      </w:r>
      <w:proofErr w:type="spellEnd"/>
      <w:r>
        <w:t xml:space="preserve">, Thomas McDade, and Michelle J </w:t>
      </w:r>
      <w:proofErr w:type="spellStart"/>
      <w:r>
        <w:t>Hindin</w:t>
      </w:r>
      <w:proofErr w:type="spellEnd"/>
      <w:r>
        <w:t xml:space="preserve">. “Cohort Profile: The Cebu Longitudinal Health and Nutrition Survey.” </w:t>
      </w:r>
      <w:r>
        <w:rPr>
          <w:i/>
        </w:rPr>
        <w:t>International Journal of Epidemiology</w:t>
      </w:r>
      <w:r>
        <w:t xml:space="preserve"> 40, no. 3 (June 2011): 619–25.</w:t>
      </w:r>
      <w:hyperlink r:id="rId9">
        <w:r>
          <w:t xml:space="preserve"> </w:t>
        </w:r>
      </w:hyperlink>
      <w:hyperlink r:id="rId10">
        <w:r>
          <w:rPr>
            <w:color w:val="1155CC"/>
            <w:u w:val="single"/>
          </w:rPr>
          <w:t>https://doi.org/10.1093/ije/dyq085</w:t>
        </w:r>
      </w:hyperlink>
      <w:r>
        <w:t>.</w:t>
      </w:r>
    </w:p>
    <w:p w14:paraId="00000015" w14:textId="77777777" w:rsidR="00764E47" w:rsidRDefault="009D77F0">
      <w:pPr>
        <w:widowControl w:val="0"/>
        <w:spacing w:line="324" w:lineRule="auto"/>
        <w:ind w:left="450" w:hanging="450"/>
      </w:pPr>
      <w:r>
        <w:t xml:space="preserve">Boersma, Bart, and Jan Maarten Wit. “Catch-up Growth.” </w:t>
      </w:r>
      <w:r>
        <w:rPr>
          <w:i/>
        </w:rPr>
        <w:t>Endocrine Reviews</w:t>
      </w:r>
      <w:r>
        <w:t xml:space="preserve"> 18, no. 5 (October </w:t>
      </w:r>
      <w:r>
        <w:lastRenderedPageBreak/>
        <w:t>1, 1997): 646–61.</w:t>
      </w:r>
      <w:hyperlink r:id="rId11">
        <w:r>
          <w:t xml:space="preserve"> </w:t>
        </w:r>
      </w:hyperlink>
      <w:hyperlink r:id="rId12">
        <w:r>
          <w:rPr>
            <w:color w:val="1155CC"/>
            <w:u w:val="single"/>
          </w:rPr>
          <w:t>https://doi.org/10.1210/edrv.18.5.0313</w:t>
        </w:r>
      </w:hyperlink>
      <w:r>
        <w:t>.</w:t>
      </w:r>
    </w:p>
    <w:p w14:paraId="00000016" w14:textId="77777777" w:rsidR="00764E47" w:rsidRDefault="009D77F0">
      <w:pPr>
        <w:widowControl w:val="0"/>
        <w:spacing w:line="324" w:lineRule="auto"/>
        <w:ind w:left="450" w:hanging="450"/>
      </w:pPr>
      <w:r>
        <w:t xml:space="preserve">Field, AE, NA Robertson, T Wang, A Havas, T </w:t>
      </w:r>
      <w:proofErr w:type="spellStart"/>
      <w:r>
        <w:t>Ideker</w:t>
      </w:r>
      <w:proofErr w:type="spellEnd"/>
      <w:r>
        <w:t>, and PD Adams. “DNA Methylation Clocks in Aging: C</w:t>
      </w:r>
      <w:r>
        <w:t xml:space="preserve">ategories, Causes, and Consequences.” </w:t>
      </w:r>
      <w:r>
        <w:rPr>
          <w:i/>
        </w:rPr>
        <w:t>MOLECULAR CELL</w:t>
      </w:r>
      <w:r>
        <w:t xml:space="preserve"> 71, no. 6 (September 20, 2018): 882–95.</w:t>
      </w:r>
      <w:hyperlink r:id="rId13">
        <w:r>
          <w:t xml:space="preserve"> </w:t>
        </w:r>
      </w:hyperlink>
      <w:hyperlink r:id="rId14">
        <w:r>
          <w:rPr>
            <w:color w:val="1155CC"/>
            <w:u w:val="single"/>
          </w:rPr>
          <w:t>https://doi.org/10.1016/j.molcel.20</w:t>
        </w:r>
        <w:r>
          <w:rPr>
            <w:color w:val="1155CC"/>
            <w:u w:val="single"/>
          </w:rPr>
          <w:t>18.08.008</w:t>
        </w:r>
      </w:hyperlink>
      <w:r>
        <w:t>.</w:t>
      </w:r>
    </w:p>
    <w:p w14:paraId="00000017" w14:textId="77777777" w:rsidR="00764E47" w:rsidRDefault="009D77F0">
      <w:pPr>
        <w:widowControl w:val="0"/>
        <w:spacing w:line="324" w:lineRule="auto"/>
        <w:ind w:left="450" w:hanging="450"/>
      </w:pPr>
      <w:r>
        <w:t xml:space="preserve">Geiger, S, M Le Vaillant, T </w:t>
      </w:r>
      <w:proofErr w:type="spellStart"/>
      <w:r>
        <w:t>Lebard</w:t>
      </w:r>
      <w:proofErr w:type="spellEnd"/>
      <w:r>
        <w:t xml:space="preserve">, S Reichert, A Stier, Y Le </w:t>
      </w:r>
      <w:proofErr w:type="spellStart"/>
      <w:r>
        <w:t>Maho</w:t>
      </w:r>
      <w:proofErr w:type="spellEnd"/>
      <w:r>
        <w:t xml:space="preserve">, and F </w:t>
      </w:r>
      <w:proofErr w:type="spellStart"/>
      <w:r>
        <w:t>Criscuolo</w:t>
      </w:r>
      <w:proofErr w:type="spellEnd"/>
      <w:r>
        <w:t xml:space="preserve">. “Catching-up but Telomere Loss: Half-Opening the Black Box of Growth and Ageing Trade-off in Wild King Penguin Chicks.” </w:t>
      </w:r>
      <w:r>
        <w:rPr>
          <w:i/>
        </w:rPr>
        <w:t>MOLECULAR ECOLOGY</w:t>
      </w:r>
      <w:r>
        <w:t xml:space="preserve"> 21, no. 6 (March 2012): 1500–1510</w:t>
      </w:r>
      <w:r>
        <w:t>.</w:t>
      </w:r>
      <w:hyperlink r:id="rId15">
        <w:r>
          <w:t xml:space="preserve"> </w:t>
        </w:r>
      </w:hyperlink>
      <w:hyperlink r:id="rId16">
        <w:r>
          <w:rPr>
            <w:color w:val="1155CC"/>
            <w:u w:val="single"/>
          </w:rPr>
          <w:t>https://doi.org/10.1111/j.1365-294X.2011.05331.x</w:t>
        </w:r>
      </w:hyperlink>
      <w:r>
        <w:t>.</w:t>
      </w:r>
    </w:p>
    <w:p w14:paraId="00000018" w14:textId="77777777" w:rsidR="00764E47" w:rsidRDefault="009D77F0">
      <w:pPr>
        <w:widowControl w:val="0"/>
        <w:spacing w:line="324" w:lineRule="auto"/>
        <w:ind w:left="450" w:hanging="450"/>
      </w:pPr>
      <w:proofErr w:type="spellStart"/>
      <w:r>
        <w:t>Hamlat</w:t>
      </w:r>
      <w:proofErr w:type="spellEnd"/>
      <w:r>
        <w:t>, Elissa J., Aric A. Prather, Steve Horvath, Jay Belsky, and E</w:t>
      </w:r>
      <w:r>
        <w:t xml:space="preserve">lissa S. </w:t>
      </w:r>
      <w:proofErr w:type="spellStart"/>
      <w:r>
        <w:t>Epel</w:t>
      </w:r>
      <w:proofErr w:type="spellEnd"/>
      <w:r>
        <w:t xml:space="preserve">. “Early Life Adversity, Pubertal Timing, and Epigenetic Age Acceleration in Adulthood.” </w:t>
      </w:r>
      <w:r>
        <w:rPr>
          <w:i/>
        </w:rPr>
        <w:t>Developmental Psychobiology</w:t>
      </w:r>
      <w:r>
        <w:t>, January 10, 2021.</w:t>
      </w:r>
      <w:hyperlink r:id="rId17">
        <w:r>
          <w:t xml:space="preserve"> </w:t>
        </w:r>
      </w:hyperlink>
      <w:hyperlink r:id="rId18">
        <w:r>
          <w:rPr>
            <w:color w:val="1155CC"/>
            <w:u w:val="single"/>
          </w:rPr>
          <w:t>h</w:t>
        </w:r>
        <w:r>
          <w:rPr>
            <w:color w:val="1155CC"/>
            <w:u w:val="single"/>
          </w:rPr>
          <w:t>ttps://doi.org/10.1002/dev.22085</w:t>
        </w:r>
      </w:hyperlink>
      <w:r>
        <w:t>.</w:t>
      </w:r>
    </w:p>
    <w:p w14:paraId="00000019" w14:textId="77777777" w:rsidR="00764E47" w:rsidRDefault="009D77F0">
      <w:pPr>
        <w:widowControl w:val="0"/>
        <w:spacing w:line="324" w:lineRule="auto"/>
        <w:ind w:left="450" w:hanging="450"/>
      </w:pPr>
      <w:r>
        <w:t xml:space="preserve">Harrison, JF, AJ Cease, JM </w:t>
      </w:r>
      <w:proofErr w:type="spellStart"/>
      <w:r>
        <w:t>VandenBrooks</w:t>
      </w:r>
      <w:proofErr w:type="spellEnd"/>
      <w:r>
        <w:t xml:space="preserve">, T Albert, and G </w:t>
      </w:r>
      <w:proofErr w:type="spellStart"/>
      <w:r>
        <w:t>Davidowitz</w:t>
      </w:r>
      <w:proofErr w:type="spellEnd"/>
      <w:r>
        <w:t xml:space="preserve">. “Caterpillars Selected for Large Body Size and Short Development Time Are More Susceptible to Oxygen-Related Stress.” </w:t>
      </w:r>
      <w:r>
        <w:rPr>
          <w:i/>
        </w:rPr>
        <w:t>ECOLOGY AND EVOLUTION</w:t>
      </w:r>
      <w:r>
        <w:t xml:space="preserve"> 3, no. 5 (May</w:t>
      </w:r>
      <w:r>
        <w:t xml:space="preserve"> 2013): 1305–16.</w:t>
      </w:r>
      <w:hyperlink r:id="rId19">
        <w:r>
          <w:t xml:space="preserve"> </w:t>
        </w:r>
      </w:hyperlink>
      <w:hyperlink r:id="rId20">
        <w:r>
          <w:rPr>
            <w:color w:val="1155CC"/>
            <w:u w:val="single"/>
          </w:rPr>
          <w:t>https://doi.org/10.1002/ece3.551</w:t>
        </w:r>
      </w:hyperlink>
      <w:r>
        <w:t>.</w:t>
      </w:r>
    </w:p>
    <w:p w14:paraId="0000001A" w14:textId="77777777" w:rsidR="00764E47" w:rsidRDefault="009D77F0">
      <w:pPr>
        <w:widowControl w:val="0"/>
        <w:spacing w:line="324" w:lineRule="auto"/>
        <w:ind w:left="450" w:hanging="450"/>
      </w:pPr>
      <w:proofErr w:type="spellStart"/>
      <w:r>
        <w:t>Hornick</w:t>
      </w:r>
      <w:proofErr w:type="spellEnd"/>
      <w:r>
        <w:t xml:space="preserve">, J. L, C Van </w:t>
      </w:r>
      <w:proofErr w:type="spellStart"/>
      <w:r>
        <w:t>Eenaeme</w:t>
      </w:r>
      <w:proofErr w:type="spellEnd"/>
      <w:r>
        <w:t xml:space="preserve">, O Gérard, I </w:t>
      </w:r>
      <w:proofErr w:type="spellStart"/>
      <w:r>
        <w:t>Dufrasne</w:t>
      </w:r>
      <w:proofErr w:type="spellEnd"/>
      <w:r>
        <w:t xml:space="preserve">, and L </w:t>
      </w:r>
      <w:proofErr w:type="spellStart"/>
      <w:r>
        <w:t>Istasse</w:t>
      </w:r>
      <w:proofErr w:type="spellEnd"/>
      <w:r>
        <w:t>. “Mechanisms of Reduced and Compens</w:t>
      </w:r>
      <w:r>
        <w:t xml:space="preserve">atory Growth.” </w:t>
      </w:r>
      <w:r>
        <w:rPr>
          <w:i/>
        </w:rPr>
        <w:t>Domestic Animal Endocrinology</w:t>
      </w:r>
      <w:r>
        <w:t>, Physiology of Suboptimal Growth: Review Papers Presented at the 50th Annual Meeting of the European Society of Animal Production, 19, no. 2 (August 1, 2000): 121–32.</w:t>
      </w:r>
      <w:hyperlink r:id="rId21">
        <w:r>
          <w:t xml:space="preserve"> </w:t>
        </w:r>
      </w:hyperlink>
      <w:hyperlink r:id="rId22">
        <w:r>
          <w:rPr>
            <w:color w:val="1155CC"/>
            <w:u w:val="single"/>
          </w:rPr>
          <w:t>https://doi.org/10.1016/S0739-7240(00)00072-2</w:t>
        </w:r>
      </w:hyperlink>
      <w:r>
        <w:t>.</w:t>
      </w:r>
    </w:p>
    <w:p w14:paraId="0000001B" w14:textId="77777777" w:rsidR="00764E47" w:rsidRDefault="009D77F0">
      <w:pPr>
        <w:widowControl w:val="0"/>
        <w:spacing w:line="324" w:lineRule="auto"/>
        <w:ind w:left="450" w:hanging="450"/>
      </w:pPr>
      <w:r>
        <w:t xml:space="preserve">Horvath, S, and K Raj. “DNA Methylation-Based Biomarkers and the Epigenetic Clock Theory of Ageing.” </w:t>
      </w:r>
      <w:r>
        <w:rPr>
          <w:i/>
        </w:rPr>
        <w:t>NATURE REVIEWS GENETIC</w:t>
      </w:r>
      <w:r>
        <w:rPr>
          <w:i/>
        </w:rPr>
        <w:t>S</w:t>
      </w:r>
      <w:r>
        <w:t xml:space="preserve"> 19, no. 6 (June 2018): 371–84.</w:t>
      </w:r>
      <w:hyperlink r:id="rId23">
        <w:r>
          <w:t xml:space="preserve"> </w:t>
        </w:r>
      </w:hyperlink>
      <w:hyperlink r:id="rId24">
        <w:r>
          <w:rPr>
            <w:color w:val="1155CC"/>
            <w:u w:val="single"/>
          </w:rPr>
          <w:t>https://doi.org/10.1038/s41576-018-0004-3</w:t>
        </w:r>
      </w:hyperlink>
      <w:r>
        <w:t>.</w:t>
      </w:r>
    </w:p>
    <w:p w14:paraId="0000001C" w14:textId="77777777" w:rsidR="00764E47" w:rsidRDefault="009D77F0">
      <w:pPr>
        <w:widowControl w:val="0"/>
        <w:spacing w:line="324" w:lineRule="auto"/>
        <w:ind w:left="450" w:hanging="450"/>
      </w:pPr>
      <w:r>
        <w:t xml:space="preserve">Hou, C. “Increasing Energetic Cost of Biosynthesis during </w:t>
      </w:r>
      <w:r>
        <w:t xml:space="preserve">Growth Makes Refeeding Deleterious.” </w:t>
      </w:r>
      <w:r>
        <w:rPr>
          <w:i/>
        </w:rPr>
        <w:t>AMERICAN NATURALIST</w:t>
      </w:r>
      <w:r>
        <w:t xml:space="preserve"> 184, no. 2 (August 2014): 233–47.</w:t>
      </w:r>
      <w:hyperlink r:id="rId25">
        <w:r>
          <w:t xml:space="preserve"> </w:t>
        </w:r>
      </w:hyperlink>
      <w:hyperlink r:id="rId26">
        <w:r>
          <w:rPr>
            <w:color w:val="1155CC"/>
            <w:u w:val="single"/>
          </w:rPr>
          <w:t>https://doi.org/10.1086/676856</w:t>
        </w:r>
      </w:hyperlink>
      <w:r>
        <w:t>.</w:t>
      </w:r>
    </w:p>
    <w:p w14:paraId="0000001D" w14:textId="77777777" w:rsidR="00764E47" w:rsidRDefault="009D77F0">
      <w:pPr>
        <w:widowControl w:val="0"/>
        <w:spacing w:line="324" w:lineRule="auto"/>
        <w:ind w:left="450" w:hanging="450"/>
      </w:pPr>
      <w:r>
        <w:t>Jones, James Holland. “Primates a</w:t>
      </w:r>
      <w:r>
        <w:t xml:space="preserve">nd the Evolution of Long, Slow Life Histories.” </w:t>
      </w:r>
      <w:r>
        <w:rPr>
          <w:i/>
        </w:rPr>
        <w:t>Current Biology</w:t>
      </w:r>
      <w:r>
        <w:t xml:space="preserve"> 21, no. 18 (September 27, 2011): R708–17.</w:t>
      </w:r>
      <w:hyperlink r:id="rId27">
        <w:r>
          <w:t xml:space="preserve"> </w:t>
        </w:r>
      </w:hyperlink>
      <w:hyperlink r:id="rId28">
        <w:r>
          <w:rPr>
            <w:color w:val="1155CC"/>
            <w:u w:val="single"/>
          </w:rPr>
          <w:t>https://doi.org/10.1016/j.cu</w:t>
        </w:r>
        <w:r>
          <w:rPr>
            <w:color w:val="1155CC"/>
            <w:u w:val="single"/>
          </w:rPr>
          <w:t>b.2011.08.025</w:t>
        </w:r>
      </w:hyperlink>
      <w:r>
        <w:t>.</w:t>
      </w:r>
    </w:p>
    <w:p w14:paraId="0000001E" w14:textId="77777777" w:rsidR="00764E47" w:rsidRDefault="009D77F0">
      <w:pPr>
        <w:widowControl w:val="0"/>
        <w:spacing w:line="324" w:lineRule="auto"/>
        <w:ind w:left="450" w:hanging="450"/>
      </w:pPr>
      <w:proofErr w:type="spellStart"/>
      <w:r>
        <w:t>Kuzawa</w:t>
      </w:r>
      <w:proofErr w:type="spellEnd"/>
      <w:r>
        <w:t xml:space="preserve">, Christopher W., Linda Adair, Sonny A. </w:t>
      </w:r>
      <w:proofErr w:type="spellStart"/>
      <w:r>
        <w:t>Bechayda</w:t>
      </w:r>
      <w:proofErr w:type="spellEnd"/>
      <w:r>
        <w:t xml:space="preserve">, Judith </w:t>
      </w:r>
      <w:proofErr w:type="spellStart"/>
      <w:r>
        <w:t>Rafaelita</w:t>
      </w:r>
      <w:proofErr w:type="spellEnd"/>
      <w:r>
        <w:t xml:space="preserve"> B. Borja, Delia B. </w:t>
      </w:r>
      <w:proofErr w:type="spellStart"/>
      <w:r>
        <w:t>Carba</w:t>
      </w:r>
      <w:proofErr w:type="spellEnd"/>
      <w:r>
        <w:t xml:space="preserve">, Paulita L. </w:t>
      </w:r>
      <w:proofErr w:type="spellStart"/>
      <w:r>
        <w:t>Duazo</w:t>
      </w:r>
      <w:proofErr w:type="spellEnd"/>
      <w:r>
        <w:t xml:space="preserve">, Dan T. A. Eisenberg, et al. “Evolutionary Life History Theory as an </w:t>
      </w:r>
      <w:proofErr w:type="spellStart"/>
      <w:r>
        <w:t>Organising</w:t>
      </w:r>
      <w:proofErr w:type="spellEnd"/>
      <w:r>
        <w:t xml:space="preserve"> Framework for Cohort Studies: Insights from the Cebu Longitu</w:t>
      </w:r>
      <w:r>
        <w:t xml:space="preserve">dinal Health and Nutrition Survey.” </w:t>
      </w:r>
      <w:r>
        <w:rPr>
          <w:i/>
        </w:rPr>
        <w:t>Annals of Human Biology</w:t>
      </w:r>
      <w:r>
        <w:t xml:space="preserve"> 47, no. 2 (February 17, 2020): 94–105.</w:t>
      </w:r>
      <w:hyperlink r:id="rId29">
        <w:r>
          <w:t xml:space="preserve"> </w:t>
        </w:r>
      </w:hyperlink>
      <w:hyperlink r:id="rId30">
        <w:r>
          <w:rPr>
            <w:color w:val="1155CC"/>
            <w:u w:val="single"/>
          </w:rPr>
          <w:t>https://doi.org/10.1080/030</w:t>
        </w:r>
        <w:r>
          <w:rPr>
            <w:color w:val="1155CC"/>
            <w:u w:val="single"/>
          </w:rPr>
          <w:t>14460.2020.1742787</w:t>
        </w:r>
      </w:hyperlink>
      <w:r>
        <w:t>.</w:t>
      </w:r>
    </w:p>
    <w:p w14:paraId="0000001F" w14:textId="77777777" w:rsidR="00764E47" w:rsidRDefault="009D77F0">
      <w:pPr>
        <w:widowControl w:val="0"/>
        <w:spacing w:line="324" w:lineRule="auto"/>
        <w:ind w:left="450" w:hanging="450"/>
      </w:pPr>
      <w:r>
        <w:t xml:space="preserve">Lee, WS, NB Metcalfe, P Monaghan, and M </w:t>
      </w:r>
      <w:proofErr w:type="spellStart"/>
      <w:r>
        <w:t>Mangel</w:t>
      </w:r>
      <w:proofErr w:type="spellEnd"/>
      <w:r>
        <w:t xml:space="preserve">. “A Comparison of Dynamic-State-Dependent Models of the Trade-Off Between Growth, Damage, and Reproduction.” </w:t>
      </w:r>
      <w:r>
        <w:rPr>
          <w:i/>
        </w:rPr>
        <w:t>AMERICAN NATURALIST</w:t>
      </w:r>
      <w:r>
        <w:t xml:space="preserve"> 178, no. 6 (December 2011): 774–86.</w:t>
      </w:r>
      <w:hyperlink r:id="rId31">
        <w:r>
          <w:t xml:space="preserve"> </w:t>
        </w:r>
      </w:hyperlink>
      <w:hyperlink r:id="rId32">
        <w:r>
          <w:rPr>
            <w:color w:val="1155CC"/>
            <w:u w:val="single"/>
          </w:rPr>
          <w:t>https://doi.org/10.1086/662671</w:t>
        </w:r>
      </w:hyperlink>
      <w:r>
        <w:t>.</w:t>
      </w:r>
    </w:p>
    <w:p w14:paraId="00000020" w14:textId="77777777" w:rsidR="00764E47" w:rsidRDefault="009D77F0">
      <w:pPr>
        <w:widowControl w:val="0"/>
        <w:spacing w:line="324" w:lineRule="auto"/>
        <w:ind w:left="450" w:hanging="450"/>
      </w:pPr>
      <w:r>
        <w:lastRenderedPageBreak/>
        <w:t xml:space="preserve">Lee, WS, P Monaghan, and NB Metcalfe. “Experimental Demonstration of the Growth Rate - Lifespan Trade-Off.” </w:t>
      </w:r>
      <w:r>
        <w:rPr>
          <w:i/>
        </w:rPr>
        <w:t>PROCEEDINGS OF THE ROYAL SOCIETY B-BIOLO</w:t>
      </w:r>
      <w:r>
        <w:rPr>
          <w:i/>
        </w:rPr>
        <w:t>GICAL SCIENCES</w:t>
      </w:r>
      <w:r>
        <w:t xml:space="preserve"> 280, no. 1752 (February 7, 2013).</w:t>
      </w:r>
      <w:hyperlink r:id="rId33">
        <w:r>
          <w:t xml:space="preserve"> </w:t>
        </w:r>
      </w:hyperlink>
      <w:hyperlink r:id="rId34">
        <w:r>
          <w:rPr>
            <w:color w:val="1155CC"/>
            <w:u w:val="single"/>
          </w:rPr>
          <w:t>https://doi.org/10.1098/rspb.2012.2370</w:t>
        </w:r>
      </w:hyperlink>
      <w:r>
        <w:t>.</w:t>
      </w:r>
    </w:p>
    <w:p w14:paraId="00000021" w14:textId="77777777" w:rsidR="00764E47" w:rsidRDefault="009D77F0">
      <w:pPr>
        <w:widowControl w:val="0"/>
        <w:spacing w:line="324" w:lineRule="auto"/>
        <w:ind w:left="450" w:hanging="450"/>
      </w:pPr>
      <w:proofErr w:type="spellStart"/>
      <w:r>
        <w:t>Mangel</w:t>
      </w:r>
      <w:proofErr w:type="spellEnd"/>
      <w:r>
        <w:t>, Marc, and Stephan B. Munch. “A Life-History</w:t>
      </w:r>
      <w:r>
        <w:t xml:space="preserve"> Perspective on Short- and Long-Term Consequences of Compensatory Growth.” </w:t>
      </w:r>
      <w:r>
        <w:rPr>
          <w:i/>
        </w:rPr>
        <w:t>The American Naturalist</w:t>
      </w:r>
      <w:r>
        <w:t xml:space="preserve"> 166, no. 6 (December 2005): E155-176.</w:t>
      </w:r>
      <w:hyperlink r:id="rId35">
        <w:r>
          <w:t xml:space="preserve"> </w:t>
        </w:r>
      </w:hyperlink>
      <w:hyperlink r:id="rId36">
        <w:r>
          <w:rPr>
            <w:color w:val="1155CC"/>
            <w:u w:val="single"/>
          </w:rPr>
          <w:t>https://doi.org/10.</w:t>
        </w:r>
        <w:r>
          <w:rPr>
            <w:color w:val="1155CC"/>
            <w:u w:val="single"/>
          </w:rPr>
          <w:t>1086/444439</w:t>
        </w:r>
      </w:hyperlink>
      <w:r>
        <w:t>.</w:t>
      </w:r>
    </w:p>
    <w:p w14:paraId="00000022" w14:textId="77777777" w:rsidR="00764E47" w:rsidRDefault="009D77F0">
      <w:pPr>
        <w:widowControl w:val="0"/>
        <w:spacing w:line="324" w:lineRule="auto"/>
        <w:ind w:left="450" w:hanging="450"/>
      </w:pPr>
      <w:r>
        <w:t xml:space="preserve">Ryan, Calen P. “‘Epigenetic Clocks’: Theory and Applications in Human Biology.” </w:t>
      </w:r>
      <w:r>
        <w:rPr>
          <w:i/>
        </w:rPr>
        <w:t>American Journal of Human Biology</w:t>
      </w:r>
      <w:r>
        <w:t xml:space="preserve"> 33, no. 3 (May 1, 2021): e23488.</w:t>
      </w:r>
      <w:hyperlink r:id="rId37">
        <w:r>
          <w:t xml:space="preserve"> </w:t>
        </w:r>
      </w:hyperlink>
      <w:hyperlink r:id="rId38">
        <w:r>
          <w:rPr>
            <w:color w:val="1155CC"/>
            <w:u w:val="single"/>
          </w:rPr>
          <w:t>https://doi.org/10.1002/ajhb.23488</w:t>
        </w:r>
      </w:hyperlink>
      <w:r>
        <w:t>.</w:t>
      </w:r>
    </w:p>
    <w:p w14:paraId="00000023" w14:textId="77777777" w:rsidR="00764E47" w:rsidRDefault="009D77F0">
      <w:pPr>
        <w:widowControl w:val="0"/>
        <w:spacing w:line="324" w:lineRule="auto"/>
        <w:ind w:left="450" w:hanging="450"/>
      </w:pPr>
      <w:proofErr w:type="spellStart"/>
      <w:r>
        <w:t>Simpkin</w:t>
      </w:r>
      <w:proofErr w:type="spellEnd"/>
      <w:r>
        <w:t xml:space="preserve">, Andrew J., Gibran </w:t>
      </w:r>
      <w:proofErr w:type="spellStart"/>
      <w:r>
        <w:t>Hemani</w:t>
      </w:r>
      <w:proofErr w:type="spellEnd"/>
      <w:r>
        <w:t xml:space="preserve">, Matthew </w:t>
      </w:r>
      <w:proofErr w:type="spellStart"/>
      <w:r>
        <w:t>Suderman</w:t>
      </w:r>
      <w:proofErr w:type="spellEnd"/>
      <w:r>
        <w:t xml:space="preserve">, Tom R. Gaunt, Oliver Lyttleton, Wendy L. </w:t>
      </w:r>
      <w:proofErr w:type="spellStart"/>
      <w:r>
        <w:t>Mcardle</w:t>
      </w:r>
      <w:proofErr w:type="spellEnd"/>
      <w:r>
        <w:t>, Susan M. Ring, et al. “Prenatal and Early Life Influences on Epigenetic Age in Children: A Study of Mothe</w:t>
      </w:r>
      <w:r>
        <w:t xml:space="preserve">r-Offspring Pairs from Two Cohort Studies.” </w:t>
      </w:r>
      <w:r>
        <w:rPr>
          <w:i/>
        </w:rPr>
        <w:t>Human Molecular Genetics</w:t>
      </w:r>
      <w:r>
        <w:t xml:space="preserve"> 25, no. 1 (January 1, 2016): 191–201.</w:t>
      </w:r>
      <w:hyperlink r:id="rId39">
        <w:r>
          <w:t xml:space="preserve"> </w:t>
        </w:r>
      </w:hyperlink>
      <w:hyperlink r:id="rId40">
        <w:r>
          <w:rPr>
            <w:color w:val="1155CC"/>
            <w:u w:val="single"/>
          </w:rPr>
          <w:t>https://doi.org/10.1093/hmg/ddv456</w:t>
        </w:r>
      </w:hyperlink>
      <w:r>
        <w:t>.</w:t>
      </w:r>
    </w:p>
    <w:p w14:paraId="00000024" w14:textId="77777777" w:rsidR="00764E47" w:rsidRDefault="009D77F0">
      <w:pPr>
        <w:widowControl w:val="0"/>
        <w:spacing w:line="324" w:lineRule="auto"/>
        <w:ind w:left="450" w:hanging="450"/>
      </w:pPr>
      <w:proofErr w:type="spellStart"/>
      <w:r>
        <w:t>Simpk</w:t>
      </w:r>
      <w:r>
        <w:t>in</w:t>
      </w:r>
      <w:proofErr w:type="spellEnd"/>
      <w:r>
        <w:t xml:space="preserve">, Andrew J., Laura D. Howe, Kate Tilling, Tom R. Gaunt, Oliver Lyttleton, Wendy L. McArdle, Susan M. Ring, Steve Horvath, George Davey Smith, and Caroline L. </w:t>
      </w:r>
      <w:proofErr w:type="spellStart"/>
      <w:r>
        <w:t>Relton</w:t>
      </w:r>
      <w:proofErr w:type="spellEnd"/>
      <w:r>
        <w:t>. “The Epigenetic Clock and Physical Development during Childhood and Adolescence: Longitu</w:t>
      </w:r>
      <w:r>
        <w:t xml:space="preserve">dinal Analysis from a UK Birth Cohort.” </w:t>
      </w:r>
      <w:r>
        <w:rPr>
          <w:i/>
        </w:rPr>
        <w:t>International Journal of Epidemiology</w:t>
      </w:r>
      <w:r>
        <w:t xml:space="preserve"> 46, no. 2 (April 1, 2017): 549–58.</w:t>
      </w:r>
      <w:hyperlink r:id="rId41">
        <w:r>
          <w:t xml:space="preserve"> </w:t>
        </w:r>
      </w:hyperlink>
      <w:hyperlink r:id="rId42">
        <w:r>
          <w:rPr>
            <w:color w:val="1155CC"/>
            <w:u w:val="single"/>
          </w:rPr>
          <w:t>https://doi.org/10.1093/ije/dyw307</w:t>
        </w:r>
      </w:hyperlink>
      <w:r>
        <w:t>.</w:t>
      </w:r>
    </w:p>
    <w:p w14:paraId="00000025" w14:textId="77777777" w:rsidR="00764E47" w:rsidRDefault="009D77F0">
      <w:pPr>
        <w:widowControl w:val="0"/>
        <w:spacing w:line="324" w:lineRule="auto"/>
        <w:ind w:left="450" w:hanging="450"/>
      </w:pPr>
      <w:r>
        <w:t xml:space="preserve">Singhal, A. “Long-Term Adverse Effects of Early Growth Acceleration or Catch-Up Growth.” </w:t>
      </w:r>
      <w:r>
        <w:rPr>
          <w:i/>
        </w:rPr>
        <w:t>ANNALS OF NUTRITION AND METABOLISM</w:t>
      </w:r>
      <w:r>
        <w:t xml:space="preserve"> 70, no. 3 (2017): 236–40.</w:t>
      </w:r>
      <w:hyperlink r:id="rId43">
        <w:r>
          <w:t xml:space="preserve"> </w:t>
        </w:r>
      </w:hyperlink>
      <w:hyperlink r:id="rId44">
        <w:r>
          <w:rPr>
            <w:color w:val="1155CC"/>
            <w:u w:val="single"/>
          </w:rPr>
          <w:t>https://doi.org/10.1159/000464302</w:t>
        </w:r>
      </w:hyperlink>
      <w:r>
        <w:t>.</w:t>
      </w:r>
    </w:p>
    <w:p w14:paraId="00000026" w14:textId="77777777" w:rsidR="00764E47" w:rsidRDefault="009D77F0">
      <w:pPr>
        <w:widowControl w:val="0"/>
        <w:spacing w:line="324" w:lineRule="auto"/>
        <w:ind w:left="450" w:hanging="450"/>
      </w:pPr>
      <w:r>
        <w:t xml:space="preserve">Wells, Jonathan C K. “Life History Trade-Offs and the Partitioning of Maternal Investment: Implications for Health of Mothers and Offspring.” </w:t>
      </w:r>
      <w:r>
        <w:rPr>
          <w:i/>
        </w:rPr>
        <w:t>Evolution, Medicine, and Pub</w:t>
      </w:r>
      <w:r>
        <w:rPr>
          <w:i/>
        </w:rPr>
        <w:t>lic Health</w:t>
      </w:r>
      <w:r>
        <w:t xml:space="preserve"> 2018, no. 1 (January 1, 2018): 153–66.</w:t>
      </w:r>
      <w:hyperlink r:id="rId45">
        <w:r>
          <w:t xml:space="preserve"> </w:t>
        </w:r>
      </w:hyperlink>
      <w:hyperlink r:id="rId46">
        <w:r>
          <w:rPr>
            <w:color w:val="1155CC"/>
            <w:u w:val="single"/>
          </w:rPr>
          <w:t>https://doi.org/10.1093/emph/eoy014</w:t>
        </w:r>
      </w:hyperlink>
      <w:r>
        <w:t>.</w:t>
      </w:r>
    </w:p>
    <w:p w14:paraId="00000027" w14:textId="77777777" w:rsidR="00764E47" w:rsidRDefault="00764E47">
      <w:pPr>
        <w:widowControl w:val="0"/>
        <w:spacing w:line="240" w:lineRule="auto"/>
        <w:ind w:left="720"/>
      </w:pPr>
    </w:p>
    <w:sectPr w:rsidR="00764E4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Calen Patrick Ryan" w:date="2021-07-30T13:29:00Z" w:initials="CPR">
    <w:p w14:paraId="0C948158" w14:textId="0BCBD192" w:rsidR="003A216A" w:rsidRDefault="003A216A">
      <w:pPr>
        <w:pStyle w:val="CommentText"/>
      </w:pPr>
      <w:r>
        <w:rPr>
          <w:rStyle w:val="CommentReference"/>
        </w:rPr>
        <w:annotationRef/>
      </w:r>
      <w:r>
        <w:t xml:space="preserve">This is great. I added the ‘however’ because this is the ‘pivot’ of the argument we’re making. </w:t>
      </w:r>
    </w:p>
  </w:comment>
  <w:comment w:id="3" w:author="Calen Patrick Ryan" w:date="2021-07-30T13:29:00Z" w:initials="CPR">
    <w:p w14:paraId="253387BC" w14:textId="054433DC" w:rsidR="003A216A" w:rsidRDefault="003A216A">
      <w:pPr>
        <w:pStyle w:val="CommentText"/>
      </w:pPr>
      <w:r>
        <w:rPr>
          <w:rStyle w:val="CommentReference"/>
        </w:rPr>
        <w:annotationRef/>
      </w:r>
      <w:r>
        <w:t>I might not spill the beans just yet.</w:t>
      </w:r>
    </w:p>
  </w:comment>
  <w:comment w:id="4" w:author="Calen Patrick Ryan" w:date="2021-07-30T13:31:00Z" w:initials="CPR">
    <w:p w14:paraId="24864342" w14:textId="3B7EA917" w:rsidR="003A216A" w:rsidRDefault="003A216A">
      <w:pPr>
        <w:pStyle w:val="CommentText"/>
      </w:pPr>
      <w:r>
        <w:rPr>
          <w:rStyle w:val="CommentReference"/>
        </w:rPr>
        <w:annotationRef/>
      </w:r>
      <w:r>
        <w:t xml:space="preserve">I think this could go farther up. </w:t>
      </w:r>
    </w:p>
  </w:comment>
  <w:comment w:id="5" w:author="Calen Patrick Ryan" w:date="2021-07-30T13:34:00Z" w:initials="CPR">
    <w:p w14:paraId="737DD652" w14:textId="426F1712" w:rsidR="003A216A" w:rsidRDefault="003A216A">
      <w:pPr>
        <w:pStyle w:val="CommentText"/>
      </w:pPr>
      <w:r>
        <w:rPr>
          <w:rStyle w:val="CommentReference"/>
        </w:rPr>
        <w:annotationRef/>
      </w:r>
      <w:r>
        <w:t xml:space="preserve">I think this is good, but a bit soon. </w:t>
      </w:r>
    </w:p>
  </w:comment>
  <w:comment w:id="6" w:author="Calen Patrick Ryan" w:date="2021-07-30T13:34:00Z" w:initials="CPR">
    <w:p w14:paraId="3AD4DFD0" w14:textId="1B7740C2" w:rsidR="003A216A" w:rsidRDefault="003A216A">
      <w:pPr>
        <w:pStyle w:val="CommentText"/>
      </w:pPr>
      <w:r>
        <w:rPr>
          <w:rStyle w:val="CommentReference"/>
        </w:rPr>
        <w:annotationRef/>
      </w:r>
      <w:r>
        <w:t xml:space="preserve">We will need to describe the CLHNS in more detail, in particular the sample we’re using to analyze.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0C948158" w15:done="0"/>
  <w15:commentEx w15:paraId="253387BC" w15:done="0"/>
  <w15:commentEx w15:paraId="24864342" w15:done="0"/>
  <w15:commentEx w15:paraId="737DD652" w15:done="0"/>
  <w15:commentEx w15:paraId="3AD4DFD0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4AE7D2B" w16cex:dateUtc="2021-07-30T18:29:00Z"/>
  <w16cex:commentExtensible w16cex:durableId="24AE7D50" w16cex:dateUtc="2021-07-30T18:29:00Z"/>
  <w16cex:commentExtensible w16cex:durableId="24AE7D9C" w16cex:dateUtc="2021-07-30T18:31:00Z"/>
  <w16cex:commentExtensible w16cex:durableId="24AE7E48" w16cex:dateUtc="2021-07-30T18:34:00Z"/>
  <w16cex:commentExtensible w16cex:durableId="24AE7E82" w16cex:dateUtc="2021-07-30T18:3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0C948158" w16cid:durableId="24AE7D2B"/>
  <w16cid:commentId w16cid:paraId="253387BC" w16cid:durableId="24AE7D50"/>
  <w16cid:commentId w16cid:paraId="24864342" w16cid:durableId="24AE7D9C"/>
  <w16cid:commentId w16cid:paraId="737DD652" w16cid:durableId="24AE7E48"/>
  <w16cid:commentId w16cid:paraId="3AD4DFD0" w16cid:durableId="24AE7E82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35211E"/>
    <w:multiLevelType w:val="hybridMultilevel"/>
    <w:tmpl w:val="53601C22"/>
    <w:lvl w:ilvl="0" w:tplc="0EA88694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2D18F6"/>
    <w:multiLevelType w:val="hybridMultilevel"/>
    <w:tmpl w:val="0F80FB9E"/>
    <w:lvl w:ilvl="0" w:tplc="3DA429E8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Calen Patrick Ryan">
    <w15:presenceInfo w15:providerId="AD" w15:userId="S::cpr183@ads.northwestern.edu::9657553f-4ee3-473a-8af3-3bcdebfc2e0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7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4E47"/>
    <w:rsid w:val="00092257"/>
    <w:rsid w:val="002762F6"/>
    <w:rsid w:val="003A216A"/>
    <w:rsid w:val="00545C9F"/>
    <w:rsid w:val="00764E47"/>
    <w:rsid w:val="009D77F0"/>
    <w:rsid w:val="00C301A6"/>
    <w:rsid w:val="00E11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E6AAFA"/>
  <w15:docId w15:val="{8335AA15-15A0-6643-95A1-776ABCFF3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216A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216A"/>
    <w:rPr>
      <w:rFonts w:ascii="Times New Roman" w:hAnsi="Times New Roman" w:cs="Times New Roman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3A216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A216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A216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A216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A216A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2762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oi.org/10.1016/j.molcel.2018.08.008" TargetMode="External"/><Relationship Id="rId18" Type="http://schemas.openxmlformats.org/officeDocument/2006/relationships/hyperlink" Target="https://doi.org/10.1002/dev.22085" TargetMode="External"/><Relationship Id="rId26" Type="http://schemas.openxmlformats.org/officeDocument/2006/relationships/hyperlink" Target="https://doi.org/10.1086/676856" TargetMode="External"/><Relationship Id="rId39" Type="http://schemas.openxmlformats.org/officeDocument/2006/relationships/hyperlink" Target="https://doi.org/10.1093/hmg/ddv456" TargetMode="External"/><Relationship Id="rId21" Type="http://schemas.openxmlformats.org/officeDocument/2006/relationships/hyperlink" Target="https://doi.org/10.1016/S0739-7240(00)00072-2" TargetMode="External"/><Relationship Id="rId34" Type="http://schemas.openxmlformats.org/officeDocument/2006/relationships/hyperlink" Target="https://doi.org/10.1098/rspb.2012.2370" TargetMode="External"/><Relationship Id="rId42" Type="http://schemas.openxmlformats.org/officeDocument/2006/relationships/hyperlink" Target="https://doi.org/10.1093/ije/dyw307" TargetMode="External"/><Relationship Id="rId47" Type="http://schemas.openxmlformats.org/officeDocument/2006/relationships/fontTable" Target="fontTable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6" Type="http://schemas.openxmlformats.org/officeDocument/2006/relationships/hyperlink" Target="https://doi.org/10.1111/j.1365-294X.2011.05331.x" TargetMode="External"/><Relationship Id="rId29" Type="http://schemas.openxmlformats.org/officeDocument/2006/relationships/hyperlink" Target="https://doi.org/10.1080/03014460.2020.1742787" TargetMode="External"/><Relationship Id="rId11" Type="http://schemas.openxmlformats.org/officeDocument/2006/relationships/hyperlink" Target="https://doi.org/10.1210/edrv.18.5.0313" TargetMode="External"/><Relationship Id="rId24" Type="http://schemas.openxmlformats.org/officeDocument/2006/relationships/hyperlink" Target="https://doi.org/10.1038/s41576-018-0004-3" TargetMode="External"/><Relationship Id="rId32" Type="http://schemas.openxmlformats.org/officeDocument/2006/relationships/hyperlink" Target="https://doi.org/10.1086/662671" TargetMode="External"/><Relationship Id="rId37" Type="http://schemas.openxmlformats.org/officeDocument/2006/relationships/hyperlink" Target="https://doi.org/10.1002/ajhb.23488" TargetMode="External"/><Relationship Id="rId40" Type="http://schemas.openxmlformats.org/officeDocument/2006/relationships/hyperlink" Target="https://doi.org/10.1093/hmg/ddv456" TargetMode="External"/><Relationship Id="rId45" Type="http://schemas.openxmlformats.org/officeDocument/2006/relationships/hyperlink" Target="https://doi.org/10.1093/emph/eoy014" TargetMode="External"/><Relationship Id="rId5" Type="http://schemas.openxmlformats.org/officeDocument/2006/relationships/comments" Target="comments.xml"/><Relationship Id="rId15" Type="http://schemas.openxmlformats.org/officeDocument/2006/relationships/hyperlink" Target="https://doi.org/10.1111/j.1365-294X.2011.05331.x" TargetMode="External"/><Relationship Id="rId23" Type="http://schemas.openxmlformats.org/officeDocument/2006/relationships/hyperlink" Target="https://doi.org/10.1038/s41576-018-0004-3" TargetMode="External"/><Relationship Id="rId28" Type="http://schemas.openxmlformats.org/officeDocument/2006/relationships/hyperlink" Target="https://doi.org/10.1016/j.cub.2011.08.025" TargetMode="External"/><Relationship Id="rId36" Type="http://schemas.openxmlformats.org/officeDocument/2006/relationships/hyperlink" Target="https://doi.org/10.1086/444439" TargetMode="External"/><Relationship Id="rId49" Type="http://schemas.openxmlformats.org/officeDocument/2006/relationships/theme" Target="theme/theme1.xml"/><Relationship Id="rId10" Type="http://schemas.openxmlformats.org/officeDocument/2006/relationships/hyperlink" Target="https://doi.org/10.1093/ije/dyq085" TargetMode="External"/><Relationship Id="rId19" Type="http://schemas.openxmlformats.org/officeDocument/2006/relationships/hyperlink" Target="https://doi.org/10.1002/ece3.551" TargetMode="External"/><Relationship Id="rId31" Type="http://schemas.openxmlformats.org/officeDocument/2006/relationships/hyperlink" Target="https://doi.org/10.1086/662671" TargetMode="External"/><Relationship Id="rId44" Type="http://schemas.openxmlformats.org/officeDocument/2006/relationships/hyperlink" Target="https://doi.org/10.1159/00046430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i.org/10.1093/ije/dyq085" TargetMode="External"/><Relationship Id="rId14" Type="http://schemas.openxmlformats.org/officeDocument/2006/relationships/hyperlink" Target="https://doi.org/10.1016/j.molcel.2018.08.008" TargetMode="External"/><Relationship Id="rId22" Type="http://schemas.openxmlformats.org/officeDocument/2006/relationships/hyperlink" Target="https://doi.org/10.1016/S0739-7240(00)00072-2" TargetMode="External"/><Relationship Id="rId27" Type="http://schemas.openxmlformats.org/officeDocument/2006/relationships/hyperlink" Target="https://doi.org/10.1016/j.cub.2011.08.025" TargetMode="External"/><Relationship Id="rId30" Type="http://schemas.openxmlformats.org/officeDocument/2006/relationships/hyperlink" Target="https://doi.org/10.1080/03014460.2020.1742787" TargetMode="External"/><Relationship Id="rId35" Type="http://schemas.openxmlformats.org/officeDocument/2006/relationships/hyperlink" Target="https://doi.org/10.1086/444439" TargetMode="External"/><Relationship Id="rId43" Type="http://schemas.openxmlformats.org/officeDocument/2006/relationships/hyperlink" Target="https://doi.org/10.1159/000464302" TargetMode="External"/><Relationship Id="rId48" Type="http://schemas.microsoft.com/office/2011/relationships/people" Target="people.xml"/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12" Type="http://schemas.openxmlformats.org/officeDocument/2006/relationships/hyperlink" Target="https://doi.org/10.1210/edrv.18.5.0313" TargetMode="External"/><Relationship Id="rId17" Type="http://schemas.openxmlformats.org/officeDocument/2006/relationships/hyperlink" Target="https://doi.org/10.1002/dev.22085" TargetMode="External"/><Relationship Id="rId25" Type="http://schemas.openxmlformats.org/officeDocument/2006/relationships/hyperlink" Target="https://doi.org/10.1086/676856" TargetMode="External"/><Relationship Id="rId33" Type="http://schemas.openxmlformats.org/officeDocument/2006/relationships/hyperlink" Target="https://doi.org/10.1098/rspb.2012.2370" TargetMode="External"/><Relationship Id="rId38" Type="http://schemas.openxmlformats.org/officeDocument/2006/relationships/hyperlink" Target="https://doi.org/10.1002/ajhb.23488" TargetMode="External"/><Relationship Id="rId46" Type="http://schemas.openxmlformats.org/officeDocument/2006/relationships/hyperlink" Target="https://doi.org/10.1093/emph/eoy014" TargetMode="External"/><Relationship Id="rId20" Type="http://schemas.openxmlformats.org/officeDocument/2006/relationships/hyperlink" Target="https://doi.org/10.1002/ece3.551" TargetMode="External"/><Relationship Id="rId41" Type="http://schemas.openxmlformats.org/officeDocument/2006/relationships/hyperlink" Target="https://doi.org/10.1093/ije/dyw307" TargetMode="External"/><Relationship Id="rId1" Type="http://schemas.openxmlformats.org/officeDocument/2006/relationships/numbering" Target="numbering.xml"/><Relationship Id="rId6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4</Pages>
  <Words>1901</Words>
  <Characters>10839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Calen Patrick Ryan</cp:lastModifiedBy>
  <cp:revision>4</cp:revision>
  <dcterms:created xsi:type="dcterms:W3CDTF">2021-07-30T18:28:00Z</dcterms:created>
  <dcterms:modified xsi:type="dcterms:W3CDTF">2021-07-30T21:43:00Z</dcterms:modified>
</cp:coreProperties>
</file>