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D802A6A" w:rsidR="000A073E" w:rsidRPr="007B0F44" w:rsidRDefault="008406FB" w:rsidP="008406FB">
      <w:pPr>
        <w:shd w:val="clear" w:color="auto" w:fill="FFFFFF"/>
        <w:spacing w:line="480" w:lineRule="auto"/>
        <w:jc w:val="center"/>
        <w:rPr>
          <w:b/>
          <w:highlight w:val="green"/>
        </w:rPr>
      </w:pPr>
      <w:r w:rsidRPr="007B0F44">
        <w:rPr>
          <w:b/>
          <w:highlight w:val="green"/>
        </w:rPr>
        <w:t xml:space="preserve">Parity </w:t>
      </w:r>
      <w:r w:rsidR="007B0F44" w:rsidRPr="007B0F44">
        <w:rPr>
          <w:b/>
          <w:highlight w:val="green"/>
        </w:rPr>
        <w:t>predicts biological age acceleration but only in postmenopausal women</w:t>
      </w:r>
      <w:r w:rsidRPr="007B0F44">
        <w:rPr>
          <w:b/>
          <w:highlight w:val="green"/>
        </w:rPr>
        <w:t xml:space="preserve">: </w:t>
      </w:r>
    </w:p>
    <w:p w14:paraId="1996309F" w14:textId="5B893D01" w:rsidR="000A073E" w:rsidRDefault="008406FB" w:rsidP="008406FB">
      <w:pPr>
        <w:shd w:val="clear" w:color="auto" w:fill="FFFFFF"/>
        <w:spacing w:line="480" w:lineRule="auto"/>
        <w:jc w:val="center"/>
        <w:rPr>
          <w:b/>
        </w:rPr>
      </w:pPr>
      <w:r w:rsidRPr="007B0F44">
        <w:rPr>
          <w:b/>
          <w:highlight w:val="green"/>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Talia N. Shirazi</w:t>
      </w:r>
      <w:r w:rsidRPr="008406FB">
        <w:rPr>
          <w:bCs/>
          <w:vertAlign w:val="superscript"/>
        </w:rPr>
        <w:t>a</w:t>
      </w:r>
      <w:r w:rsidR="005C1705">
        <w:rPr>
          <w:bCs/>
          <w:vertAlign w:val="superscript"/>
        </w:rPr>
        <w:t>*</w:t>
      </w:r>
      <w:r w:rsidRPr="008406FB">
        <w:rPr>
          <w:bCs/>
        </w:rPr>
        <w:t>, Waylon J. Hastings</w:t>
      </w:r>
      <w:r w:rsidRPr="008406FB">
        <w:rPr>
          <w:bCs/>
          <w:vertAlign w:val="superscript"/>
        </w:rPr>
        <w:t>b</w:t>
      </w:r>
      <w:r w:rsidRPr="008406FB">
        <w:rPr>
          <w:bCs/>
        </w:rPr>
        <w:t>, Asher Y. Rosinger</w:t>
      </w:r>
      <w:r w:rsidRPr="008406FB">
        <w:rPr>
          <w:bCs/>
          <w:vertAlign w:val="superscript"/>
        </w:rPr>
        <w:t>a,b</w:t>
      </w:r>
      <w:r w:rsidRPr="008406FB">
        <w:rPr>
          <w:bCs/>
        </w:rPr>
        <w:t>, Calen P. Ryan</w:t>
      </w:r>
      <w:r w:rsidRPr="008406FB">
        <w:rPr>
          <w:bCs/>
          <w:vertAlign w:val="superscript"/>
        </w:rPr>
        <w:t>c</w:t>
      </w:r>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17415684"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Levine Method, homeostatic dysregulation, Klemera-Doubal method biological age</w:t>
      </w:r>
      <w:r w:rsidR="00093C28">
        <w:rPr>
          <w:color w:val="000000"/>
        </w:rPr>
        <w:t xml:space="preserve">, and </w:t>
      </w:r>
      <w:r w:rsidR="00093C28" w:rsidRPr="00093C28">
        <w:rPr>
          <w:color w:val="000000"/>
          <w:highlight w:val="yellow"/>
        </w:rPr>
        <w:t>allostatic load</w:t>
      </w:r>
      <w:r w:rsidR="00693C80" w:rsidRPr="00904FBF">
        <w:rPr>
          <w:color w:val="000000"/>
          <w:highlight w:val="green"/>
        </w:rPr>
        <w:t xml:space="preserve">. </w:t>
      </w:r>
      <w:r w:rsidR="00511AC6" w:rsidRPr="00904FBF">
        <w:rPr>
          <w:color w:val="000000"/>
          <w:highlight w:val="green"/>
        </w:rPr>
        <w:t xml:space="preserve">Parity </w:t>
      </w:r>
      <w:r w:rsidR="00054785">
        <w:rPr>
          <w:color w:val="000000"/>
          <w:highlight w:val="green"/>
        </w:rPr>
        <w:t>exhibited a U-shaped relationship</w:t>
      </w:r>
      <w:r w:rsidR="00511AC6" w:rsidRPr="00904FBF">
        <w:rPr>
          <w:color w:val="000000"/>
          <w:highlight w:val="green"/>
        </w:rPr>
        <w:t xml:space="preserve"> with accelerated biological aging when controlling for chronological age, lifestyle, health-related, and demographic factors in postmenopausal, but not premenopausal, women</w:t>
      </w:r>
      <w:r w:rsidR="00054785">
        <w:rPr>
          <w:color w:val="000000"/>
          <w:highlight w:val="green"/>
        </w:rPr>
        <w:t xml:space="preserve">, with biological age acceleration being lowest </w:t>
      </w:r>
      <w:r w:rsidR="00ED4070">
        <w:rPr>
          <w:color w:val="000000"/>
          <w:highlight w:val="green"/>
        </w:rPr>
        <w:t xml:space="preserve">among postmenopausal women reporting </w:t>
      </w:r>
      <w:r w:rsidR="00054785">
        <w:rPr>
          <w:color w:val="000000"/>
          <w:highlight w:val="green"/>
        </w:rPr>
        <w:t>between two and three live births</w:t>
      </w:r>
      <w:r w:rsidR="00511AC6" w:rsidRPr="00904FBF">
        <w:rPr>
          <w:color w:val="000000"/>
          <w:highlight w:val="green"/>
        </w:rPr>
        <w:t xml:space="preserve">. </w:t>
      </w:r>
      <w:r w:rsidR="00875CA4" w:rsidRPr="00904FBF">
        <w:rPr>
          <w:color w:val="000000"/>
          <w:highlight w:val="green"/>
        </w:rPr>
        <w:t xml:space="preserve">Our findings </w:t>
      </w:r>
      <w:r w:rsidR="00511AC6" w:rsidRPr="00904FBF">
        <w:rPr>
          <w:color w:val="000000"/>
          <w:highlight w:val="green"/>
        </w:rPr>
        <w:t xml:space="preserve">suggest </w:t>
      </w:r>
      <w:r w:rsidR="00875CA4" w:rsidRPr="00904FBF">
        <w:rPr>
          <w:color w:val="000000"/>
          <w:highlight w:val="green"/>
        </w:rPr>
        <w:t>a link between reproductive function and physiological dysregulation, and of compensatory mechanisms that buffer the effects of reproductive function on physiological dysregulation during a woman’s reproductive lifespan.</w:t>
      </w:r>
      <w:r w:rsidR="00875CA4">
        <w:rPr>
          <w:color w:val="000000"/>
        </w:rPr>
        <w:t xml:space="preserve"> </w:t>
      </w:r>
      <w:r w:rsidR="00693C80">
        <w:rPr>
          <w:color w:val="000000"/>
        </w:rPr>
        <w:t>Future work should continue to investigate links between parity</w:t>
      </w:r>
      <w:r w:rsidR="00875CA4">
        <w:rPr>
          <w:color w:val="000000"/>
        </w:rPr>
        <w:t>, menopausal status,</w:t>
      </w:r>
      <w:r w:rsidR="00693C80">
        <w:rPr>
          <w:color w:val="000000"/>
        </w:rPr>
        <w:t xml:space="preserve">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177B04D8"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10B2DE52"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673967">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27E31E09"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w:t>
      </w:r>
      <w:r w:rsidR="00673967">
        <w:rPr>
          <w:highlight w:val="yellow"/>
        </w:rPr>
        <w:t>often weakly</w:t>
      </w:r>
      <w:r w:rsidR="00ED40F4" w:rsidRPr="00904FBF">
        <w:rPr>
          <w:highlight w:val="yellow"/>
        </w:rPr>
        <w:t xml:space="preserve"> correlated </w:t>
      </w:r>
      <w:r w:rsidR="00ED40F4" w:rsidRPr="00904FBF">
        <w:rPr>
          <w:highlight w:val="yellow"/>
        </w:rPr>
        <w:fldChar w:fldCharType="begin" w:fldLock="1"/>
      </w:r>
      <w:r w:rsidR="00673967">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14,39</w:t>
      </w:r>
      <w:r w:rsidR="00ED40F4" w:rsidRPr="00904FBF">
        <w:rPr>
          <w:highlight w:val="yellow"/>
        </w:rPr>
        <w:fldChar w:fldCharType="end"/>
      </w:r>
      <w:r w:rsidR="00ED40F4" w:rsidRPr="00904FBF">
        <w:rPr>
          <w:highlight w:val="yellow"/>
        </w:rPr>
        <w:t>. Similarly, both telomere length and DNA methylation age show no association with measures of biological age implemented at the clinical level</w:t>
      </w:r>
      <w:r w:rsidR="00673967">
        <w:rPr>
          <w:highlight w:val="yellow"/>
        </w:rPr>
        <w:t xml:space="preserve"> </w:t>
      </w:r>
      <w:r w:rsidR="00ED40F4" w:rsidRPr="00904FBF">
        <w:rPr>
          <w:highlight w:val="yellow"/>
        </w:rPr>
        <w:fldChar w:fldCharType="begin" w:fldLock="1"/>
      </w:r>
      <w:r w:rsidR="00764EF3">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40–43</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360E5F04" w14:textId="32A830B2" w:rsidR="000A073E"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 xml:space="preserve">by combining information from multiple clinical biomarkers that collectively assess the functioning of major organ systems throughout the body. </w:t>
      </w:r>
      <w:r w:rsidRPr="007466FC">
        <w:rPr>
          <w:highlight w:val="yellow"/>
        </w:rPr>
        <w:t>Four</w:t>
      </w:r>
      <w:r>
        <w:t xml:space="preserve"> composites of system integrity have been used to operationalize biological age and cumulative system dysregulation within the context of large-scale epidemiological studies in </w:t>
      </w:r>
      <w:r>
        <w:lastRenderedPageBreak/>
        <w:t xml:space="preserve">the United States: Homeostatic Dysregulation (HD) </w:t>
      </w:r>
      <w:r>
        <w:fldChar w:fldCharType="begin" w:fldLock="1"/>
      </w:r>
      <w:r w:rsidR="00764EF3">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44&lt;/sup&gt;","plainTextFormattedCitation":"44","previouslyFormattedCitation":"&lt;sup&gt;44&lt;/sup&gt;"},"properties":{"noteIndex":0},"schema":"https://github.com/citation-style-language/schema/raw/master/csl-citation.json"}</w:instrText>
      </w:r>
      <w:r>
        <w:fldChar w:fldCharType="separate"/>
      </w:r>
      <w:r w:rsidR="00673967" w:rsidRPr="00673967">
        <w:rPr>
          <w:noProof/>
          <w:vertAlign w:val="superscript"/>
        </w:rPr>
        <w:t>44</w:t>
      </w:r>
      <w:r>
        <w:fldChar w:fldCharType="end"/>
      </w:r>
      <w:r>
        <w:t xml:space="preserve">, Levine Method Biological Age (LM) </w:t>
      </w:r>
      <w:r>
        <w:fldChar w:fldCharType="begin" w:fldLock="1"/>
      </w:r>
      <w:r w:rsidR="00764EF3">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45,46&lt;/sup&gt;","plainTextFormattedCitation":"45,46","previouslyFormattedCitation":"&lt;sup&gt;45,46&lt;/sup&gt;"},"properties":{"noteIndex":0},"schema":"https://github.com/citation-style-language/schema/raw/master/csl-citation.json"}</w:instrText>
      </w:r>
      <w:r>
        <w:fldChar w:fldCharType="separate"/>
      </w:r>
      <w:r w:rsidR="00673967" w:rsidRPr="00673967">
        <w:rPr>
          <w:noProof/>
          <w:vertAlign w:val="superscript"/>
        </w:rPr>
        <w:t>45,46</w:t>
      </w:r>
      <w:r>
        <w:fldChar w:fldCharType="end"/>
      </w:r>
      <w:r>
        <w:t xml:space="preserve">, the Klemera-Doubal Method Biological Age (KDM) </w:t>
      </w:r>
      <w:r>
        <w:fldChar w:fldCharType="begin" w:fldLock="1"/>
      </w:r>
      <w:r w:rsidR="00764EF3">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45,47&lt;/sup&gt;","plainTextFormattedCitation":"45,47","previouslyFormattedCitation":"&lt;sup&gt;45,47&lt;/sup&gt;"},"properties":{"noteIndex":0},"schema":"https://github.com/citation-style-language/schema/raw/master/csl-citation.json"}</w:instrText>
      </w:r>
      <w:r>
        <w:fldChar w:fldCharType="separate"/>
      </w:r>
      <w:r w:rsidR="00673967" w:rsidRPr="00673967">
        <w:rPr>
          <w:noProof/>
          <w:vertAlign w:val="superscript"/>
        </w:rPr>
        <w:t>45,47</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764EF3">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48&lt;/sup&gt;","plainTextFormattedCitation":"48","previouslyFormattedCitation":"&lt;sup&gt;48&lt;/sup&gt;"},"properties":{"noteIndex":0},"schema":"https://github.com/citation-style-language/schema/raw/master/csl-citation.json"}</w:instrText>
      </w:r>
      <w:r w:rsidRPr="008F3B46">
        <w:rPr>
          <w:highlight w:val="yellow"/>
        </w:rPr>
        <w:fldChar w:fldCharType="separate"/>
      </w:r>
      <w:r w:rsidR="00673967" w:rsidRPr="00673967">
        <w:rPr>
          <w:noProof/>
          <w:highlight w:val="yellow"/>
          <w:vertAlign w:val="superscript"/>
        </w:rPr>
        <w:t>48</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764EF3">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11,49&lt;/sup&gt;","plainTextFormattedCitation":"11,49","previouslyFormattedCitation":"&lt;sup&gt;11,49&lt;/sup&gt;"},"properties":{"noteIndex":0},"schema":"https://github.com/citation-style-language/schema/raw/master/csl-citation.json"}</w:instrText>
      </w:r>
      <w:r w:rsidRPr="00005C73">
        <w:rPr>
          <w:highlight w:val="yellow"/>
        </w:rPr>
        <w:fldChar w:fldCharType="separate"/>
      </w:r>
      <w:r w:rsidR="00673967" w:rsidRPr="00673967">
        <w:rPr>
          <w:noProof/>
          <w:highlight w:val="yellow"/>
          <w:vertAlign w:val="superscript"/>
        </w:rPr>
        <w:t>11,49</w:t>
      </w:r>
      <w:r w:rsidRPr="00005C73">
        <w:rPr>
          <w:highlight w:val="yellow"/>
        </w:rPr>
        <w:fldChar w:fldCharType="end"/>
      </w:r>
      <w:r w:rsidRPr="00005C73">
        <w:rPr>
          <w:highlight w:val="yellow"/>
        </w:rPr>
        <w:t>. Other population-based studies have found similar links between AL and both objective and subjective markers of physical functioning and general health</w:t>
      </w:r>
      <w:r w:rsidR="00764EF3">
        <w:rPr>
          <w:highlight w:val="yellow"/>
        </w:rPr>
        <w:fldChar w:fldCharType="begin" w:fldLock="1"/>
      </w:r>
      <w:r w:rsidR="00764EF3">
        <w:rPr>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50&lt;/sup&gt;","plainTextFormattedCitation":"50"},"properties":{"noteIndex":0},"schema":"https://github.com/citation-style-language/schema/raw/master/csl-citation.json"}</w:instrText>
      </w:r>
      <w:r w:rsidR="00764EF3">
        <w:rPr>
          <w:highlight w:val="yellow"/>
        </w:rPr>
        <w:fldChar w:fldCharType="separate"/>
      </w:r>
      <w:r w:rsidR="00764EF3" w:rsidRPr="00764EF3">
        <w:rPr>
          <w:noProof/>
          <w:highlight w:val="yellow"/>
          <w:vertAlign w:val="superscript"/>
        </w:rPr>
        <w:t>50</w:t>
      </w:r>
      <w:r w:rsidR="00764EF3">
        <w:rPr>
          <w:highlight w:val="yellow"/>
        </w:rPr>
        <w:fldChar w:fldCharType="end"/>
      </w:r>
      <w:r w:rsidRPr="00005C73">
        <w:rPr>
          <w:highlight w:val="yellow"/>
        </w:rPr>
        <w:t>.</w:t>
      </w:r>
      <w:r>
        <w:t xml:space="preserve"> </w:t>
      </w:r>
      <w:r w:rsidR="00ED40F4" w:rsidRPr="007B0F44">
        <w:rPr>
          <w:highlight w:val="green"/>
        </w:rPr>
        <w:t xml:space="preserve">Importantly, </w:t>
      </w:r>
      <w:r w:rsidR="00117586" w:rsidRPr="007B0F44">
        <w:rPr>
          <w:highlight w:val="green"/>
        </w:rPr>
        <w:t xml:space="preserve">the energetic trade-offs between somatic maintenance and reproduction have been suggested to operate at the system level </w:t>
      </w:r>
      <w:r w:rsidR="008904B8" w:rsidRPr="007B0F44">
        <w:rPr>
          <w:highlight w:val="green"/>
        </w:rPr>
        <w:t>via the activity of hormones on the hypothalamic-pituitary-gonadal (HPG) axis</w:t>
      </w:r>
      <w:r w:rsidR="007B0F44" w:rsidRPr="007B0F44">
        <w:rPr>
          <w:highlight w:val="green"/>
        </w:rPr>
        <w:fldChar w:fldCharType="begin" w:fldLock="1"/>
      </w:r>
      <w:r w:rsidR="00764EF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51&lt;/sup&gt;","plainTextFormattedCitation":"51","previouslyFormattedCitation":"&lt;sup&gt;50&lt;/sup&gt;"},"properties":{"noteIndex":0},"schema":"https://github.com/citation-style-language/schema/raw/master/csl-citation.json"}</w:instrText>
      </w:r>
      <w:r w:rsidR="007B0F44" w:rsidRPr="007B0F44">
        <w:rPr>
          <w:highlight w:val="green"/>
        </w:rPr>
        <w:fldChar w:fldCharType="separate"/>
      </w:r>
      <w:r w:rsidR="00764EF3" w:rsidRPr="00764EF3">
        <w:rPr>
          <w:noProof/>
          <w:highlight w:val="green"/>
          <w:vertAlign w:val="superscript"/>
        </w:rPr>
        <w:t>51</w:t>
      </w:r>
      <w:r w:rsidR="007B0F44" w:rsidRPr="007B0F44">
        <w:rPr>
          <w:highlight w:val="green"/>
        </w:rPr>
        <w:fldChar w:fldCharType="end"/>
      </w:r>
      <w:r w:rsidR="008904B8">
        <w:t>.</w:t>
      </w:r>
      <w:r w:rsidR="00ED40F4">
        <w:t xml:space="preserve"> </w:t>
      </w:r>
      <w:r w:rsidR="00ED40F4" w:rsidRPr="007B0F44">
        <w:rPr>
          <w:highlight w:val="yellow"/>
        </w:rPr>
        <w:t>B</w:t>
      </w:r>
      <w:r w:rsidR="00117586" w:rsidRPr="007B0F44">
        <w:rPr>
          <w:highlight w:val="yellow"/>
        </w:rPr>
        <w:t xml:space="preserve">iological aging measures implemented at the cellular level may be inadequate to capture </w:t>
      </w:r>
      <w:r w:rsidRPr="007B0F44">
        <w:rPr>
          <w:highlight w:val="yellow"/>
        </w:rPr>
        <w:t>such</w:t>
      </w:r>
      <w:r w:rsidR="00117586" w:rsidRPr="007B0F44">
        <w:rPr>
          <w:highlight w:val="yellow"/>
        </w:rPr>
        <w:t xml:space="preserve"> system level dysregulation. </w:t>
      </w:r>
      <w:r w:rsidR="008406FB" w:rsidRPr="007B0F44">
        <w:rPr>
          <w:highlight w:val="yellow"/>
        </w:rPr>
        <w:t xml:space="preserve">What is unknown is whether it is possible to capture costs of reproduction in women using more easily measured, widely-used clinical measures of biological age. </w:t>
      </w:r>
      <w:r w:rsidR="008D43A2" w:rsidRPr="007B0F44">
        <w:rPr>
          <w:highlight w:val="yellow"/>
        </w:rPr>
        <w:t>As they each ind</w:t>
      </w:r>
      <w:r w:rsidR="008D43A2" w:rsidRPr="008D43A2">
        <w:rPr>
          <w:highlight w:val="yellow"/>
        </w:rPr>
        <w:t>ex different yet equally important aspects of aging</w:t>
      </w:r>
      <w:r>
        <w:t xml:space="preserve"> from cellular measures</w:t>
      </w:r>
      <w:r w:rsidR="008D43A2">
        <w:t xml:space="preserve">, </w:t>
      </w:r>
      <w:r w:rsidR="008406FB">
        <w:t xml:space="preserve">careful study </w:t>
      </w:r>
      <w:r>
        <w:t xml:space="preserve">using </w:t>
      </w:r>
      <w:r w:rsidR="008406FB">
        <w:t xml:space="preserve">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00746296"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 xml:space="preserve">We also perform exploratory analyses to test whether relationships between </w:t>
      </w:r>
      <w:r w:rsidR="008D43A2" w:rsidRPr="008D43A2">
        <w:rPr>
          <w:highlight w:val="yellow"/>
        </w:rPr>
        <w:lastRenderedPageBreak/>
        <w:t xml:space="preserve">parity and biological age are </w:t>
      </w:r>
      <w:r w:rsidR="00C079F9">
        <w:rPr>
          <w:highlight w:val="yellow"/>
        </w:rPr>
        <w:t>durable</w:t>
      </w:r>
      <w:r w:rsidR="008D43A2">
        <w:rPr>
          <w:highlight w:val="yellow"/>
        </w:rPr>
        <w:t xml:space="preserve">, such that they persist regardless of time since last birth, </w:t>
      </w:r>
      <w:r w:rsidR="008D43A2" w:rsidRPr="008D43A2">
        <w:rPr>
          <w:highlight w:val="yellow"/>
        </w:rPr>
        <w:t xml:space="preserve">or </w:t>
      </w:r>
      <w:r w:rsidR="00C079F9">
        <w:rPr>
          <w:highlight w:val="yellow"/>
        </w:rPr>
        <w:t>transient</w:t>
      </w:r>
      <w:r w:rsidR="008D43A2">
        <w:rPr>
          <w:highlight w:val="yellow"/>
        </w:rPr>
        <w:t>,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27C3E120"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64EF3">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51&lt;/sup&gt;"},"properties":{"noteIndex":0},"schema":"https://github.com/citation-style-language/schema/raw/master/csl-citation.json"}</w:instrText>
      </w:r>
      <w:r w:rsidR="009D7E28">
        <w:fldChar w:fldCharType="separate"/>
      </w:r>
      <w:r w:rsidR="00764EF3" w:rsidRPr="00764EF3">
        <w:rPr>
          <w:noProof/>
          <w:vertAlign w:val="superscript"/>
        </w:rPr>
        <w:t>52</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w:t>
      </w:r>
      <w:r>
        <w:rPr>
          <w:color w:val="000000"/>
          <w:shd w:val="clear" w:color="auto" w:fill="FFFF00"/>
        </w:rPr>
        <w:lastRenderedPageBreak/>
        <w:t xml:space="preserve">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68B84045"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80182">
        <w:rPr>
          <w:i/>
          <w:iCs/>
          <w:highlight w:val="yellow"/>
        </w:rPr>
        <w:t>n</w:t>
      </w:r>
      <w:r w:rsidR="00343A24" w:rsidRPr="00343A24">
        <w:rPr>
          <w:highlight w:val="yellow"/>
        </w:rPr>
        <w:t xml:space="preserve">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w:t>
      </w:r>
      <w:r w:rsidR="00380182">
        <w:t>8</w:t>
      </w:r>
      <w:r>
        <w:t xml:space="preserve"> or more live births (</w:t>
      </w:r>
      <w:r w:rsidRPr="00380182">
        <w:rPr>
          <w:i/>
          <w:iCs/>
        </w:rPr>
        <w:t>n</w:t>
      </w:r>
      <w:r>
        <w:t xml:space="preserve">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64EF3">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52&lt;/sup&gt;"},"properties":{"noteIndex":0},"schema":"https://github.com/citation-style-language/schema/raw/master/csl-citation.json"}</w:instrText>
      </w:r>
      <w:r w:rsidR="00254B2C" w:rsidRPr="00254B2C">
        <w:rPr>
          <w:highlight w:val="yellow"/>
        </w:rPr>
        <w:fldChar w:fldCharType="separate"/>
      </w:r>
      <w:r w:rsidR="00764EF3" w:rsidRPr="00764EF3">
        <w:rPr>
          <w:noProof/>
          <w:highlight w:val="yellow"/>
          <w:vertAlign w:val="superscript"/>
        </w:rPr>
        <w:t>53</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w:t>
      </w:r>
      <w:r>
        <w:lastRenderedPageBreak/>
        <w:t xml:space="preserve">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504A8C6E"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64EF3">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53&lt;/sup&gt;"},"properties":{"noteIndex":0},"schema":"https://github.com/citation-style-language/schema/raw/master/csl-citation.json"}</w:instrText>
      </w:r>
      <w:r w:rsidR="00B418E0">
        <w:fldChar w:fldCharType="separate"/>
      </w:r>
      <w:r w:rsidR="00764EF3" w:rsidRPr="00764EF3">
        <w:rPr>
          <w:noProof/>
          <w:vertAlign w:val="superscript"/>
        </w:rPr>
        <w:t>54</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14ABCC1"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64EF3">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54&lt;/sup&gt;"},"properties":{"noteIndex":0},"schema":"https://github.com/citation-style-language/schema/raw/master/csl-citation.json"}</w:instrText>
      </w:r>
      <w:r w:rsidR="00B418E0">
        <w:fldChar w:fldCharType="separate"/>
      </w:r>
      <w:r w:rsidR="00764EF3" w:rsidRPr="00764EF3">
        <w:rPr>
          <w:noProof/>
          <w:vertAlign w:val="superscript"/>
        </w:rPr>
        <w:t>55</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1EA1D64B" w:rsidR="000A073E" w:rsidRDefault="008406FB" w:rsidP="008406FB">
      <w:pPr>
        <w:shd w:val="clear" w:color="auto" w:fill="FFFFFF"/>
        <w:spacing w:line="480" w:lineRule="auto"/>
      </w:pPr>
      <w:r>
        <w:rPr>
          <w:u w:val="single"/>
        </w:rPr>
        <w:t>Homeostatic Dysregulation (HD)</w:t>
      </w:r>
      <w:r>
        <w:t xml:space="preserve"> is a measure of Mahalanobis distance</w:t>
      </w:r>
      <w:r w:rsidR="00B66627">
        <w:t xml:space="preserve"> </w:t>
      </w:r>
      <w:r w:rsidR="00B66627">
        <w:fldChar w:fldCharType="begin" w:fldLock="1"/>
      </w:r>
      <w:r w:rsidR="00764EF3">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55&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w:t>
      </w:r>
      <w:r w:rsidR="00380182">
        <w:t xml:space="preserve"> </w:t>
      </w:r>
      <w:r>
        <w:t>&lt;</w:t>
      </w:r>
      <w:r w:rsidR="00380182">
        <w:t xml:space="preserve"> </w:t>
      </w:r>
      <w:r>
        <w:t>30) and for whom all biomarkers fell within the clinically normal range for their age and sex (</w:t>
      </w:r>
      <w:r w:rsidR="00380182" w:rsidRPr="00380182">
        <w:rPr>
          <w:i/>
          <w:iCs/>
        </w:rPr>
        <w:t>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t>
      </w:r>
      <w:r>
        <w:lastRenderedPageBreak/>
        <w:t>within the Mahalanobis distance equation</w:t>
      </w:r>
      <w:r w:rsidR="00B66627">
        <w:t xml:space="preserve"> </w:t>
      </w:r>
      <w:r w:rsidR="00B66627">
        <w:fldChar w:fldCharType="begin" w:fldLock="1"/>
      </w:r>
      <w:r w:rsidR="00764EF3">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55&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3135BD6A"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764EF3">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47&lt;/sup&gt;","plainTextFormattedCitation":"47","previouslyFormattedCitation":"&lt;sup&gt;47&lt;/sup&gt;"},"properties":{"noteIndex":0},"schema":"https://github.com/citation-style-language/schema/raw/master/csl-citation.json"}</w:instrText>
      </w:r>
      <w:r w:rsidR="00B418E0">
        <w:fldChar w:fldCharType="separate"/>
      </w:r>
      <w:r w:rsidR="00673967" w:rsidRPr="00673967">
        <w:rPr>
          <w:noProof/>
          <w:vertAlign w:val="superscript"/>
        </w:rPr>
        <w:t>47</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r>
        <w:rPr>
          <w:i/>
        </w:rPr>
        <w:t>x</w:t>
      </w:r>
      <w:r>
        <w:rPr>
          <w:i/>
          <w:vertAlign w:val="subscript"/>
        </w:rPr>
        <w:t>j</w:t>
      </w:r>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r>
        <w:rPr>
          <w:i/>
        </w:rPr>
        <w:t>sBA</w:t>
      </w:r>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64EF3">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45&lt;/sup&gt;","plainTextFormattedCitation":"45","previouslyFormattedCitation":"&lt;sup&gt;45&lt;/sup&gt;"},"properties":{"noteIndex":0},"schema":"https://github.com/citation-style-language/schema/raw/master/csl-citation.json"}</w:instrText>
      </w:r>
      <w:r w:rsidR="00B66627">
        <w:fldChar w:fldCharType="separate"/>
      </w:r>
      <w:r w:rsidR="00673967" w:rsidRPr="00673967">
        <w:rPr>
          <w:noProof/>
          <w:vertAlign w:val="superscript"/>
        </w:rPr>
        <w:t>45</w:t>
      </w:r>
      <w:r w:rsidR="00B66627">
        <w:fldChar w:fldCharType="end"/>
      </w:r>
      <w:r>
        <w:t xml:space="preserve"> (Eq. 5). Following previous work </w:t>
      </w:r>
      <w:r w:rsidR="00B418E0">
        <w:fldChar w:fldCharType="begin" w:fldLock="1"/>
      </w:r>
      <w:r w:rsidR="00764EF3">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45&lt;/sup&gt;","plainTextFormattedCitation":"45","previouslyFormattedCitation":"&lt;sup&gt;45&lt;/sup&gt;"},"properties":{"noteIndex":0},"schema":"https://github.com/citation-style-language/schema/raw/master/csl-citation.json"}</w:instrText>
      </w:r>
      <w:r w:rsidR="00B418E0">
        <w:fldChar w:fldCharType="separate"/>
      </w:r>
      <w:r w:rsidR="00673967" w:rsidRPr="00673967">
        <w:rPr>
          <w:noProof/>
          <w:vertAlign w:val="superscript"/>
        </w:rPr>
        <w:t>45</w:t>
      </w:r>
      <w:r w:rsidR="00B418E0">
        <w:fldChar w:fldCharType="end"/>
      </w:r>
      <w:r>
        <w:t>, we formed our reference population from non-pregnant women in NHANES III aged 30-75 (</w:t>
      </w:r>
      <w:r w:rsidR="00380182" w:rsidRPr="00380182">
        <w:rPr>
          <w:i/>
          <w:iCs/>
        </w:rPr>
        <w:t>n</w:t>
      </w:r>
      <w:r w:rsidR="00B66627" w:rsidRPr="00380182">
        <w:rPr>
          <w:i/>
          <w:iCs/>
        </w:rPr>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31D9ADA9"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64EF3">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45,46&lt;/sup&gt;","plainTextFormattedCitation":"45,46","previouslyFormattedCitation":"&lt;sup&gt;45,46&lt;/sup&gt;"},"properties":{"noteIndex":0},"schema":"https://github.com/citation-style-language/schema/raw/master/csl-citation.json"}</w:instrText>
      </w:r>
      <w:r w:rsidR="00B418E0">
        <w:fldChar w:fldCharType="separate"/>
      </w:r>
      <w:r w:rsidR="00673967" w:rsidRPr="00673967">
        <w:rPr>
          <w:noProof/>
          <w:vertAlign w:val="superscript"/>
        </w:rPr>
        <w:t>45,46</w:t>
      </w:r>
      <w:r w:rsidR="00B418E0">
        <w:fldChar w:fldCharType="end"/>
      </w:r>
      <w:r>
        <w:t xml:space="preserve">. Herein, a multivariate Gompertz model of mortality hazard is fit to the selected biomarkers and chronological age to form a predicted hazard of mortality called a “mortality score”. This mortality score is converted to a biological age value using a second univariate Gompertz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64EF3">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lt;/sup&gt;","plainTextFormattedCitation":"46","previouslyFormattedCitation":"&lt;sup&gt;46&lt;/sup&gt;"},"properties":{"noteIndex":0},"schema":"https://github.com/citation-style-language/schema/raw/master/csl-citation.json"}</w:instrText>
      </w:r>
      <w:r w:rsidR="00B66627">
        <w:fldChar w:fldCharType="separate"/>
      </w:r>
      <w:r w:rsidR="00673967" w:rsidRPr="00673967">
        <w:rPr>
          <w:noProof/>
          <w:vertAlign w:val="superscript"/>
        </w:rPr>
        <w:t>46</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7BFC1578"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64EF3">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56&lt;/sup&gt;"},"properties":{"noteIndex":0},"schema":"https://github.com/citation-style-language/schema/raw/master/csl-citation.json"}</w:instrText>
      </w:r>
      <w:r w:rsidRPr="007466FC">
        <w:rPr>
          <w:color w:val="000000"/>
          <w:highlight w:val="yellow"/>
        </w:rPr>
        <w:fldChar w:fldCharType="separate"/>
      </w:r>
      <w:r w:rsidR="00764EF3" w:rsidRPr="00764EF3">
        <w:rPr>
          <w:noProof/>
          <w:color w:val="000000"/>
          <w:highlight w:val="yellow"/>
          <w:vertAlign w:val="superscript"/>
        </w:rPr>
        <w:t>57</w:t>
      </w:r>
      <w:r w:rsidRPr="007466FC">
        <w:rPr>
          <w:color w:val="000000"/>
          <w:highlight w:val="yellow"/>
        </w:rPr>
        <w:fldChar w:fldCharType="end"/>
      </w:r>
      <w:r w:rsidRPr="007466FC">
        <w:rPr>
          <w:color w:val="000000"/>
          <w:highlight w:val="yellow"/>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380182">
        <w:rPr>
          <w:i/>
          <w:iCs/>
          <w:color w:val="000000"/>
          <w:highlight w:val="yellow"/>
        </w:rPr>
        <w:t>n</w:t>
      </w:r>
      <w:r w:rsidRPr="00380182">
        <w:rPr>
          <w:i/>
          <w:iCs/>
          <w:color w:val="000000"/>
          <w:highlight w:val="yellow"/>
        </w:rPr>
        <w:t xml:space="preserve"> </w:t>
      </w:r>
      <w:r w:rsidRPr="007466FC">
        <w:rPr>
          <w:color w:val="000000"/>
          <w:highlight w:val="yellow"/>
        </w:rPr>
        <w:t xml:space="preserve">=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E30307B" w:rsidR="000A073E" w:rsidRDefault="008406FB" w:rsidP="008406FB">
      <w:pPr>
        <w:shd w:val="clear" w:color="auto" w:fill="FFFFFF"/>
        <w:spacing w:line="480" w:lineRule="auto"/>
      </w:pPr>
      <w:r>
        <w:t xml:space="preserve">Self-reported race/ethnicity </w:t>
      </w:r>
      <w:r w:rsidR="00B418E0">
        <w:fldChar w:fldCharType="begin" w:fldLock="1"/>
      </w:r>
      <w:r w:rsidR="00764EF3">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57&lt;/sup&gt;"},"properties":{"noteIndex":0},"schema":"https://github.com/citation-style-language/schema/raw/master/csl-citation.json"}</w:instrText>
      </w:r>
      <w:r w:rsidR="00B418E0">
        <w:fldChar w:fldCharType="separate"/>
      </w:r>
      <w:r w:rsidR="00764EF3" w:rsidRPr="00764EF3">
        <w:rPr>
          <w:noProof/>
          <w:vertAlign w:val="superscript"/>
        </w:rPr>
        <w:t>58</w:t>
      </w:r>
      <w:r w:rsidR="00B418E0">
        <w:fldChar w:fldCharType="end"/>
      </w:r>
      <w:r>
        <w:t>, socioeconomic status (SES</w:t>
      </w:r>
      <w:r w:rsidR="009D7E28">
        <w:t xml:space="preserve">) </w:t>
      </w:r>
      <w:r w:rsidR="009D7E28">
        <w:fldChar w:fldCharType="begin" w:fldLock="1"/>
      </w:r>
      <w:r w:rsidR="00764EF3">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58,59&lt;/sup&gt;"},"properties":{"noteIndex":0},"schema":"https://github.com/citation-style-language/schema/raw/master/csl-citation.json"}</w:instrText>
      </w:r>
      <w:r w:rsidR="009D7E28">
        <w:fldChar w:fldCharType="separate"/>
      </w:r>
      <w:r w:rsidR="00764EF3" w:rsidRPr="00764EF3">
        <w:rPr>
          <w:noProof/>
          <w:vertAlign w:val="superscript"/>
        </w:rPr>
        <w:t>59,60</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64EF3">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60&lt;/sup&gt;"},"properties":{"noteIndex":0},"schema":"https://github.com/citation-style-language/schema/raw/master/csl-citation.json"}</w:instrText>
      </w:r>
      <w:r w:rsidR="00B418E0">
        <w:fldChar w:fldCharType="separate"/>
      </w:r>
      <w:r w:rsidR="00764EF3" w:rsidRPr="00764EF3">
        <w:rPr>
          <w:noProof/>
          <w:vertAlign w:val="superscript"/>
        </w:rPr>
        <w:t>61</w:t>
      </w:r>
      <w:r w:rsidR="00B418E0">
        <w:fldChar w:fldCharType="end"/>
      </w:r>
      <w:r>
        <w:t>,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6C121DAE"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764EF3">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61&lt;/sup&gt;"},"properties":{"noteIndex":0},"schema":"https://github.com/citation-style-language/schema/raw/master/csl-citation.json"}</w:instrText>
      </w:r>
      <w:r w:rsidR="00B418E0">
        <w:fldChar w:fldCharType="separate"/>
      </w:r>
      <w:r w:rsidR="00764EF3" w:rsidRPr="00764EF3">
        <w:rPr>
          <w:noProof/>
          <w:vertAlign w:val="superscript"/>
        </w:rPr>
        <w:t>62</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764EF3">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62,63&lt;/sup&gt;"},"properties":{"noteIndex":0},"schema":"https://github.com/citation-style-language/schema/raw/master/csl-citation.json"}</w:instrText>
      </w:r>
      <w:r w:rsidR="00B418E0">
        <w:fldChar w:fldCharType="separate"/>
      </w:r>
      <w:r w:rsidR="00764EF3" w:rsidRPr="00764EF3">
        <w:rPr>
          <w:noProof/>
          <w:vertAlign w:val="superscript"/>
        </w:rPr>
        <w:t>63,64</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121B4A1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DA7505">
        <w:rPr>
          <w:highlight w:val="yellow"/>
        </w:rPr>
        <w:t xml:space="preserve"> for each analytical subset</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64EF3">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64&lt;/sup&gt;"},"properties":{"noteIndex":0},"schema":"https://github.com/citation-style-language/schema/raw/master/csl-citation.json"}</w:instrText>
      </w:r>
      <w:r w:rsidR="006E24C6">
        <w:rPr>
          <w:highlight w:val="yellow"/>
        </w:rPr>
        <w:fldChar w:fldCharType="separate"/>
      </w:r>
      <w:r w:rsidR="00764EF3" w:rsidRPr="00764EF3">
        <w:rPr>
          <w:noProof/>
          <w:highlight w:val="yellow"/>
          <w:vertAlign w:val="superscript"/>
        </w:rPr>
        <w:t>65</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43BE7F5A"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764EF3">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51,66&lt;/sup&gt;","plainTextFormattedCitation":"51,66","previouslyFormattedCitation":"&lt;sup&gt;50,65&lt;/sup&gt;"},"properties":{"noteIndex":0},"schema":"https://github.com/citation-style-language/schema/raw/master/csl-citation.json"}</w:instrText>
      </w:r>
      <w:r w:rsidR="00BD06AD" w:rsidRPr="00B71895">
        <w:rPr>
          <w:highlight w:val="yellow"/>
        </w:rPr>
        <w:fldChar w:fldCharType="separate"/>
      </w:r>
      <w:r w:rsidR="00764EF3" w:rsidRPr="00764EF3">
        <w:rPr>
          <w:noProof/>
          <w:highlight w:val="yellow"/>
          <w:vertAlign w:val="superscript"/>
        </w:rPr>
        <w:t>51,66</w:t>
      </w:r>
      <w:r w:rsidR="00BD06AD" w:rsidRPr="00B71895">
        <w:rPr>
          <w:highlight w:val="yellow"/>
        </w:rPr>
        <w:fldChar w:fldCharType="end"/>
      </w:r>
      <w:r w:rsidRPr="00B71895">
        <w:rPr>
          <w:highlight w:val="yellow"/>
        </w:rPr>
        <w:t xml:space="preserve">, </w:t>
      </w:r>
      <w:r w:rsidR="009C2E93" w:rsidRPr="00B71895">
        <w:rPr>
          <w:highlight w:val="yellow"/>
        </w:rPr>
        <w:t xml:space="preserve">models were estimated </w:t>
      </w:r>
      <w:r w:rsidR="00B71895" w:rsidRPr="00B71895">
        <w:rPr>
          <w:highlight w:val="yellow"/>
        </w:rPr>
        <w:t>separately</w:t>
      </w:r>
      <w:r w:rsidR="009C2E93" w:rsidRPr="00B71895">
        <w:rPr>
          <w:highlight w:val="yellow"/>
        </w:rPr>
        <w:t xml:space="preserve"> premenopausal and postmenopausal women.</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503D800A" w:rsidR="000A073E" w:rsidRDefault="008406FB" w:rsidP="008406FB">
      <w:pPr>
        <w:shd w:val="clear" w:color="auto" w:fill="FFFFFF"/>
        <w:spacing w:line="480" w:lineRule="auto"/>
      </w:pPr>
      <w:r>
        <w:t xml:space="preserve">Figure </w:t>
      </w:r>
      <w:r w:rsidR="00A949FD">
        <w:t>4</w:t>
      </w:r>
      <w:r>
        <w:t xml:space="preserve"> was generated using Stata through post-estimation marginal standardization postestimation commands in Stata for regressions adjusting for the distribution of other covariates </w:t>
      </w:r>
      <w:r w:rsidR="00BD06AD">
        <w:fldChar w:fldCharType="begin" w:fldLock="1"/>
      </w:r>
      <w:r w:rsidR="00764EF3">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66&lt;/sup&gt;"},"properties":{"noteIndex":0},"schema":"https://github.com/citation-style-language/schema/raw/master/csl-citation.json"}</w:instrText>
      </w:r>
      <w:r w:rsidR="00BD06AD">
        <w:fldChar w:fldCharType="separate"/>
      </w:r>
      <w:r w:rsidR="00764EF3" w:rsidRPr="00764EF3">
        <w:rPr>
          <w:noProof/>
          <w:vertAlign w:val="superscript"/>
        </w:rPr>
        <w:t>67</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2E501B97"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w:t>
      </w:r>
      <w:r>
        <w:lastRenderedPageBreak/>
        <w:t xml:space="preserve">assessed the extent to which effects of parity may be </w:t>
      </w:r>
      <w:r w:rsidR="00C079F9">
        <w:t>durable</w:t>
      </w:r>
      <w:r>
        <w:t xml:space="preserve"> and accumulate over time, or </w:t>
      </w:r>
      <w:r w:rsidR="00C079F9">
        <w:t>transient</w:t>
      </w:r>
      <w:r>
        <w:t xml:space="preserve"> and only present in the postnatal period. To assess potential </w:t>
      </w:r>
      <w:r w:rsidR="00C079F9">
        <w:t>durable</w:t>
      </w:r>
      <w:r>
        <w:t xml:space="preserve"> effects, years since last birth was calculated for women across all survey cycles as age of last live birth subtracted from current chronological age. To assess potential </w:t>
      </w:r>
      <w:r w:rsidR="00C079F9">
        <w:t>transient</w:t>
      </w:r>
      <w:r>
        <w:t xml:space="preserv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65EAB6F0" w:rsidR="00DA7505" w:rsidRPr="00B71895" w:rsidRDefault="00DA7505" w:rsidP="00DA7505">
      <w:pPr>
        <w:shd w:val="clear" w:color="auto" w:fill="FFFFFF"/>
        <w:spacing w:line="480" w:lineRule="auto"/>
        <w:rPr>
          <w:i/>
          <w:iCs/>
          <w:highlight w:val="yellow"/>
        </w:rPr>
      </w:pPr>
      <w:r w:rsidRPr="00B71895">
        <w:rPr>
          <w:i/>
          <w:iCs/>
          <w:highlight w:val="yellow"/>
        </w:rPr>
        <w:t>Differences between premenopausal and postmenopausal women</w:t>
      </w:r>
    </w:p>
    <w:p w14:paraId="5CC6F4CE" w14:textId="3DAEB196"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t>
      </w:r>
      <w:r>
        <w:t xml:space="preserve"> </w:t>
      </w:r>
      <w:r w:rsidRPr="007B2EA2">
        <w:rPr>
          <w:highlight w:val="green"/>
        </w:rPr>
        <w:t>Have to repeat analyses using survey-adjusted methods for all variables except for the biological age variables, which have already been analyzed using survey-adjusted regressions</w:t>
      </w:r>
      <w:r>
        <w:t xml:space="preserve"> </w:t>
      </w:r>
      <w:r w:rsidRPr="00B71895">
        <w:rPr>
          <w:highlight w:val="yellow"/>
        </w:rPr>
        <w:t>]. When adjusting for demographic differences, premenopausal women exhibited significantly lower LM and KDM biological age acceleration relative to postmenopausal women.</w:t>
      </w:r>
    </w:p>
    <w:p w14:paraId="5E101550" w14:textId="77777777" w:rsidR="00DA7505" w:rsidRDefault="00DA7505" w:rsidP="008406FB">
      <w:pPr>
        <w:shd w:val="clear" w:color="auto" w:fill="FFFFFF"/>
        <w:spacing w:line="480" w:lineRule="auto"/>
      </w:pPr>
    </w:p>
    <w:p w14:paraId="567DC6C0" w14:textId="48C583CF" w:rsidR="003811F0" w:rsidRPr="00B71895" w:rsidRDefault="003811F0" w:rsidP="008406FB">
      <w:pPr>
        <w:shd w:val="clear" w:color="auto" w:fill="FFFFFF"/>
        <w:spacing w:line="480" w:lineRule="auto"/>
        <w:rPr>
          <w:i/>
          <w:iCs/>
          <w:highlight w:val="yellow"/>
        </w:rPr>
      </w:pPr>
      <w:r w:rsidRPr="00B71895">
        <w:rPr>
          <w:i/>
          <w:iCs/>
          <w:highlight w:val="yellow"/>
        </w:rPr>
        <w:t xml:space="preserve">Premenopausal women </w:t>
      </w:r>
    </w:p>
    <w:p w14:paraId="3F3A0098" w14:textId="17E4E9CC"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00764EF3">
        <w:rPr>
          <w:highlight w:val="yellow"/>
        </w:rPr>
        <w:t xml:space="preserve">squared term, or </w:t>
      </w:r>
      <w:r w:rsidRPr="00B71895">
        <w:rPr>
          <w:highlight w:val="yellow"/>
        </w:rPr>
        <w:t>quadratic effect</w:t>
      </w:r>
      <w:r w:rsidR="00764EF3">
        <w:rPr>
          <w:highlight w:val="yellow"/>
        </w:rPr>
        <w:t>,</w:t>
      </w:r>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 xml:space="preserve">in premenopausal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r w:rsidR="002C760A" w:rsidRPr="00B71895">
        <w:rPr>
          <w:highlight w:val="yellow"/>
        </w:rPr>
        <w:t xml:space="preserve">Similar to our primary </w:t>
      </w:r>
      <w:r w:rsidR="002C760A" w:rsidRPr="00B71895">
        <w:rPr>
          <w:highlight w:val="yellow"/>
        </w:rPr>
        <w:lastRenderedPageBreak/>
        <w:t>analyses, the 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5F475E">
        <w:rPr>
          <w:highlight w:val="yellow"/>
        </w:rPr>
        <w:t xml:space="preserve">Repetition of these analyses in the primary analytical sample yielded the same pattern of results. </w:t>
      </w:r>
      <w:r w:rsidR="008406FB" w:rsidRPr="00B71895">
        <w:rPr>
          <w:highlight w:val="yellow"/>
        </w:rPr>
        <w:t xml:space="preserve">Of the </w:t>
      </w:r>
      <w:r w:rsidR="004E19F4" w:rsidRPr="00B71895">
        <w:rPr>
          <w:highlight w:val="yellow"/>
        </w:rPr>
        <w:t xml:space="preserve">2,166 premenopausal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680E3162"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p>
    <w:p w14:paraId="2E7C6EF4" w14:textId="76AAD7DF" w:rsidR="0069035A" w:rsidRPr="00B71895" w:rsidRDefault="0069035A" w:rsidP="008406FB">
      <w:pPr>
        <w:shd w:val="clear" w:color="auto" w:fill="FFFFFF"/>
        <w:spacing w:line="480" w:lineRule="auto"/>
        <w:rPr>
          <w:highlight w:val="yellow"/>
        </w:rPr>
      </w:pPr>
    </w:p>
    <w:p w14:paraId="516D5A8B" w14:textId="16119B9D" w:rsidR="0069035A" w:rsidRPr="00B71895" w:rsidRDefault="00D534A0" w:rsidP="008406FB">
      <w:pPr>
        <w:shd w:val="clear" w:color="auto" w:fill="FFFFFF"/>
        <w:spacing w:line="480" w:lineRule="auto"/>
        <w:rPr>
          <w:i/>
          <w:iCs/>
          <w:highlight w:val="yellow"/>
        </w:rPr>
      </w:pPr>
      <w:r w:rsidRPr="00B71895">
        <w:rPr>
          <w:i/>
          <w:iCs/>
          <w:highlight w:val="yellow"/>
        </w:rPr>
        <w:t>Postmenopausal women</w:t>
      </w:r>
    </w:p>
    <w:p w14:paraId="6335C6E7" w14:textId="5E52D5AD" w:rsidR="0054697D" w:rsidRDefault="009C2E93" w:rsidP="0054697D">
      <w:pPr>
        <w:shd w:val="clear" w:color="auto" w:fill="FFFFFF"/>
        <w:spacing w:line="480" w:lineRule="auto"/>
      </w:pPr>
      <w:r w:rsidRPr="00B71895">
        <w:rPr>
          <w:highlight w:val="yellow"/>
        </w:rPr>
        <w:t xml:space="preserve">Primary models in postmenopausal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w:t>
      </w:r>
      <w:r w:rsidR="005F475E">
        <w:rPr>
          <w:highlight w:val="yellow"/>
        </w:rPr>
        <w:t xml:space="preserve">Repetition of these analyses in the primary analytical </w:t>
      </w:r>
      <w:r w:rsidR="005F475E">
        <w:rPr>
          <w:highlight w:val="yellow"/>
        </w:rPr>
        <w:lastRenderedPageBreak/>
        <w:t xml:space="preserve">sample yielded the same pattern of results. </w:t>
      </w:r>
      <w:r w:rsidR="0054697D" w:rsidRPr="00B71895">
        <w:rPr>
          <w:highlight w:val="yellow"/>
        </w:rPr>
        <w:t>Of the 2,252 postmenopausal women in our primary 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676F5DF3" w:rsidR="000A073E" w:rsidRDefault="008406FB" w:rsidP="00875CA4">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nationally-representative sample of US women of reproductive and post-reproductive age. Based on </w:t>
      </w:r>
      <w:r w:rsidR="00875CA4">
        <w:t xml:space="preserve">results of </w:t>
      </w:r>
      <w:r>
        <w:t>prior work, we hypothesized a U-shaped relationship between parity and biological age</w:t>
      </w:r>
      <w:r w:rsidRPr="00555A7C">
        <w:rPr>
          <w:highlight w:val="green"/>
        </w:rPr>
        <w:t xml:space="preserve">. When controlling for lifestyle, health-related, and demographic factors, </w:t>
      </w:r>
      <w:r w:rsidR="001B00C3" w:rsidRPr="00555A7C">
        <w:rPr>
          <w:highlight w:val="green"/>
        </w:rPr>
        <w:t xml:space="preserve">the main effect of </w:t>
      </w:r>
      <w:r w:rsidRPr="00555A7C">
        <w:rPr>
          <w:highlight w:val="green"/>
        </w:rPr>
        <w:t>parity (defined as number of live births) was not significantly associated biological ag</w:t>
      </w:r>
      <w:r w:rsidR="005133A4" w:rsidRPr="00555A7C">
        <w:rPr>
          <w:highlight w:val="green"/>
        </w:rPr>
        <w:t xml:space="preserve">ing </w:t>
      </w:r>
      <w:r w:rsidR="00875CA4" w:rsidRPr="00555A7C">
        <w:rPr>
          <w:highlight w:val="green"/>
        </w:rPr>
        <w:t xml:space="preserve">among premenopausal women. </w:t>
      </w:r>
      <w:r w:rsidR="00AE321D" w:rsidRPr="00555A7C">
        <w:rPr>
          <w:highlight w:val="green"/>
        </w:rPr>
        <w:t xml:space="preserve">By contrast, analyses in </w:t>
      </w:r>
      <w:r w:rsidR="0060008C" w:rsidRPr="00555A7C">
        <w:rPr>
          <w:highlight w:val="green"/>
        </w:rPr>
        <w:t>postmenopausal women</w:t>
      </w:r>
      <w:r w:rsidR="00AE321D" w:rsidRPr="00555A7C">
        <w:rPr>
          <w:highlight w:val="green"/>
        </w:rPr>
        <w:t xml:space="preserve"> revealed the hypothesized U-shape </w:t>
      </w:r>
      <w:r w:rsidR="002144E6" w:rsidRPr="00555A7C">
        <w:rPr>
          <w:highlight w:val="green"/>
        </w:rPr>
        <w:t xml:space="preserve">relationship </w:t>
      </w:r>
      <w:r w:rsidR="00AE321D" w:rsidRPr="00555A7C">
        <w:rPr>
          <w:highlight w:val="green"/>
        </w:rPr>
        <w:t>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w:t>
      </w:r>
      <w:r w:rsidR="00AE321D">
        <w:t xml:space="preserve">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r w:rsidR="00175927">
        <w:t xml:space="preserve">both pre- and postmenopausal </w:t>
      </w:r>
      <w:r>
        <w:t xml:space="preserve">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7C8ED7D3" w14:textId="6D1399C8" w:rsidR="004563A1" w:rsidRDefault="004563A1" w:rsidP="00875CA4">
      <w:pPr>
        <w:shd w:val="clear" w:color="auto" w:fill="FFFFFF"/>
        <w:spacing w:line="480" w:lineRule="auto"/>
      </w:pPr>
    </w:p>
    <w:p w14:paraId="23FF817F" w14:textId="5937F1DA" w:rsidR="009920E4" w:rsidRDefault="009920E4" w:rsidP="00875CA4">
      <w:pPr>
        <w:shd w:val="clear" w:color="auto" w:fill="FFFFFF"/>
        <w:spacing w:line="480" w:lineRule="auto"/>
      </w:pPr>
      <w:r w:rsidRPr="00C23873">
        <w:rPr>
          <w:highlight w:val="green"/>
        </w:rPr>
        <w:t xml:space="preserve">According to the reproductive-cell cycle theory of aging, </w:t>
      </w:r>
      <w:r w:rsidR="00887FF5" w:rsidRPr="00C23873">
        <w:rPr>
          <w:highlight w:val="green"/>
        </w:rPr>
        <w:t>the protective forces acting to ensure survival during the reproductive stage of the lifespan are diminished in the post-menopausal period</w:t>
      </w:r>
      <w:r w:rsidR="00555A7C" w:rsidRPr="00C23873">
        <w:rPr>
          <w:highlight w:val="green"/>
        </w:rPr>
        <w:fldChar w:fldCharType="begin" w:fldLock="1"/>
      </w:r>
      <w:r w:rsidR="00764EF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51&lt;/sup&gt;","plainTextFormattedCitation":"51","previouslyFormattedCitation":"&lt;sup&gt;50&lt;/sup&gt;"},"properties":{"noteIndex":0},"schema":"https://github.com/citation-style-language/schema/raw/master/csl-citation.json"}</w:instrText>
      </w:r>
      <w:r w:rsidR="00555A7C" w:rsidRPr="00C23873">
        <w:rPr>
          <w:highlight w:val="green"/>
        </w:rPr>
        <w:fldChar w:fldCharType="separate"/>
      </w:r>
      <w:r w:rsidR="00764EF3" w:rsidRPr="00764EF3">
        <w:rPr>
          <w:noProof/>
          <w:highlight w:val="green"/>
          <w:vertAlign w:val="superscript"/>
        </w:rPr>
        <w:t>51</w:t>
      </w:r>
      <w:r w:rsidR="00555A7C" w:rsidRPr="00C23873">
        <w:rPr>
          <w:highlight w:val="green"/>
        </w:rPr>
        <w:fldChar w:fldCharType="end"/>
      </w:r>
      <w:r w:rsidR="00887FF5" w:rsidRPr="00C23873">
        <w:rPr>
          <w:highlight w:val="green"/>
        </w:rPr>
        <w:t xml:space="preserve">. Changes in </w:t>
      </w:r>
      <w:r w:rsidRPr="00C23873">
        <w:rPr>
          <w:highlight w:val="green"/>
        </w:rPr>
        <w:t xml:space="preserve">hypothalamic-pituitary-gonadal (HPG) axis function associated with menopause are </w:t>
      </w:r>
      <w:r w:rsidR="00887FF5" w:rsidRPr="00C23873">
        <w:rPr>
          <w:highlight w:val="green"/>
        </w:rPr>
        <w:t xml:space="preserve">proposed as </w:t>
      </w:r>
      <w:r w:rsidRPr="00C23873">
        <w:rPr>
          <w:highlight w:val="green"/>
        </w:rPr>
        <w:t xml:space="preserve">the </w:t>
      </w:r>
      <w:r w:rsidR="00887FF5" w:rsidRPr="00C23873">
        <w:rPr>
          <w:highlight w:val="green"/>
        </w:rPr>
        <w:lastRenderedPageBreak/>
        <w:t xml:space="preserve">proximate </w:t>
      </w:r>
      <w:r w:rsidRPr="00C23873">
        <w:rPr>
          <w:highlight w:val="green"/>
        </w:rPr>
        <w:t>causes of the increased physiological dysregulation observed in women after they are no longer in their reproductive stage. It is hypothesized that the combination of higher levels of hypothalamic and pituitary hormones, couple</w:t>
      </w:r>
      <w:r w:rsidR="00504358" w:rsidRPr="00C23873">
        <w:rPr>
          <w:highlight w:val="green"/>
        </w:rPr>
        <w:t>d</w:t>
      </w:r>
      <w:r w:rsidRPr="00C23873">
        <w:rPr>
          <w:highlight w:val="green"/>
        </w:rPr>
        <w:t xml:space="preserve">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w:t>
      </w:r>
      <w:r w:rsidR="005C0C04" w:rsidRPr="00C23873">
        <w:rPr>
          <w:highlight w:val="green"/>
        </w:rPr>
        <w:t>osteoporosis</w:t>
      </w:r>
      <w:r w:rsidRPr="00C23873">
        <w:rPr>
          <w:highlight w:val="green"/>
        </w:rPr>
        <w:t>, and cognitive decline</w:t>
      </w:r>
      <w:r w:rsidR="00555A7C" w:rsidRPr="00C23873">
        <w:rPr>
          <w:highlight w:val="green"/>
        </w:rPr>
        <w:t xml:space="preserve"> </w:t>
      </w:r>
      <w:r w:rsidR="00555A7C" w:rsidRPr="00C23873">
        <w:rPr>
          <w:highlight w:val="green"/>
        </w:rPr>
        <w:fldChar w:fldCharType="begin" w:fldLock="1"/>
      </w:r>
      <w:r w:rsidR="00764EF3">
        <w:rPr>
          <w:highlight w:val="green"/>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68&lt;/sup&gt;","plainTextFormattedCitation":"68","previouslyFormattedCitation":"&lt;sup&gt;67&lt;/sup&gt;"},"properties":{"noteIndex":0},"schema":"https://github.com/citation-style-language/schema/raw/master/csl-citation.json"}</w:instrText>
      </w:r>
      <w:r w:rsidR="00555A7C" w:rsidRPr="00C23873">
        <w:rPr>
          <w:highlight w:val="green"/>
        </w:rPr>
        <w:fldChar w:fldCharType="separate"/>
      </w:r>
      <w:r w:rsidR="00764EF3" w:rsidRPr="00764EF3">
        <w:rPr>
          <w:noProof/>
          <w:highlight w:val="green"/>
          <w:vertAlign w:val="superscript"/>
        </w:rPr>
        <w:t>68</w:t>
      </w:r>
      <w:r w:rsidR="00555A7C" w:rsidRPr="00C23873">
        <w:rPr>
          <w:highlight w:val="green"/>
        </w:rPr>
        <w:fldChar w:fldCharType="end"/>
      </w:r>
      <w:r w:rsidR="005C0C04" w:rsidRPr="00C23873">
        <w:rPr>
          <w:highlight w:val="green"/>
        </w:rPr>
        <w:t>. Premenopausal women who undergo an oophorectomy (surgical removal of one or both ovaries) are at higher risk of these same outcomes</w:t>
      </w:r>
      <w:r w:rsidR="00555A7C" w:rsidRPr="00C23873">
        <w:rPr>
          <w:highlight w:val="green"/>
        </w:rPr>
        <w:fldChar w:fldCharType="begin" w:fldLock="1"/>
      </w:r>
      <w:r w:rsidR="00764EF3">
        <w:rPr>
          <w:highlight w:val="green"/>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69,70&lt;/sup&gt;","plainTextFormattedCitation":"69,70","previouslyFormattedCitation":"&lt;sup&gt;68,69&lt;/sup&gt;"},"properties":{"noteIndex":0},"schema":"https://github.com/citation-style-language/schema/raw/master/csl-citation.json"}</w:instrText>
      </w:r>
      <w:r w:rsidR="00555A7C" w:rsidRPr="00C23873">
        <w:rPr>
          <w:highlight w:val="green"/>
        </w:rPr>
        <w:fldChar w:fldCharType="separate"/>
      </w:r>
      <w:r w:rsidR="00764EF3" w:rsidRPr="00764EF3">
        <w:rPr>
          <w:noProof/>
          <w:highlight w:val="green"/>
          <w:vertAlign w:val="superscript"/>
        </w:rPr>
        <w:t>69,70</w:t>
      </w:r>
      <w:r w:rsidR="00555A7C" w:rsidRPr="00C23873">
        <w:rPr>
          <w:highlight w:val="green"/>
        </w:rPr>
        <w:fldChar w:fldCharType="end"/>
      </w:r>
      <w:r w:rsidR="005C0C04" w:rsidRPr="00C23873">
        <w:rPr>
          <w:highlight w:val="green"/>
        </w:rPr>
        <w:t>,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w:t>
      </w:r>
      <w:r w:rsidR="00C23873" w:rsidRPr="00C23873">
        <w:rPr>
          <w:highlight w:val="green"/>
        </w:rPr>
        <w:t xml:space="preserve"> (reviewed in </w:t>
      </w:r>
      <w:r w:rsidR="00C23873" w:rsidRPr="00C23873">
        <w:rPr>
          <w:highlight w:val="green"/>
        </w:rPr>
        <w:fldChar w:fldCharType="begin" w:fldLock="1"/>
      </w:r>
      <w:r w:rsidR="00764EF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51&lt;/sup&gt;","plainTextFormattedCitation":"51","previouslyFormattedCitation":"&lt;sup&gt;50&lt;/sup&gt;"},"properties":{"noteIndex":0},"schema":"https://github.com/citation-style-language/schema/raw/master/csl-citation.json"}</w:instrText>
      </w:r>
      <w:r w:rsidR="00C23873" w:rsidRPr="00C23873">
        <w:rPr>
          <w:highlight w:val="green"/>
        </w:rPr>
        <w:fldChar w:fldCharType="separate"/>
      </w:r>
      <w:r w:rsidR="00764EF3" w:rsidRPr="00764EF3">
        <w:rPr>
          <w:noProof/>
          <w:highlight w:val="green"/>
          <w:vertAlign w:val="superscript"/>
        </w:rPr>
        <w:t>51</w:t>
      </w:r>
      <w:r w:rsidR="00C23873" w:rsidRPr="00C23873">
        <w:rPr>
          <w:highlight w:val="green"/>
        </w:rPr>
        <w:fldChar w:fldCharType="end"/>
      </w:r>
      <w:r w:rsidR="00C23873" w:rsidRPr="00C23873">
        <w:rPr>
          <w:highlight w:val="green"/>
        </w:rPr>
        <w:t>)</w:t>
      </w:r>
      <w:r w:rsidR="005C0C04" w:rsidRPr="00C23873">
        <w:rPr>
          <w:highlight w:val="green"/>
        </w:rPr>
        <w:t>.</w:t>
      </w:r>
      <w:r w:rsidR="005C0C04">
        <w:t xml:space="preserve"> </w:t>
      </w:r>
    </w:p>
    <w:p w14:paraId="55A20546" w14:textId="04AA44D7" w:rsidR="005C0C04" w:rsidRDefault="005C0C04" w:rsidP="00875CA4">
      <w:pPr>
        <w:shd w:val="clear" w:color="auto" w:fill="FFFFFF"/>
        <w:spacing w:line="480" w:lineRule="auto"/>
      </w:pPr>
    </w:p>
    <w:p w14:paraId="131FA3C8" w14:textId="22A8DE54" w:rsidR="005C0C04" w:rsidRDefault="00887FF5" w:rsidP="00875CA4">
      <w:pPr>
        <w:shd w:val="clear" w:color="auto" w:fill="FFFFFF"/>
        <w:spacing w:line="480" w:lineRule="auto"/>
      </w:pPr>
      <w:r>
        <w:t>Several</w:t>
      </w:r>
      <w:r w:rsidR="005C0C04">
        <w:t xml:space="preserve"> findings in the present study support the reproductive-cell cycle theory of aging. </w:t>
      </w:r>
      <w:r>
        <w:t>First is our main finding that links between parity and accelerated biological aging were apparent in only postmenopausal women</w:t>
      </w:r>
      <w:r w:rsidR="0075630D">
        <w:t xml:space="preserve"> (see also </w:t>
      </w:r>
      <w:r w:rsidR="0075630D">
        <w:fldChar w:fldCharType="begin" w:fldLock="1"/>
      </w:r>
      <w:r w:rsidR="00764EF3">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66&lt;/sup&gt;","plainTextFormattedCitation":"66","previouslyFormattedCitation":"&lt;sup&gt;65&lt;/sup&gt;"},"properties":{"noteIndex":0},"schema":"https://github.com/citation-style-language/schema/raw/master/csl-citation.json"}</w:instrText>
      </w:r>
      <w:r w:rsidR="0075630D">
        <w:fldChar w:fldCharType="separate"/>
      </w:r>
      <w:r w:rsidR="00764EF3" w:rsidRPr="00764EF3">
        <w:rPr>
          <w:noProof/>
          <w:vertAlign w:val="superscript"/>
        </w:rPr>
        <w:t>66</w:t>
      </w:r>
      <w:r w:rsidR="0075630D">
        <w:fldChar w:fldCharType="end"/>
      </w:r>
      <w:r w:rsidR="0075630D">
        <w:t>)</w:t>
      </w:r>
      <w:r>
        <w:t>. Second, years since last live birth did not significantly predict biological age acceleration in either pre- or postmenopausal women, nor did months since last live birth among premenopausal women, suggesting that any putative links between biological age and parity are not due to short-term</w:t>
      </w:r>
      <w:r w:rsidR="002144E6">
        <w:t xml:space="preserve"> physiological</w:t>
      </w:r>
      <w:r>
        <w:t xml:space="preserve"> changes associated with pregnancy and breastfeeding</w:t>
      </w:r>
      <w:r w:rsidR="002144E6">
        <w:t>. Third, biological age acceleration was significantly higher in postmenopausal as compared to premenopausal women, as has been reported previously</w:t>
      </w:r>
      <w:r w:rsidR="007B0F44">
        <w:fldChar w:fldCharType="begin" w:fldLock="1"/>
      </w:r>
      <w:r w:rsidR="00764EF3">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71&lt;/sup&gt;","plainTextFormattedCitation":"71","previouslyFormattedCitation":"&lt;sup&gt;70&lt;/sup&gt;"},"properties":{"noteIndex":0},"schema":"https://github.com/citation-style-language/schema/raw/master/csl-citation.json"}</w:instrText>
      </w:r>
      <w:r w:rsidR="007B0F44">
        <w:fldChar w:fldCharType="separate"/>
      </w:r>
      <w:r w:rsidR="00764EF3" w:rsidRPr="00764EF3">
        <w:rPr>
          <w:noProof/>
          <w:vertAlign w:val="superscript"/>
        </w:rPr>
        <w:t>71</w:t>
      </w:r>
      <w:r w:rsidR="007B0F44">
        <w:fldChar w:fldCharType="end"/>
      </w:r>
      <w:r w:rsidR="002144E6">
        <w:t xml:space="preserve">. </w:t>
      </w:r>
    </w:p>
    <w:p w14:paraId="772B03B6" w14:textId="318599F8" w:rsidR="0075630D" w:rsidRDefault="0075630D" w:rsidP="00875CA4">
      <w:pPr>
        <w:shd w:val="clear" w:color="auto" w:fill="FFFFFF"/>
        <w:spacing w:line="480" w:lineRule="auto"/>
      </w:pPr>
    </w:p>
    <w:p w14:paraId="6D707AA9" w14:textId="6DAB1AC4" w:rsidR="0075630D" w:rsidRDefault="0075630D" w:rsidP="00875CA4">
      <w:pPr>
        <w:shd w:val="clear" w:color="auto" w:fill="FFFFFF"/>
        <w:spacing w:line="480" w:lineRule="auto"/>
      </w:pPr>
      <w:r>
        <w:t>Our findings are thus most consistent with an effect between parity and biological aging acceleration that is buffered by premenopausal HPG axis function, and perhaps by other compensatory mechanisms, that cease to function in women’s post-reproductive years. Due to the nature of the data analyzed here, we cannot form specific hypotheses on the precise nature of these mechanisms</w:t>
      </w:r>
      <w:r w:rsidR="00504358">
        <w:t xml:space="preserve">, and existing data remains inconclusive. For example, the telomerase enzyme involved in protecting </w:t>
      </w:r>
      <w:r w:rsidR="00504358">
        <w:lastRenderedPageBreak/>
        <w:t>telomere integrity is activated by estrogen</w:t>
      </w:r>
      <w:r w:rsidR="00C23873">
        <w:t xml:space="preserve"> </w:t>
      </w:r>
      <w:r w:rsidR="007B0F44">
        <w:fldChar w:fldCharType="begin" w:fldLock="1"/>
      </w:r>
      <w:r w:rsidR="00764EF3">
        <w:instrText>ADDIN CSL_CITATION {"citationItems":[{"id":"ITEM-1","itemData":{"ISBN":"8107626524","ISSN":"00085472","PMID":"10606235","abstract":"Telomerase activity is present in most malignant tumors and provides a mechanism for the unlimited potential for division of neoplastic cells. Although telomerase is known to be a regulated enzyme, the factors and mechanisms involved in telomerase regulation are not well understood. In the present study, we examined the effects of estrogen on telomerase activity. Telomerase activity in estrogen receptor (ER)-positive MCF-7 cells was upregulated by the treatment with 17β-estradiol. This activation accompanied up-regulation of the telomerase catalytic subunit, hTERT mRNA. Gel shift assays revealed that the imperfect palindromic estrogen-responsive element in the hTERT promoter specifically binds to ER. Transient expression assays using luciferase reporter plasmids containing various fragments of hTERT promoter showed that this imperfect palindromic estrogen-responsive element is responsible for transcriptional activation by ligand-activated ER. We also found that estrogen activates c-Myc expression in MCF-7 cells and that E- boxes in the hTERT promoter that bind c-Myc/Max play additional roles in estrogen-induced transactivation of hTERT. Estrogen thus activates telomerase via direct and indirect effects on the hTERT promoter. These findings may help elucidate the mechanisms of hormonal control of telomerase activity and aid understanding of the roles of sex steroids in cellular senescence and aging as well as estrogen-induced carcinogenesis.","author":[{"dropping-particle":"","family":"Kyo","given":"Satoru","non-dropping-particle":"","parse-names":false,"suffix":""},{"dropping-particle":"","family":"Takakura","given":"Masahiro","non-dropping-particle":"","parse-names":false,"suffix":""},{"dropping-particle":"","family":"Kanaya","given":"Taro","non-dropping-particle":"","parse-names":false,"suffix":""},{"dropping-particle":"","family":"Zhuo","given":"Wang","non-dropping-particle":"","parse-names":false,"suffix":""},{"dropping-particle":"","family":"Fujimoto","given":"Kohtaro","non-dropping-particle":"","parse-names":false,"suffix":""},{"dropping-particle":"","family":"Nishio","given":"Yukihito","non-dropping-particle":"","parse-names":false,"suffix":""},{"dropping-particle":"","family":"Orimo","given":"Akira","non-dropping-particle":"","parse-names":false,"suffix":""},{"dropping-particle":"","family":"Inoue","given":"Masaki","non-dropping-particle":"","parse-names":false,"suffix":""}],"container-title":"Cancer Research","id":"ITEM-1","issue":"23","issued":{"date-parts":[["1999"]]},"page":"5917-5921","title":"Estrogen activates telomerase","type":"article-journal","volume":"59"},"uris":["http://www.mendeley.com/documents/?uuid=4154f528-baf9-4511-ac8e-731140252cbf"]}],"mendeley":{"formattedCitation":"&lt;sup&gt;72&lt;/sup&gt;","plainTextFormattedCitation":"72","previouslyFormattedCitation":"&lt;sup&gt;71&lt;/sup&gt;"},"properties":{"noteIndex":0},"schema":"https://github.com/citation-style-language/schema/raw/master/csl-citation.json"}</w:instrText>
      </w:r>
      <w:r w:rsidR="007B0F44">
        <w:fldChar w:fldCharType="separate"/>
      </w:r>
      <w:r w:rsidR="00764EF3" w:rsidRPr="00764EF3">
        <w:rPr>
          <w:noProof/>
          <w:vertAlign w:val="superscript"/>
        </w:rPr>
        <w:t>72</w:t>
      </w:r>
      <w:r w:rsidR="007B0F44">
        <w:fldChar w:fldCharType="end"/>
      </w:r>
      <w:r w:rsidR="00504358">
        <w:t>. However, epidemiological studies have observed slower rates of telomere attrition in the years following menopause</w:t>
      </w:r>
      <w:r w:rsidR="00C23873">
        <w:t xml:space="preserve"> </w:t>
      </w:r>
      <w:r w:rsidR="007B0F44">
        <w:fldChar w:fldCharType="begin" w:fldLock="1"/>
      </w:r>
      <w:r w:rsidR="00764EF3">
        <w:instrText>ADDIN CSL_CITATION {"citationItems":[{"id":"ITEM-1","itemData":{"DOI":"10.1093/ije/dyv165","ISSN":"14643685","PMID":"26385867","abstract":"Background: A longer leukocyte telomere length (LTL) in women than men has been attributed to a slow rate of LTL attrition in women, perhaps due to high estrogen exposure during the premenopausal period. Methods: To test this premise we performed a longitudinal study (an average follow-up of 12 years) in a subset of the population-based Danish National Twin Registry. Participants consisted of 405 women, aged 37.5 (range 18.0-64.3) years, and 329 men, aged 38.8 (range 18.0-58.5) years, at baseline examination. Results: Women showed a longer LTL [kb ± standard error(SE)] than men (baseline: 7.01 ± 0.03 vs 6.87 ± 0.04; follow-up: 6.79 ± 0.03 vs 6.65 ± 0.03; both P = 0.005). Women displayed deceleration of LTL attrition (bp/years ± SE), as they transitioned from the premenopausal period (20.6 ± 1.0) through the perimenopausal period (16.5 ± 1.3) to the postmenopausal period (15.1 ± 1.7). Age was not associated with LTL attrition in women after statistical control for menopausal status. Men, in contrast, displayed a trend for age-dependent increase in the rate of LTL attrition, which differed significantly from the pattern in women (P for interaction = 0.01).Conclusions: Results indicate that the premenopausal period is expressed in a higher rate of LTL attrition than the postmenopausal period. They further suggest that the sex gap in LTL stems from earlier ages-the period of growth and development. The higher rate of LTL attrition in premenopausal women, we propose, might relate to estrogen-mediated increased turnover of erythrocytes, menstrual bleeding or both.","author":[{"dropping-particle":"","family":"Dalgård","given":"Christine","non-dropping-particle":"","parse-names":false,"suffix":""},{"dropping-particle":"","family":"Benetos","given":"Athanase","non-dropping-particle":"","parse-names":false,"suffix":""},{"dropping-particle":"","family":"Verhulst","given":"Simon","non-dropping-particle":"","parse-names":false,"suffix":""},{"dropping-particle":"","family":"Labat","given":"Carlos","non-dropping-particle":"","parse-names":false,"suffix":""},{"dropping-particle":"","family":"Kark","given":"Jeremy D.","non-dropping-particle":"","parse-names":false,"suffix":""},{"dropping-particle":"","family":"Christensen","given":"Kaare","non-dropping-particle":"","parse-names":false,"suffix":""},{"dropping-particle":"","family":"Kimura","given":"Masayuki","non-dropping-particle":"","parse-names":false,"suffix":""},{"dropping-particle":"","family":"Kyvik","given":"Kirsten Ohm","non-dropping-particle":"","parse-names":false,"suffix":""},{"dropping-particle":"","family":"Aviv","given":"Abraham","non-dropping-particle":"","parse-names":false,"suffix":""}],"container-title":"International Journal of Epidemiology","id":"ITEM-1","issue":"5","issued":{"date-parts":[["2015"]]},"page":"1688-1695","title":"Leukocyte telomere length dynamics in women and men: Menopause vs age effects","type":"article-journal","volume":"44"},"uris":["http://www.mendeley.com/documents/?uuid=3cef89ea-fcd8-4ec7-9f77-14992178d7bf"]}],"mendeley":{"formattedCitation":"&lt;sup&gt;73&lt;/sup&gt;","plainTextFormattedCitation":"73","previouslyFormattedCitation":"&lt;sup&gt;72&lt;/sup&gt;"},"properties":{"noteIndex":0},"schema":"https://github.com/citation-style-language/schema/raw/master/csl-citation.json"}</w:instrText>
      </w:r>
      <w:r w:rsidR="007B0F44">
        <w:fldChar w:fldCharType="separate"/>
      </w:r>
      <w:r w:rsidR="00764EF3" w:rsidRPr="00764EF3">
        <w:rPr>
          <w:noProof/>
          <w:vertAlign w:val="superscript"/>
        </w:rPr>
        <w:t>73</w:t>
      </w:r>
      <w:r w:rsidR="007B0F44">
        <w:fldChar w:fldCharType="end"/>
      </w:r>
      <w:r w:rsidR="00504358">
        <w:t xml:space="preserve">. </w:t>
      </w:r>
      <w:r w:rsidR="002D5B28">
        <w:t xml:space="preserve">[ </w:t>
      </w:r>
      <w:r w:rsidR="002D5B28" w:rsidRPr="002D5B28">
        <w:rPr>
          <w:highlight w:val="green"/>
        </w:rPr>
        <w:t>insert one or two more examples suggesting link between HPG axis hormones and changes in system or cellular function – maybe BBB permeability stuff?</w:t>
      </w:r>
      <w:r w:rsidR="002D5B28">
        <w:t xml:space="preserve"> ] </w:t>
      </w:r>
      <w:r w:rsidR="00504358">
        <w:t>Thus</w:t>
      </w:r>
      <w:r w:rsidR="00D8626B">
        <w:t>,</w:t>
      </w:r>
      <w:r w:rsidR="00504358">
        <w:t xml:space="preserve"> it remains unclear how </w:t>
      </w:r>
      <w:r w:rsidR="00D8626B">
        <w:t>changes in ovarian hormones associated with menopause contribute to cellular instability and aging</w:t>
      </w:r>
      <w:r w:rsidR="002D5B28">
        <w:t>.</w:t>
      </w:r>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371240B0"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w:t>
      </w:r>
      <w:r w:rsidR="00C079F9">
        <w:t>durable</w:t>
      </w:r>
      <w:r>
        <w:t xml:space="preserve"> effects of parity and biological age exist</w:t>
      </w:r>
      <w:r w:rsidR="0075630D">
        <w:t xml:space="preserve"> among premenopausal women</w:t>
      </w:r>
      <w:r>
        <w:t xml:space="preserve">, this should have been apparent in our cross-sectional data, especially given the low levels of error or bias in reporting the number of live births. Second, we are only able to examine relatively </w:t>
      </w:r>
      <w:r w:rsidR="00C079F9">
        <w:t>durable</w:t>
      </w:r>
      <w:r>
        <w:t xml:space="preserve">, rather than </w:t>
      </w:r>
      <w:r w:rsidR="00C079F9">
        <w:t>transient</w:t>
      </w:r>
      <w:r>
        <w:t xml:space="preserve">, effects of reproduction on biological age given the current study design. </w:t>
      </w:r>
      <w:r w:rsidR="0075630D">
        <w:t xml:space="preserve">Though our analyses do not support </w:t>
      </w:r>
      <w:r w:rsidR="00C079F9">
        <w:t>transient</w:t>
      </w:r>
      <w:r w:rsidR="0075630D">
        <w:t xml:space="preserve"> effects of reproduction on biological age acceleration, l</w:t>
      </w:r>
      <w:r>
        <w:t xml:space="preserve">ongitudinal studies, ideally with dense sampling schedules, would better enable us to assess the time scales at which costs of reproduction may be apparent. Frequently sampling women </w:t>
      </w:r>
      <w:r w:rsidR="0075630D">
        <w:t xml:space="preserve">during both their reproductive and post-reproductive years </w:t>
      </w:r>
      <w:r>
        <w:t xml:space="preserve">would allow for the investigation of putative </w:t>
      </w:r>
      <w:r w:rsidR="00C079F9">
        <w:t xml:space="preserve">transient </w:t>
      </w:r>
      <w:r>
        <w:t xml:space="preserve">and </w:t>
      </w:r>
      <w:r w:rsidR="00C079F9">
        <w:t>durable</w:t>
      </w:r>
      <w:r>
        <w:t xml:space="preserve">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w:t>
      </w:r>
      <w:r w:rsidR="00C079F9">
        <w:rPr>
          <w:highlight w:val="yellow"/>
        </w:rPr>
        <w:t>transient</w:t>
      </w:r>
      <w:r w:rsidR="004F4AC4" w:rsidRPr="004F4AC4">
        <w:rPr>
          <w:highlight w:val="yellow"/>
        </w:rPr>
        <w:t xml:space="preserv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w:t>
      </w:r>
      <w:r w:rsidR="004F4AC4" w:rsidRPr="004F4AC4">
        <w:rPr>
          <w:highlight w:val="yellow"/>
        </w:rPr>
        <w:lastRenderedPageBreak/>
        <w:t>study’s findings.</w:t>
      </w:r>
      <w:r w:rsidR="004F4AC4">
        <w:t xml:space="preserve"> </w:t>
      </w:r>
      <w:r>
        <w:t>Women’s prenatal health also predicts both pregnancy outcomes</w:t>
      </w:r>
      <w:r w:rsidR="00C2335B">
        <w:t xml:space="preserve"> </w:t>
      </w:r>
      <w:r w:rsidR="00C2335B">
        <w:fldChar w:fldCharType="begin" w:fldLock="1"/>
      </w:r>
      <w:r w:rsidR="00764EF3">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74,75&lt;/sup&gt;","plainTextFormattedCitation":"74,75","previouslyFormattedCitation":"&lt;sup&gt;73,74&lt;/sup&gt;"},"properties":{"noteIndex":0},"schema":"https://github.com/citation-style-language/schema/raw/master/csl-citation.json"}</w:instrText>
      </w:r>
      <w:r w:rsidR="00C2335B">
        <w:fldChar w:fldCharType="separate"/>
      </w:r>
      <w:r w:rsidR="00764EF3" w:rsidRPr="00764EF3">
        <w:rPr>
          <w:noProof/>
          <w:vertAlign w:val="superscript"/>
        </w:rPr>
        <w:t>74,75</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073F89C"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764EF3">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76&lt;/sup&gt;","plainTextFormattedCitation":"76","previouslyFormattedCitation":"&lt;sup&gt;75&lt;/sup&gt;"},"properties":{"noteIndex":0},"schema":"https://github.com/citation-style-language/schema/raw/master/csl-citation.json"}</w:instrText>
      </w:r>
      <w:r w:rsidR="00C2335B">
        <w:fldChar w:fldCharType="separate"/>
      </w:r>
      <w:r w:rsidR="00764EF3" w:rsidRPr="00764EF3">
        <w:rPr>
          <w:noProof/>
          <w:vertAlign w:val="superscript"/>
        </w:rPr>
        <w:t>76</w:t>
      </w:r>
      <w:r w:rsidR="00C2335B">
        <w:fldChar w:fldCharType="end"/>
      </w:r>
      <w:r>
        <w:t xml:space="preserve">. </w:t>
      </w:r>
      <w:r w:rsidR="00B95B54">
        <w:t>We observed no significant differences in BMI as a function of menopausal status in our sample, which diminishes the likelihood that the association between parity and biological aging in postmenopausal women is driven by differences in body composition. Even so, c</w:t>
      </w:r>
      <w:r>
        <w:t xml:space="preserve">hanges in body mass and adiposity are central to the physiological changes </w:t>
      </w:r>
      <w:r w:rsidR="00B66627">
        <w:t>occurring</w:t>
      </w:r>
      <w:r>
        <w:t xml:space="preserve"> with pregnancy as women begin “metabolizing for two” </w:t>
      </w:r>
      <w:r w:rsidR="00C2335B">
        <w:fldChar w:fldCharType="begin" w:fldLock="1"/>
      </w:r>
      <w:r w:rsidR="00764EF3">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77&lt;/sup&gt;","plainTextFormattedCitation":"77","previouslyFormattedCitation":"&lt;sup&gt;76&lt;/sup&gt;"},"properties":{"noteIndex":0},"schema":"https://github.com/citation-style-language/schema/raw/master/csl-citation.json"}</w:instrText>
      </w:r>
      <w:r w:rsidR="00C2335B">
        <w:fldChar w:fldCharType="separate"/>
      </w:r>
      <w:r w:rsidR="00764EF3" w:rsidRPr="00764EF3">
        <w:rPr>
          <w:noProof/>
          <w:vertAlign w:val="superscript"/>
        </w:rPr>
        <w:t>77</w:t>
      </w:r>
      <w:r w:rsidR="00C2335B">
        <w:fldChar w:fldCharType="end"/>
      </w:r>
      <w:r>
        <w:t xml:space="preserve">. Parity is associated with increased central adiposity </w:t>
      </w:r>
      <w:r w:rsidR="00C2335B">
        <w:fldChar w:fldCharType="begin" w:fldLock="1"/>
      </w:r>
      <w:r w:rsidR="00764EF3">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78&lt;/sup&gt;","plainTextFormattedCitation":"78","previouslyFormattedCitation":"&lt;sup&gt;77&lt;/sup&gt;"},"properties":{"noteIndex":0},"schema":"https://github.com/citation-style-language/schema/raw/master/csl-citation.json"}</w:instrText>
      </w:r>
      <w:r w:rsidR="00C2335B">
        <w:fldChar w:fldCharType="separate"/>
      </w:r>
      <w:r w:rsidR="00764EF3" w:rsidRPr="00764EF3">
        <w:rPr>
          <w:noProof/>
          <w:vertAlign w:val="superscript"/>
        </w:rPr>
        <w:t>78</w:t>
      </w:r>
      <w:r w:rsidR="00C2335B">
        <w:fldChar w:fldCharType="end"/>
      </w:r>
      <w:r>
        <w:t xml:space="preserve">, and pregnancy-related weight gain can mediate associations between obesity and long-term morbidity </w:t>
      </w:r>
      <w:r w:rsidR="00C2335B">
        <w:fldChar w:fldCharType="begin" w:fldLock="1"/>
      </w:r>
      <w:r w:rsidR="00764EF3">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79&lt;/sup&gt;","plainTextFormattedCitation":"79","previouslyFormattedCitation":"&lt;sup&gt;78&lt;/sup&gt;"},"properties":{"noteIndex":0},"schema":"https://github.com/citation-style-language/schema/raw/master/csl-citation.json"}</w:instrText>
      </w:r>
      <w:r w:rsidR="00C2335B">
        <w:fldChar w:fldCharType="separate"/>
      </w:r>
      <w:r w:rsidR="00764EF3" w:rsidRPr="00764EF3">
        <w:rPr>
          <w:noProof/>
          <w:vertAlign w:val="superscript"/>
        </w:rPr>
        <w:t>79</w:t>
      </w:r>
      <w:r w:rsidR="00C2335B">
        <w:fldChar w:fldCharType="end"/>
      </w:r>
      <w:r>
        <w:t xml:space="preserve">. These risks might be reduced by breast-feeding, which acts to mobilize accumulated fat and reset maternal metabolism </w:t>
      </w:r>
      <w:r w:rsidR="00C2335B">
        <w:fldChar w:fldCharType="begin" w:fldLock="1"/>
      </w:r>
      <w:r w:rsidR="00764EF3">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80&lt;/sup&gt;","plainTextFormattedCitation":"80","previouslyFormattedCitation":"&lt;sup&gt;79&lt;/sup&gt;"},"properties":{"noteIndex":0},"schema":"https://github.com/citation-style-language/schema/raw/master/csl-citation.json"}</w:instrText>
      </w:r>
      <w:r w:rsidR="00C2335B">
        <w:fldChar w:fldCharType="separate"/>
      </w:r>
      <w:r w:rsidR="00764EF3" w:rsidRPr="00764EF3">
        <w:rPr>
          <w:noProof/>
          <w:vertAlign w:val="superscript"/>
        </w:rPr>
        <w:t>80</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more fully quantify pre- and post-natal factors indexing reproduction-related energetic investment. </w:t>
      </w:r>
    </w:p>
    <w:p w14:paraId="78109A91" w14:textId="35C27EFA" w:rsidR="00511AC6" w:rsidRDefault="00511AC6" w:rsidP="008406FB">
      <w:pPr>
        <w:shd w:val="clear" w:color="auto" w:fill="FFFFFF"/>
        <w:spacing w:line="480" w:lineRule="auto"/>
      </w:pPr>
    </w:p>
    <w:p w14:paraId="018E062E" w14:textId="43D3E8EF" w:rsidR="00511AC6" w:rsidRDefault="00511AC6" w:rsidP="008406FB">
      <w:pPr>
        <w:shd w:val="clear" w:color="auto" w:fill="FFFFFF"/>
        <w:spacing w:line="480" w:lineRule="auto"/>
      </w:pPr>
      <w:r>
        <w:t xml:space="preserve">Should HPG axis hormones modulate cellular processes that then affect clinical measures used to create biological age composites, we would hypothesize that current hormone use (whether in the form of hormonal contraceptives in premenopausal women, or hormone replacement therapy in postmenopausal women) would affect biological age and should thus be examined as a predictor. </w:t>
      </w:r>
      <w:r w:rsidR="00B95B54">
        <w:t>Indeed, long-term hormone replacement therapy has been associated with increase</w:t>
      </w:r>
      <w:r w:rsidR="00D8626B">
        <w:t>d</w:t>
      </w:r>
      <w:r w:rsidR="00B95B54">
        <w:t xml:space="preserve"> telomere length in post-menopausal women</w:t>
      </w:r>
      <w:r w:rsidR="007B0F44">
        <w:fldChar w:fldCharType="begin" w:fldLock="1"/>
      </w:r>
      <w:r w:rsidR="00764EF3">
        <w:instrText>ADDIN CSL_CITATION {"citationItems":[{"id":"ITEM-1","itemData":{"DOI":"10.3349/ymj.2005.46.4.471","ISSN":"05135796","PMID":"16127770","abstract":"Telomeres undergo attrition with each cell division, and telomere length is associated with age-related diseases and mortality in the elderly. Estrogen can influence the attrition of telomeres by diverse mechanisms. This is a retrospective case control study that investigated the influence of long-term hormone therapy (HT) on telomere length in postmenopausal women. We recruited 130 postmenopausal women from 55 to 69 years of age for this study, and divided them into two groups. The first group included 65 women who had been on estrogen and progesterone therapy for more than five years (HT group). The other group was composed of 65 women matched in age to the HT group who had never had HT (non-HT group). The relative ratios of telomere length of study subjects to a reference DNA from a healthy young female were measured using quantitative PCR. Plasma levels of lipid profiles, total antioxidant status (TAS), C-reactive proteins (CRP), fasting glucose levels, and estradiol levels were measured. Age at menopause, vitamin use, and exercise, alcohol, and cigarette smoking histories were also assessed in a questionnaire. Mean duration (± SD) of HT was 8.4 ± 2.3 years. Prevalence of vitamin use and regular exercise were higher in the HT group than in the non-HT group (p&lt;0.01). Relative telomere length ratios in the HT group were significantly greater than those in the non-HT group (p&lt;0.01). HT was significantly correlated with the relative telomere length ratio in multivariate analysis when potential confounding variables were controlled for (p&lt;0.05). In conclusion, telomere lengths were longer in postmenopausal women who had a history of long-term HT than in postmenopausal women without HT. Long-term HT in postmenopausal women may alleviate telomere attrition.","author":[{"dropping-particle":"","family":"Lee","given":"Duk Chul","non-dropping-particle":"","parse-names":false,"suffix":""},{"dropping-particle":"","family":"Im","given":"Jee Aee","non-dropping-particle":"","parse-names":false,"suffix":""},{"dropping-particle":"","family":"Kim","given":"Jeong Ho","non-dropping-particle":"","parse-names":false,"suffix":""},{"dropping-particle":"","family":"Lee","given":"Hye Ree","non-dropping-particle":"","parse-names":false,"suffix":""},{"dropping-particle":"","family":"Shim","given":"Jae Yong","non-dropping-particle":"","parse-names":false,"suffix":""}],"container-title":"Yonsei Medical Journal","id":"ITEM-1","issue":"4","issued":{"date-parts":[["2005"]]},"page":"471-479","title":"Effect of long-term hormone therapy on telomere length in postmenopausal women","type":"article-journal","volume":"46"},"uris":["http://www.mendeley.com/documents/?uuid=0677b0c6-70ec-4ce6-bdcd-d8570c01c51b"]}],"mendeley":{"formattedCitation":"&lt;sup&gt;81&lt;/sup&gt;","plainTextFormattedCitation":"81","previouslyFormattedCitation":"&lt;sup&gt;80&lt;/sup&gt;"},"properties":{"noteIndex":0},"schema":"https://github.com/citation-style-language/schema/raw/master/csl-citation.json"}</w:instrText>
      </w:r>
      <w:r w:rsidR="007B0F44">
        <w:fldChar w:fldCharType="separate"/>
      </w:r>
      <w:r w:rsidR="00764EF3" w:rsidRPr="00764EF3">
        <w:rPr>
          <w:noProof/>
          <w:vertAlign w:val="superscript"/>
        </w:rPr>
        <w:t>81</w:t>
      </w:r>
      <w:r w:rsidR="007B0F44">
        <w:fldChar w:fldCharType="end"/>
      </w:r>
      <w:r w:rsidR="00B95B54">
        <w:t xml:space="preserve">. </w:t>
      </w:r>
      <w:r w:rsidR="00506A74">
        <w:t xml:space="preserve">Though </w:t>
      </w:r>
      <w:r>
        <w:t xml:space="preserve">NHANES </w:t>
      </w:r>
      <w:r w:rsidR="00506A74">
        <w:t xml:space="preserve">collects data on lifetime patterns of hormonal contraceptive and hormone replacement therapy, it does not collect data on </w:t>
      </w:r>
      <w:r w:rsidR="00506A74" w:rsidRPr="00506A74">
        <w:rPr>
          <w:i/>
          <w:iCs/>
        </w:rPr>
        <w:t xml:space="preserve">current </w:t>
      </w:r>
      <w:r w:rsidR="00506A74">
        <w:t>use. Future studies assessing the feasibility of HPG axis outputs as modulators of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7AAAA915"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764EF3">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82&lt;/sup&gt;","plainTextFormattedCitation":"82","previouslyFormattedCitation":"&lt;sup&gt;81&lt;/sup&gt;"},"properties":{"noteIndex":0},"schema":"https://github.com/citation-style-language/schema/raw/master/csl-citation.json"}</w:instrText>
      </w:r>
      <w:r w:rsidR="009D7E28">
        <w:fldChar w:fldCharType="separate"/>
      </w:r>
      <w:r w:rsidR="00764EF3" w:rsidRPr="00764EF3">
        <w:rPr>
          <w:noProof/>
          <w:vertAlign w:val="superscript"/>
        </w:rPr>
        <w:t>82</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764EF3">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83&lt;/sup&gt;","plainTextFormattedCitation":"83","previouslyFormattedCitation":"&lt;sup&gt;82&lt;/sup&gt;"},"properties":{"noteIndex":0},"schema":"https://github.com/citation-style-language/schema/raw/master/csl-citation.json"}</w:instrText>
      </w:r>
      <w:r w:rsidR="00F60069">
        <w:fldChar w:fldCharType="separate"/>
      </w:r>
      <w:r w:rsidR="00764EF3" w:rsidRPr="00764EF3">
        <w:rPr>
          <w:noProof/>
          <w:vertAlign w:val="superscript"/>
        </w:rPr>
        <w:t>83</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764EF3">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84&lt;/sup&gt;","plainTextFormattedCitation":"84","previouslyFormattedCitation":"&lt;sup&gt;83&lt;/sup&gt;"},"properties":{"noteIndex":0},"schema":"https://github.com/citation-style-language/schema/raw/master/csl-citation.json"}</w:instrText>
      </w:r>
      <w:r w:rsidR="00F60069">
        <w:fldChar w:fldCharType="separate"/>
      </w:r>
      <w:r w:rsidR="00764EF3" w:rsidRPr="00764EF3">
        <w:rPr>
          <w:noProof/>
          <w:vertAlign w:val="superscript"/>
        </w:rPr>
        <w:t>84</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w:t>
      </w:r>
      <w:r w:rsidR="00B95B54">
        <w:t xml:space="preserve">seven </w:t>
      </w:r>
      <w:r>
        <w:t xml:space="preserve">previous live births. Whereas some studies have indeed examined links between parity and aging in non-Western settings </w:t>
      </w:r>
      <w:r w:rsidR="009D7E28">
        <w:fldChar w:fldCharType="begin" w:fldLock="1"/>
      </w:r>
      <w:r w:rsidR="00764EF3">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14,85&lt;/sup&gt;","plainTextFormattedCitation":"14,85","previouslyFormattedCitation":"&lt;sup&gt;14,84&lt;/sup&gt;"},"properties":{"noteIndex":0},"schema":"https://github.com/citation-style-language/schema/raw/master/csl-citation.json"}</w:instrText>
      </w:r>
      <w:r w:rsidR="009D7E28">
        <w:fldChar w:fldCharType="separate"/>
      </w:r>
      <w:r w:rsidR="00764EF3" w:rsidRPr="00764EF3">
        <w:rPr>
          <w:noProof/>
          <w:vertAlign w:val="superscript"/>
        </w:rPr>
        <w:t>14,85</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241AF1D2"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w:t>
      </w:r>
      <w:r w:rsidR="00511AC6" w:rsidRPr="00555A7C">
        <w:rPr>
          <w:highlight w:val="green"/>
        </w:rPr>
        <w:t xml:space="preserve">Our results suggest that parity is associated with accelerated biological age in postmenopausal but not premenopausal women, and that hormone-driven compensatory mechanisms may buffer against physiological dysregulation caused by </w:t>
      </w:r>
      <w:r w:rsidR="008904B8" w:rsidRPr="00555A7C">
        <w:rPr>
          <w:highlight w:val="green"/>
        </w:rPr>
        <w:t>reproduction</w:t>
      </w:r>
      <w:r w:rsidR="00511AC6" w:rsidRPr="00555A7C">
        <w:rPr>
          <w:highlight w:val="green"/>
        </w:rPr>
        <w:t xml:space="preserve"> in premenopausal women. Future work should identify the putative compensatory mechanisms present in premenopausal women that mitigate biological age acceleration.</w:t>
      </w:r>
      <w:r w:rsidR="00511AC6">
        <w:t xml:space="preserve"> Future work should also </w:t>
      </w:r>
      <w:r>
        <w:t>employ longitudinal designs</w:t>
      </w:r>
      <w:r w:rsidR="00511AC6">
        <w:t xml:space="preserve"> and</w:t>
      </w:r>
      <w:r>
        <w:t xml:space="preserve"> collect more detailed data on variables quantifying energetic investment in reproduction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0AAE24D7" w14:textId="489873DA" w:rsidR="00764EF3" w:rsidRPr="00764EF3" w:rsidRDefault="00DE4B0E" w:rsidP="00764EF3">
      <w:pPr>
        <w:widowControl w:val="0"/>
        <w:autoSpaceDE w:val="0"/>
        <w:autoSpaceDN w:val="0"/>
        <w:adjustRightInd w:val="0"/>
        <w:spacing w:line="480" w:lineRule="auto"/>
        <w:ind w:left="640" w:hanging="640"/>
        <w:rPr>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764EF3" w:rsidRPr="00764EF3">
        <w:rPr>
          <w:noProof/>
          <w:szCs w:val="24"/>
        </w:rPr>
        <w:t>1.</w:t>
      </w:r>
      <w:r w:rsidR="00764EF3" w:rsidRPr="00764EF3">
        <w:rPr>
          <w:noProof/>
          <w:szCs w:val="24"/>
        </w:rPr>
        <w:tab/>
        <w:t xml:space="preserve">Kennedy, B. K. </w:t>
      </w:r>
      <w:r w:rsidR="00764EF3" w:rsidRPr="00764EF3">
        <w:rPr>
          <w:i/>
          <w:iCs/>
          <w:noProof/>
          <w:szCs w:val="24"/>
        </w:rPr>
        <w:t>et al.</w:t>
      </w:r>
      <w:r w:rsidR="00764EF3" w:rsidRPr="00764EF3">
        <w:rPr>
          <w:noProof/>
          <w:szCs w:val="24"/>
        </w:rPr>
        <w:t xml:space="preserve"> Geroscience: linking aging to chronic disease. </w:t>
      </w:r>
      <w:r w:rsidR="00764EF3" w:rsidRPr="00764EF3">
        <w:rPr>
          <w:i/>
          <w:iCs/>
          <w:noProof/>
          <w:szCs w:val="24"/>
        </w:rPr>
        <w:t>Cell</w:t>
      </w:r>
      <w:r w:rsidR="00764EF3" w:rsidRPr="00764EF3">
        <w:rPr>
          <w:noProof/>
          <w:szCs w:val="24"/>
        </w:rPr>
        <w:t xml:space="preserve"> </w:t>
      </w:r>
      <w:r w:rsidR="00764EF3" w:rsidRPr="00764EF3">
        <w:rPr>
          <w:b/>
          <w:bCs/>
          <w:noProof/>
          <w:szCs w:val="24"/>
        </w:rPr>
        <w:t>159</w:t>
      </w:r>
      <w:r w:rsidR="00764EF3" w:rsidRPr="00764EF3">
        <w:rPr>
          <w:noProof/>
          <w:szCs w:val="24"/>
        </w:rPr>
        <w:t>, 709–713 (2014).</w:t>
      </w:r>
    </w:p>
    <w:p w14:paraId="55C815C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w:t>
      </w:r>
      <w:r w:rsidRPr="00764EF3">
        <w:rPr>
          <w:noProof/>
          <w:szCs w:val="24"/>
        </w:rPr>
        <w:tab/>
        <w:t xml:space="preserve">Kirkwood, T. B. Understanding the odd science of aging. </w:t>
      </w:r>
      <w:r w:rsidRPr="00764EF3">
        <w:rPr>
          <w:i/>
          <w:iCs/>
          <w:noProof/>
          <w:szCs w:val="24"/>
        </w:rPr>
        <w:t>Cell</w:t>
      </w:r>
      <w:r w:rsidRPr="00764EF3">
        <w:rPr>
          <w:noProof/>
          <w:szCs w:val="24"/>
        </w:rPr>
        <w:t xml:space="preserve"> </w:t>
      </w:r>
      <w:r w:rsidRPr="00764EF3">
        <w:rPr>
          <w:b/>
          <w:bCs/>
          <w:noProof/>
          <w:szCs w:val="24"/>
        </w:rPr>
        <w:t>120</w:t>
      </w:r>
      <w:r w:rsidRPr="00764EF3">
        <w:rPr>
          <w:noProof/>
          <w:szCs w:val="24"/>
        </w:rPr>
        <w:t>, 437–447 (2005).</w:t>
      </w:r>
    </w:p>
    <w:p w14:paraId="77F7A284"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w:t>
      </w:r>
      <w:r w:rsidRPr="00764EF3">
        <w:rPr>
          <w:noProof/>
          <w:szCs w:val="24"/>
        </w:rPr>
        <w:tab/>
        <w:t xml:space="preserve">Levine, M. E. &amp; Crimmins, E. M. Is 60 the New 50? Examining Changes in Biological Age Over the Past Two Decades. </w:t>
      </w:r>
      <w:r w:rsidRPr="00764EF3">
        <w:rPr>
          <w:i/>
          <w:iCs/>
          <w:noProof/>
          <w:szCs w:val="24"/>
        </w:rPr>
        <w:t>Demography</w:t>
      </w:r>
      <w:r w:rsidRPr="00764EF3">
        <w:rPr>
          <w:noProof/>
          <w:szCs w:val="24"/>
        </w:rPr>
        <w:t xml:space="preserve"> </w:t>
      </w:r>
      <w:r w:rsidRPr="00764EF3">
        <w:rPr>
          <w:b/>
          <w:bCs/>
          <w:noProof/>
          <w:szCs w:val="24"/>
        </w:rPr>
        <w:t>55</w:t>
      </w:r>
      <w:r w:rsidRPr="00764EF3">
        <w:rPr>
          <w:noProof/>
          <w:szCs w:val="24"/>
        </w:rPr>
        <w:t>, 387–402 (2018).</w:t>
      </w:r>
    </w:p>
    <w:p w14:paraId="7222A97F"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w:t>
      </w:r>
      <w:r w:rsidRPr="00764EF3">
        <w:rPr>
          <w:noProof/>
          <w:szCs w:val="24"/>
        </w:rPr>
        <w:tab/>
        <w:t xml:space="preserve">Kaletsky, R. &amp; Murphy, C. T. The role of insulin/IGF-like signaling in C. elegans longevity and aging. </w:t>
      </w:r>
      <w:r w:rsidRPr="00764EF3">
        <w:rPr>
          <w:i/>
          <w:iCs/>
          <w:noProof/>
          <w:szCs w:val="24"/>
        </w:rPr>
        <w:t>DMM Dis. Model. Mech.</w:t>
      </w:r>
      <w:r w:rsidRPr="00764EF3">
        <w:rPr>
          <w:noProof/>
          <w:szCs w:val="24"/>
        </w:rPr>
        <w:t xml:space="preserve"> </w:t>
      </w:r>
      <w:r w:rsidRPr="00764EF3">
        <w:rPr>
          <w:b/>
          <w:bCs/>
          <w:noProof/>
          <w:szCs w:val="24"/>
        </w:rPr>
        <w:t>3</w:t>
      </w:r>
      <w:r w:rsidRPr="00764EF3">
        <w:rPr>
          <w:noProof/>
          <w:szCs w:val="24"/>
        </w:rPr>
        <w:t>, 415–419 (2010).</w:t>
      </w:r>
    </w:p>
    <w:p w14:paraId="36CD5D9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w:t>
      </w:r>
      <w:r w:rsidRPr="00764EF3">
        <w:rPr>
          <w:noProof/>
          <w:szCs w:val="24"/>
        </w:rPr>
        <w:tab/>
        <w:t xml:space="preserve">Shigenaga, M. K., Hagen, T. M. &amp; Ames, B. N. Oxidative damage and mitochondrial decay in aging. </w:t>
      </w:r>
      <w:r w:rsidRPr="00764EF3">
        <w:rPr>
          <w:i/>
          <w:iCs/>
          <w:noProof/>
          <w:szCs w:val="24"/>
        </w:rPr>
        <w:t>Proc. Natl. Acad. Sci. U. S. A.</w:t>
      </w:r>
      <w:r w:rsidRPr="00764EF3">
        <w:rPr>
          <w:noProof/>
          <w:szCs w:val="24"/>
        </w:rPr>
        <w:t xml:space="preserve"> </w:t>
      </w:r>
      <w:r w:rsidRPr="00764EF3">
        <w:rPr>
          <w:b/>
          <w:bCs/>
          <w:noProof/>
          <w:szCs w:val="24"/>
        </w:rPr>
        <w:t>91</w:t>
      </w:r>
      <w:r w:rsidRPr="00764EF3">
        <w:rPr>
          <w:noProof/>
          <w:szCs w:val="24"/>
        </w:rPr>
        <w:t>, 10771–10778 (1994).</w:t>
      </w:r>
    </w:p>
    <w:p w14:paraId="7F8CCF8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w:t>
      </w:r>
      <w:r w:rsidRPr="00764EF3">
        <w:rPr>
          <w:noProof/>
          <w:szCs w:val="24"/>
        </w:rPr>
        <w:tab/>
        <w:t xml:space="preserve">Franceschi, C. &amp; Campisi, J. Chronic inflammation (Inflammaging) and its potential contribution to age-associated diseases. </w:t>
      </w:r>
      <w:r w:rsidRPr="00764EF3">
        <w:rPr>
          <w:i/>
          <w:iCs/>
          <w:noProof/>
          <w:szCs w:val="24"/>
        </w:rPr>
        <w:t>Journals Gerontol. - Ser. A Biol. Sci. Med. Sci.</w:t>
      </w:r>
      <w:r w:rsidRPr="00764EF3">
        <w:rPr>
          <w:noProof/>
          <w:szCs w:val="24"/>
        </w:rPr>
        <w:t xml:space="preserve"> </w:t>
      </w:r>
      <w:r w:rsidRPr="00764EF3">
        <w:rPr>
          <w:b/>
          <w:bCs/>
          <w:noProof/>
          <w:szCs w:val="24"/>
        </w:rPr>
        <w:t>69</w:t>
      </w:r>
      <w:r w:rsidRPr="00764EF3">
        <w:rPr>
          <w:noProof/>
          <w:szCs w:val="24"/>
        </w:rPr>
        <w:t>, S4–S9 (2014).</w:t>
      </w:r>
    </w:p>
    <w:p w14:paraId="5801A403"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w:t>
      </w:r>
      <w:r w:rsidRPr="00764EF3">
        <w:rPr>
          <w:noProof/>
          <w:szCs w:val="24"/>
        </w:rPr>
        <w:tab/>
        <w:t xml:space="preserve">Horvath, S. &amp; Raj, K. DNA methylation-based biomarkers and the epigenetic clock theory of ageing. </w:t>
      </w:r>
      <w:r w:rsidRPr="00764EF3">
        <w:rPr>
          <w:i/>
          <w:iCs/>
          <w:noProof/>
          <w:szCs w:val="24"/>
        </w:rPr>
        <w:t>Nat Rev Genet</w:t>
      </w:r>
      <w:r w:rsidRPr="00764EF3">
        <w:rPr>
          <w:noProof/>
          <w:szCs w:val="24"/>
        </w:rPr>
        <w:t xml:space="preserve"> </w:t>
      </w:r>
      <w:r w:rsidRPr="00764EF3">
        <w:rPr>
          <w:b/>
          <w:bCs/>
          <w:noProof/>
          <w:szCs w:val="24"/>
        </w:rPr>
        <w:t>19</w:t>
      </w:r>
      <w:r w:rsidRPr="00764EF3">
        <w:rPr>
          <w:noProof/>
          <w:szCs w:val="24"/>
        </w:rPr>
        <w:t>, 371–384 (2018).</w:t>
      </w:r>
    </w:p>
    <w:p w14:paraId="51FDF59C"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w:t>
      </w:r>
      <w:r w:rsidRPr="00764EF3">
        <w:rPr>
          <w:noProof/>
          <w:szCs w:val="24"/>
        </w:rPr>
        <w:tab/>
        <w:t xml:space="preserve">Sanders, J. L. &amp; Newman, A. B. Telomere length in epidemiology: A biomarker of aging, age-related disease, both, or neither? </w:t>
      </w:r>
      <w:r w:rsidRPr="00764EF3">
        <w:rPr>
          <w:i/>
          <w:iCs/>
          <w:noProof/>
          <w:szCs w:val="24"/>
        </w:rPr>
        <w:t>Epidemiol. Rev.</w:t>
      </w:r>
      <w:r w:rsidRPr="00764EF3">
        <w:rPr>
          <w:noProof/>
          <w:szCs w:val="24"/>
        </w:rPr>
        <w:t xml:space="preserve"> </w:t>
      </w:r>
      <w:r w:rsidRPr="00764EF3">
        <w:rPr>
          <w:b/>
          <w:bCs/>
          <w:noProof/>
          <w:szCs w:val="24"/>
        </w:rPr>
        <w:t>35</w:t>
      </w:r>
      <w:r w:rsidRPr="00764EF3">
        <w:rPr>
          <w:noProof/>
          <w:szCs w:val="24"/>
        </w:rPr>
        <w:t>, 112–131 (2013).</w:t>
      </w:r>
    </w:p>
    <w:p w14:paraId="16C4387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9.</w:t>
      </w:r>
      <w:r w:rsidRPr="00764EF3">
        <w:rPr>
          <w:noProof/>
          <w:szCs w:val="24"/>
        </w:rPr>
        <w:tab/>
        <w:t xml:space="preserve">United Nations. </w:t>
      </w:r>
      <w:r w:rsidRPr="00764EF3">
        <w:rPr>
          <w:i/>
          <w:iCs/>
          <w:noProof/>
          <w:szCs w:val="24"/>
        </w:rPr>
        <w:t>World Population Prospects 2019</w:t>
      </w:r>
      <w:r w:rsidRPr="00764EF3">
        <w:rPr>
          <w:noProof/>
          <w:szCs w:val="24"/>
        </w:rPr>
        <w:t xml:space="preserve">. </w:t>
      </w:r>
      <w:r w:rsidRPr="00764EF3">
        <w:rPr>
          <w:i/>
          <w:iCs/>
          <w:noProof/>
          <w:szCs w:val="24"/>
        </w:rPr>
        <w:t>Department of Economic and Social Affairs. World Population Prospects 2019.</w:t>
      </w:r>
      <w:r w:rsidRPr="00764EF3">
        <w:rPr>
          <w:noProof/>
          <w:szCs w:val="24"/>
        </w:rPr>
        <w:t xml:space="preserve"> (2019).</w:t>
      </w:r>
    </w:p>
    <w:p w14:paraId="00B6079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10.</w:t>
      </w:r>
      <w:r w:rsidRPr="00764EF3">
        <w:rPr>
          <w:noProof/>
          <w:szCs w:val="24"/>
        </w:rPr>
        <w:tab/>
        <w:t xml:space="preserve">Valdes, A, M. </w:t>
      </w:r>
      <w:r w:rsidRPr="00764EF3">
        <w:rPr>
          <w:i/>
          <w:iCs/>
          <w:noProof/>
          <w:szCs w:val="24"/>
        </w:rPr>
        <w:t>et al.</w:t>
      </w:r>
      <w:r w:rsidRPr="00764EF3">
        <w:rPr>
          <w:noProof/>
          <w:szCs w:val="24"/>
        </w:rPr>
        <w:t xml:space="preserve"> Obesity, cigarette smoking, and telomere length in women. </w:t>
      </w:r>
      <w:r w:rsidRPr="00764EF3">
        <w:rPr>
          <w:i/>
          <w:iCs/>
          <w:noProof/>
          <w:szCs w:val="24"/>
        </w:rPr>
        <w:t>Lancet</w:t>
      </w:r>
      <w:r w:rsidRPr="00764EF3">
        <w:rPr>
          <w:noProof/>
          <w:szCs w:val="24"/>
        </w:rPr>
        <w:t xml:space="preserve"> </w:t>
      </w:r>
      <w:r w:rsidRPr="00764EF3">
        <w:rPr>
          <w:b/>
          <w:bCs/>
          <w:noProof/>
          <w:szCs w:val="24"/>
        </w:rPr>
        <w:t>366</w:t>
      </w:r>
      <w:r w:rsidRPr="00764EF3">
        <w:rPr>
          <w:noProof/>
          <w:szCs w:val="24"/>
        </w:rPr>
        <w:t>, 662–664 (2005).</w:t>
      </w:r>
    </w:p>
    <w:p w14:paraId="624D0836"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11.</w:t>
      </w:r>
      <w:r w:rsidRPr="00764EF3">
        <w:rPr>
          <w:noProof/>
          <w:szCs w:val="24"/>
        </w:rPr>
        <w:tab/>
        <w:t xml:space="preserve">Hastings, W. J., Shalev, I. &amp; Belsky, D. W. Comparability of biological aging measures in the National Health and Nutrition Examination Study, 1999-2002. </w:t>
      </w:r>
      <w:r w:rsidRPr="00764EF3">
        <w:rPr>
          <w:i/>
          <w:iCs/>
          <w:noProof/>
          <w:szCs w:val="24"/>
        </w:rPr>
        <w:t>Psychoneuroendocrinology</w:t>
      </w:r>
      <w:r w:rsidRPr="00764EF3">
        <w:rPr>
          <w:noProof/>
          <w:szCs w:val="24"/>
        </w:rPr>
        <w:t xml:space="preserve"> </w:t>
      </w:r>
      <w:r w:rsidRPr="00764EF3">
        <w:rPr>
          <w:b/>
          <w:bCs/>
          <w:noProof/>
          <w:szCs w:val="24"/>
        </w:rPr>
        <w:t>106</w:t>
      </w:r>
      <w:r w:rsidRPr="00764EF3">
        <w:rPr>
          <w:noProof/>
          <w:szCs w:val="24"/>
        </w:rPr>
        <w:t>, 171–178 (2019).</w:t>
      </w:r>
    </w:p>
    <w:p w14:paraId="4040E4D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12.</w:t>
      </w:r>
      <w:r w:rsidRPr="00764EF3">
        <w:rPr>
          <w:noProof/>
          <w:szCs w:val="24"/>
        </w:rPr>
        <w:tab/>
        <w:t xml:space="preserve">Epel, E. S. </w:t>
      </w:r>
      <w:r w:rsidRPr="00764EF3">
        <w:rPr>
          <w:i/>
          <w:iCs/>
          <w:noProof/>
          <w:szCs w:val="24"/>
        </w:rPr>
        <w:t>et al.</w:t>
      </w:r>
      <w:r w:rsidRPr="00764EF3">
        <w:rPr>
          <w:noProof/>
          <w:szCs w:val="24"/>
        </w:rPr>
        <w:t xml:space="preserve"> Accelerated telomere shortening in response to life stress. </w:t>
      </w:r>
      <w:r w:rsidRPr="00764EF3">
        <w:rPr>
          <w:i/>
          <w:iCs/>
          <w:noProof/>
          <w:szCs w:val="24"/>
        </w:rPr>
        <w:t>Proc. Natl. Acad. Sci.</w:t>
      </w:r>
      <w:r w:rsidRPr="00764EF3">
        <w:rPr>
          <w:noProof/>
          <w:szCs w:val="24"/>
        </w:rPr>
        <w:t xml:space="preserve"> </w:t>
      </w:r>
      <w:r w:rsidRPr="00764EF3">
        <w:rPr>
          <w:b/>
          <w:bCs/>
          <w:noProof/>
          <w:szCs w:val="24"/>
        </w:rPr>
        <w:t>101</w:t>
      </w:r>
      <w:r w:rsidRPr="00764EF3">
        <w:rPr>
          <w:noProof/>
          <w:szCs w:val="24"/>
        </w:rPr>
        <w:t>, 17312–17315 (2004).</w:t>
      </w:r>
    </w:p>
    <w:p w14:paraId="149826FC"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13.</w:t>
      </w:r>
      <w:r w:rsidRPr="00764EF3">
        <w:rPr>
          <w:noProof/>
          <w:szCs w:val="24"/>
        </w:rPr>
        <w:tab/>
        <w:t xml:space="preserve">Pollack, A. Z., Rivers, K. &amp; Ahrens, K. A. Parity associated with telomere length among US reproductive age women. </w:t>
      </w:r>
      <w:r w:rsidRPr="00764EF3">
        <w:rPr>
          <w:i/>
          <w:iCs/>
          <w:noProof/>
          <w:szCs w:val="24"/>
        </w:rPr>
        <w:t>Hum. Reprod.</w:t>
      </w:r>
      <w:r w:rsidRPr="00764EF3">
        <w:rPr>
          <w:noProof/>
          <w:szCs w:val="24"/>
        </w:rPr>
        <w:t xml:space="preserve"> </w:t>
      </w:r>
      <w:r w:rsidRPr="00764EF3">
        <w:rPr>
          <w:b/>
          <w:bCs/>
          <w:noProof/>
          <w:szCs w:val="24"/>
        </w:rPr>
        <w:t>33</w:t>
      </w:r>
      <w:r w:rsidRPr="00764EF3">
        <w:rPr>
          <w:noProof/>
          <w:szCs w:val="24"/>
        </w:rPr>
        <w:t>, 736–744 (2018).</w:t>
      </w:r>
    </w:p>
    <w:p w14:paraId="2C1C565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14.</w:t>
      </w:r>
      <w:r w:rsidRPr="00764EF3">
        <w:rPr>
          <w:noProof/>
          <w:szCs w:val="24"/>
        </w:rPr>
        <w:tab/>
        <w:t xml:space="preserve">Ryan, C. P. </w:t>
      </w:r>
      <w:r w:rsidRPr="00764EF3">
        <w:rPr>
          <w:i/>
          <w:iCs/>
          <w:noProof/>
          <w:szCs w:val="24"/>
        </w:rPr>
        <w:t>et al.</w:t>
      </w:r>
      <w:r w:rsidRPr="00764EF3">
        <w:rPr>
          <w:noProof/>
          <w:szCs w:val="24"/>
        </w:rPr>
        <w:t xml:space="preserve"> Reproduction predicts shorter telomeres and epigenetic age acceleration </w:t>
      </w:r>
      <w:r w:rsidRPr="00764EF3">
        <w:rPr>
          <w:noProof/>
          <w:szCs w:val="24"/>
        </w:rPr>
        <w:lastRenderedPageBreak/>
        <w:t xml:space="preserve">among young adult women. </w:t>
      </w:r>
      <w:r w:rsidRPr="00764EF3">
        <w:rPr>
          <w:i/>
          <w:iCs/>
          <w:noProof/>
          <w:szCs w:val="24"/>
        </w:rPr>
        <w:t>Sci. Rep.</w:t>
      </w:r>
      <w:r w:rsidRPr="00764EF3">
        <w:rPr>
          <w:noProof/>
          <w:szCs w:val="24"/>
        </w:rPr>
        <w:t xml:space="preserve"> 1–9 (2018). doi:10.1038/s41598-018-29486-4</w:t>
      </w:r>
    </w:p>
    <w:p w14:paraId="5628CAF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15.</w:t>
      </w:r>
      <w:r w:rsidRPr="00764EF3">
        <w:rPr>
          <w:noProof/>
          <w:szCs w:val="24"/>
        </w:rPr>
        <w:tab/>
        <w:t xml:space="preserve">Tan, E. K. &amp; Tan, E. L. Alterations in physiology and anatomy during pregnancy. </w:t>
      </w:r>
      <w:r w:rsidRPr="00764EF3">
        <w:rPr>
          <w:i/>
          <w:iCs/>
          <w:noProof/>
          <w:szCs w:val="24"/>
        </w:rPr>
        <w:t>Best Pract. Res. Clin. Obstet. Gynaecol.</w:t>
      </w:r>
      <w:r w:rsidRPr="00764EF3">
        <w:rPr>
          <w:noProof/>
          <w:szCs w:val="24"/>
        </w:rPr>
        <w:t xml:space="preserve"> </w:t>
      </w:r>
      <w:r w:rsidRPr="00764EF3">
        <w:rPr>
          <w:b/>
          <w:bCs/>
          <w:noProof/>
          <w:szCs w:val="24"/>
        </w:rPr>
        <w:t>27</w:t>
      </w:r>
      <w:r w:rsidRPr="00764EF3">
        <w:rPr>
          <w:noProof/>
          <w:szCs w:val="24"/>
        </w:rPr>
        <w:t>, 791–802 (2013).</w:t>
      </w:r>
    </w:p>
    <w:p w14:paraId="75FFB953"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16.</w:t>
      </w:r>
      <w:r w:rsidRPr="00764EF3">
        <w:rPr>
          <w:noProof/>
          <w:szCs w:val="24"/>
        </w:rPr>
        <w:tab/>
        <w:t xml:space="preserve">Cramer, D. W. &amp; Vitonis, A. F. Signatures of reproductive events on blood counts and biomarkers of inflammation: Implications for chronic disease risk. </w:t>
      </w:r>
      <w:r w:rsidRPr="00764EF3">
        <w:rPr>
          <w:i/>
          <w:iCs/>
          <w:noProof/>
          <w:szCs w:val="24"/>
        </w:rPr>
        <w:t>PLoS One</w:t>
      </w:r>
      <w:r w:rsidRPr="00764EF3">
        <w:rPr>
          <w:noProof/>
          <w:szCs w:val="24"/>
        </w:rPr>
        <w:t xml:space="preserve"> </w:t>
      </w:r>
      <w:r w:rsidRPr="00764EF3">
        <w:rPr>
          <w:b/>
          <w:bCs/>
          <w:noProof/>
          <w:szCs w:val="24"/>
        </w:rPr>
        <w:t>12</w:t>
      </w:r>
      <w:r w:rsidRPr="00764EF3">
        <w:rPr>
          <w:noProof/>
          <w:szCs w:val="24"/>
        </w:rPr>
        <w:t>, 1–19 (2017).</w:t>
      </w:r>
    </w:p>
    <w:p w14:paraId="6E75A38E"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17.</w:t>
      </w:r>
      <w:r w:rsidRPr="00764EF3">
        <w:rPr>
          <w:noProof/>
          <w:szCs w:val="24"/>
        </w:rPr>
        <w:tab/>
        <w:t xml:space="preserve">Lurie, S., Rahamim, E., Piper, I., Golan, A. &amp; Sadan, O. Total and differential leukocyte counts percentiles in normal pregnancy. </w:t>
      </w:r>
      <w:r w:rsidRPr="00764EF3">
        <w:rPr>
          <w:i/>
          <w:iCs/>
          <w:noProof/>
          <w:szCs w:val="24"/>
        </w:rPr>
        <w:t>Eur. J. Obs. Gynecol. Reprod. Biol.</w:t>
      </w:r>
      <w:r w:rsidRPr="00764EF3">
        <w:rPr>
          <w:noProof/>
          <w:szCs w:val="24"/>
        </w:rPr>
        <w:t xml:space="preserve"> </w:t>
      </w:r>
      <w:r w:rsidRPr="00764EF3">
        <w:rPr>
          <w:b/>
          <w:bCs/>
          <w:noProof/>
          <w:szCs w:val="24"/>
        </w:rPr>
        <w:t>136</w:t>
      </w:r>
      <w:r w:rsidRPr="00764EF3">
        <w:rPr>
          <w:noProof/>
          <w:szCs w:val="24"/>
        </w:rPr>
        <w:t>, 16–19 (2008).</w:t>
      </w:r>
    </w:p>
    <w:p w14:paraId="321068E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18.</w:t>
      </w:r>
      <w:r w:rsidRPr="00764EF3">
        <w:rPr>
          <w:noProof/>
          <w:szCs w:val="24"/>
        </w:rPr>
        <w:tab/>
        <w:t xml:space="preserve">Faas, M. M., Spaans, F. &amp; De Vos, P. Monocytes and macrophages in pregnancy and pre-eclampsia. </w:t>
      </w:r>
      <w:r w:rsidRPr="00764EF3">
        <w:rPr>
          <w:i/>
          <w:iCs/>
          <w:noProof/>
          <w:szCs w:val="24"/>
        </w:rPr>
        <w:t>Front. Immunol.</w:t>
      </w:r>
      <w:r w:rsidRPr="00764EF3">
        <w:rPr>
          <w:noProof/>
          <w:szCs w:val="24"/>
        </w:rPr>
        <w:t xml:space="preserve"> </w:t>
      </w:r>
      <w:r w:rsidRPr="00764EF3">
        <w:rPr>
          <w:b/>
          <w:bCs/>
          <w:noProof/>
          <w:szCs w:val="24"/>
        </w:rPr>
        <w:t>5</w:t>
      </w:r>
      <w:r w:rsidRPr="00764EF3">
        <w:rPr>
          <w:noProof/>
          <w:szCs w:val="24"/>
        </w:rPr>
        <w:t>, 1–11 (2014).</w:t>
      </w:r>
    </w:p>
    <w:p w14:paraId="3A9582E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19.</w:t>
      </w:r>
      <w:r w:rsidRPr="00764EF3">
        <w:rPr>
          <w:noProof/>
          <w:szCs w:val="24"/>
        </w:rPr>
        <w:tab/>
        <w:t xml:space="preserve">Soma-Pillay, P., Nelson-piercy, C., Tolppanen, H. &amp; Mebazaa, A. Physiological changes in pregnancy. </w:t>
      </w:r>
      <w:r w:rsidRPr="00764EF3">
        <w:rPr>
          <w:i/>
          <w:iCs/>
          <w:noProof/>
          <w:szCs w:val="24"/>
        </w:rPr>
        <w:t>Cardiovasc. J. Afr.</w:t>
      </w:r>
      <w:r w:rsidRPr="00764EF3">
        <w:rPr>
          <w:noProof/>
          <w:szCs w:val="24"/>
        </w:rPr>
        <w:t xml:space="preserve"> </w:t>
      </w:r>
      <w:r w:rsidRPr="00764EF3">
        <w:rPr>
          <w:b/>
          <w:bCs/>
          <w:noProof/>
          <w:szCs w:val="24"/>
        </w:rPr>
        <w:t>27</w:t>
      </w:r>
      <w:r w:rsidRPr="00764EF3">
        <w:rPr>
          <w:noProof/>
          <w:szCs w:val="24"/>
        </w:rPr>
        <w:t>, 89–94 (2016).</w:t>
      </w:r>
    </w:p>
    <w:p w14:paraId="14CB5346"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20.</w:t>
      </w:r>
      <w:r w:rsidRPr="00764EF3">
        <w:rPr>
          <w:noProof/>
          <w:szCs w:val="24"/>
        </w:rPr>
        <w:tab/>
        <w:t xml:space="preserve">Fried, R. L., Mayol, N. L., McDade, T. W. &amp; Kuzawa, C. W. Maternal metabolic adaptations to pregnancy among young women in Cebu, Philippines. </w:t>
      </w:r>
      <w:r w:rsidRPr="00764EF3">
        <w:rPr>
          <w:i/>
          <w:iCs/>
          <w:noProof/>
          <w:szCs w:val="24"/>
        </w:rPr>
        <w:t>Am. J. Hum. Biol.</w:t>
      </w:r>
      <w:r w:rsidRPr="00764EF3">
        <w:rPr>
          <w:noProof/>
          <w:szCs w:val="24"/>
        </w:rPr>
        <w:t xml:space="preserve"> </w:t>
      </w:r>
      <w:r w:rsidRPr="00764EF3">
        <w:rPr>
          <w:b/>
          <w:bCs/>
          <w:noProof/>
          <w:szCs w:val="24"/>
        </w:rPr>
        <w:t>29</w:t>
      </w:r>
      <w:r w:rsidRPr="00764EF3">
        <w:rPr>
          <w:noProof/>
          <w:szCs w:val="24"/>
        </w:rPr>
        <w:t>, e23011 (2017).</w:t>
      </w:r>
    </w:p>
    <w:p w14:paraId="5746743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21.</w:t>
      </w:r>
      <w:r w:rsidRPr="00764EF3">
        <w:rPr>
          <w:noProof/>
          <w:szCs w:val="24"/>
        </w:rPr>
        <w:tab/>
        <w:t xml:space="preserve">Sanghavi, M. &amp; Rutherford, J. D. Cardiovascular physiology of pregnancy. </w:t>
      </w:r>
      <w:r w:rsidRPr="00764EF3">
        <w:rPr>
          <w:i/>
          <w:iCs/>
          <w:noProof/>
          <w:szCs w:val="24"/>
        </w:rPr>
        <w:t>Circulation</w:t>
      </w:r>
      <w:r w:rsidRPr="00764EF3">
        <w:rPr>
          <w:noProof/>
          <w:szCs w:val="24"/>
        </w:rPr>
        <w:t xml:space="preserve"> </w:t>
      </w:r>
      <w:r w:rsidRPr="00764EF3">
        <w:rPr>
          <w:b/>
          <w:bCs/>
          <w:noProof/>
          <w:szCs w:val="24"/>
        </w:rPr>
        <w:t>130</w:t>
      </w:r>
      <w:r w:rsidRPr="00764EF3">
        <w:rPr>
          <w:noProof/>
          <w:szCs w:val="24"/>
        </w:rPr>
        <w:t>, 1003–1008 (2014).</w:t>
      </w:r>
    </w:p>
    <w:p w14:paraId="44E5C01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22.</w:t>
      </w:r>
      <w:r w:rsidRPr="00764EF3">
        <w:rPr>
          <w:noProof/>
          <w:szCs w:val="24"/>
        </w:rPr>
        <w:tab/>
        <w:t xml:space="preserve">Cheung, K. L. &amp; Lafayette, R. A. Renal physiology of pregnancy. </w:t>
      </w:r>
      <w:r w:rsidRPr="00764EF3">
        <w:rPr>
          <w:i/>
          <w:iCs/>
          <w:noProof/>
          <w:szCs w:val="24"/>
        </w:rPr>
        <w:t>Adv. Chronic Kidney Dis.</w:t>
      </w:r>
      <w:r w:rsidRPr="00764EF3">
        <w:rPr>
          <w:noProof/>
          <w:szCs w:val="24"/>
        </w:rPr>
        <w:t xml:space="preserve"> </w:t>
      </w:r>
      <w:r w:rsidRPr="00764EF3">
        <w:rPr>
          <w:b/>
          <w:bCs/>
          <w:noProof/>
          <w:szCs w:val="24"/>
        </w:rPr>
        <w:t>20</w:t>
      </w:r>
      <w:r w:rsidRPr="00764EF3">
        <w:rPr>
          <w:noProof/>
          <w:szCs w:val="24"/>
        </w:rPr>
        <w:t>, 209–214 (2013).</w:t>
      </w:r>
    </w:p>
    <w:p w14:paraId="3D0634B4"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23.</w:t>
      </w:r>
      <w:r w:rsidRPr="00764EF3">
        <w:rPr>
          <w:noProof/>
          <w:szCs w:val="24"/>
        </w:rPr>
        <w:tab/>
        <w:t xml:space="preserve">Kovacs, C. S. &amp; Deal, C. </w:t>
      </w:r>
      <w:r w:rsidRPr="00764EF3">
        <w:rPr>
          <w:i/>
          <w:iCs/>
          <w:noProof/>
          <w:szCs w:val="24"/>
        </w:rPr>
        <w:t>Maternal-Fetal and Neonatal Endocrinology: Physiology, Pathophysiology, and Clinical Management</w:t>
      </w:r>
      <w:r w:rsidRPr="00764EF3">
        <w:rPr>
          <w:noProof/>
          <w:szCs w:val="24"/>
        </w:rPr>
        <w:t>. (Academic Press, 2019).</w:t>
      </w:r>
    </w:p>
    <w:p w14:paraId="32209FC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24.</w:t>
      </w:r>
      <w:r w:rsidRPr="00764EF3">
        <w:rPr>
          <w:noProof/>
          <w:szCs w:val="24"/>
        </w:rPr>
        <w:tab/>
        <w:t xml:space="preserve">Harshman, L. G. &amp; Zera, A. J. The cost of reproduction: The devil in the details. </w:t>
      </w:r>
      <w:r w:rsidRPr="00764EF3">
        <w:rPr>
          <w:i/>
          <w:iCs/>
          <w:noProof/>
          <w:szCs w:val="24"/>
        </w:rPr>
        <w:t>Trends Ecol. Evol.</w:t>
      </w:r>
      <w:r w:rsidRPr="00764EF3">
        <w:rPr>
          <w:noProof/>
          <w:szCs w:val="24"/>
        </w:rPr>
        <w:t xml:space="preserve"> </w:t>
      </w:r>
      <w:r w:rsidRPr="00764EF3">
        <w:rPr>
          <w:b/>
          <w:bCs/>
          <w:noProof/>
          <w:szCs w:val="24"/>
        </w:rPr>
        <w:t>22</w:t>
      </w:r>
      <w:r w:rsidRPr="00764EF3">
        <w:rPr>
          <w:noProof/>
          <w:szCs w:val="24"/>
        </w:rPr>
        <w:t>, 80–86 (2006).</w:t>
      </w:r>
    </w:p>
    <w:p w14:paraId="289E6C96"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25.</w:t>
      </w:r>
      <w:r w:rsidRPr="00764EF3">
        <w:rPr>
          <w:noProof/>
          <w:szCs w:val="24"/>
        </w:rPr>
        <w:tab/>
        <w:t xml:space="preserve">Jasienska, G. Costs of reproduction and ageing in the human female. </w:t>
      </w:r>
      <w:r w:rsidRPr="00764EF3">
        <w:rPr>
          <w:i/>
          <w:iCs/>
          <w:noProof/>
          <w:szCs w:val="24"/>
        </w:rPr>
        <w:t>Philos. Trans. R. Soc. B Biol. Sci.</w:t>
      </w:r>
      <w:r w:rsidRPr="00764EF3">
        <w:rPr>
          <w:noProof/>
          <w:szCs w:val="24"/>
        </w:rPr>
        <w:t xml:space="preserve"> </w:t>
      </w:r>
      <w:r w:rsidRPr="00764EF3">
        <w:rPr>
          <w:b/>
          <w:bCs/>
          <w:noProof/>
          <w:szCs w:val="24"/>
        </w:rPr>
        <w:t>375</w:t>
      </w:r>
      <w:r w:rsidRPr="00764EF3">
        <w:rPr>
          <w:noProof/>
          <w:szCs w:val="24"/>
        </w:rPr>
        <w:t>, 20190615 (2020).</w:t>
      </w:r>
    </w:p>
    <w:p w14:paraId="60B8816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26.</w:t>
      </w:r>
      <w:r w:rsidRPr="00764EF3">
        <w:rPr>
          <w:noProof/>
          <w:szCs w:val="24"/>
        </w:rPr>
        <w:tab/>
        <w:t xml:space="preserve">Beral, V. &amp; Beral, V. Long term effects of childbearing. </w:t>
      </w:r>
      <w:r w:rsidRPr="00764EF3">
        <w:rPr>
          <w:i/>
          <w:iCs/>
          <w:noProof/>
          <w:szCs w:val="24"/>
        </w:rPr>
        <w:t>J. Epidemiol. Community Health</w:t>
      </w:r>
      <w:r w:rsidRPr="00764EF3">
        <w:rPr>
          <w:noProof/>
          <w:szCs w:val="24"/>
        </w:rPr>
        <w:t xml:space="preserve"> </w:t>
      </w:r>
      <w:r w:rsidRPr="00764EF3">
        <w:rPr>
          <w:b/>
          <w:bCs/>
          <w:noProof/>
          <w:szCs w:val="24"/>
        </w:rPr>
        <w:t>39</w:t>
      </w:r>
      <w:r w:rsidRPr="00764EF3">
        <w:rPr>
          <w:noProof/>
          <w:szCs w:val="24"/>
        </w:rPr>
        <w:t>, 343–346 (1985).</w:t>
      </w:r>
    </w:p>
    <w:p w14:paraId="2149D84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27.</w:t>
      </w:r>
      <w:r w:rsidRPr="00764EF3">
        <w:rPr>
          <w:noProof/>
          <w:szCs w:val="24"/>
        </w:rPr>
        <w:tab/>
        <w:t xml:space="preserve">Grundy, E. Women’s Fertility and Mortality in Late Mid Life: A Comparison of Three </w:t>
      </w:r>
      <w:r w:rsidRPr="00764EF3">
        <w:rPr>
          <w:noProof/>
          <w:szCs w:val="24"/>
        </w:rPr>
        <w:lastRenderedPageBreak/>
        <w:t xml:space="preserve">Contemporary Populations. </w:t>
      </w:r>
      <w:r w:rsidRPr="00764EF3">
        <w:rPr>
          <w:i/>
          <w:iCs/>
          <w:noProof/>
          <w:szCs w:val="24"/>
        </w:rPr>
        <w:t>Am. J. Hum. Biol.</w:t>
      </w:r>
      <w:r w:rsidRPr="00764EF3">
        <w:rPr>
          <w:noProof/>
          <w:szCs w:val="24"/>
        </w:rPr>
        <w:t xml:space="preserve"> </w:t>
      </w:r>
      <w:r w:rsidRPr="00764EF3">
        <w:rPr>
          <w:b/>
          <w:bCs/>
          <w:noProof/>
          <w:szCs w:val="24"/>
        </w:rPr>
        <w:t>547</w:t>
      </w:r>
      <w:r w:rsidRPr="00764EF3">
        <w:rPr>
          <w:noProof/>
          <w:szCs w:val="24"/>
        </w:rPr>
        <w:t>, 541–547 (2009).</w:t>
      </w:r>
    </w:p>
    <w:p w14:paraId="28FB505F"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28.</w:t>
      </w:r>
      <w:r w:rsidRPr="00764EF3">
        <w:rPr>
          <w:noProof/>
          <w:szCs w:val="24"/>
        </w:rPr>
        <w:tab/>
        <w:t xml:space="preserve">Lund, E. Number of children and death from hormone-dependent cancers. </w:t>
      </w:r>
      <w:r w:rsidRPr="00764EF3">
        <w:rPr>
          <w:i/>
          <w:iCs/>
          <w:noProof/>
          <w:szCs w:val="24"/>
        </w:rPr>
        <w:t>Int. J. Cancer</w:t>
      </w:r>
      <w:r w:rsidRPr="00764EF3">
        <w:rPr>
          <w:noProof/>
          <w:szCs w:val="24"/>
        </w:rPr>
        <w:t xml:space="preserve"> </w:t>
      </w:r>
      <w:r w:rsidRPr="00764EF3">
        <w:rPr>
          <w:b/>
          <w:bCs/>
          <w:noProof/>
          <w:szCs w:val="24"/>
        </w:rPr>
        <w:t>46</w:t>
      </w:r>
      <w:r w:rsidRPr="00764EF3">
        <w:rPr>
          <w:noProof/>
          <w:szCs w:val="24"/>
        </w:rPr>
        <w:t>, 998–1000 (1990).</w:t>
      </w:r>
    </w:p>
    <w:p w14:paraId="4C471CE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29.</w:t>
      </w:r>
      <w:r w:rsidRPr="00764EF3">
        <w:rPr>
          <w:noProof/>
          <w:szCs w:val="24"/>
        </w:rPr>
        <w:tab/>
        <w:t xml:space="preserve">Hurt, L. S. </w:t>
      </w:r>
      <w:r w:rsidRPr="00764EF3">
        <w:rPr>
          <w:i/>
          <w:iCs/>
          <w:noProof/>
          <w:szCs w:val="24"/>
        </w:rPr>
        <w:t>et al.</w:t>
      </w:r>
      <w:r w:rsidRPr="00764EF3">
        <w:rPr>
          <w:noProof/>
          <w:szCs w:val="24"/>
        </w:rPr>
        <w:t xml:space="preserve"> The effect of number of births on women’s mortality: Systematic review of the evidence for women who have completed their childbearing. </w:t>
      </w:r>
      <w:r w:rsidRPr="00764EF3">
        <w:rPr>
          <w:i/>
          <w:iCs/>
          <w:noProof/>
          <w:szCs w:val="24"/>
        </w:rPr>
        <w:t>Popul. Stud. (NY).</w:t>
      </w:r>
      <w:r w:rsidRPr="00764EF3">
        <w:rPr>
          <w:noProof/>
          <w:szCs w:val="24"/>
        </w:rPr>
        <w:t xml:space="preserve"> </w:t>
      </w:r>
      <w:r w:rsidRPr="00764EF3">
        <w:rPr>
          <w:b/>
          <w:bCs/>
          <w:noProof/>
          <w:szCs w:val="24"/>
        </w:rPr>
        <w:t>60</w:t>
      </w:r>
      <w:r w:rsidRPr="00764EF3">
        <w:rPr>
          <w:noProof/>
          <w:szCs w:val="24"/>
        </w:rPr>
        <w:t>, 55–71 (2006).</w:t>
      </w:r>
    </w:p>
    <w:p w14:paraId="5F2CECA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30.</w:t>
      </w:r>
      <w:r w:rsidRPr="00764EF3">
        <w:rPr>
          <w:noProof/>
          <w:szCs w:val="24"/>
        </w:rPr>
        <w:tab/>
        <w:t xml:space="preserve">Lawlor, D. A. </w:t>
      </w:r>
      <w:r w:rsidRPr="00764EF3">
        <w:rPr>
          <w:i/>
          <w:iCs/>
          <w:noProof/>
          <w:szCs w:val="24"/>
        </w:rPr>
        <w:t>et al.</w:t>
      </w:r>
      <w:r w:rsidRPr="00764EF3">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764EF3">
        <w:rPr>
          <w:i/>
          <w:iCs/>
          <w:noProof/>
          <w:szCs w:val="24"/>
        </w:rPr>
        <w:t>Circulation</w:t>
      </w:r>
      <w:r w:rsidRPr="00764EF3">
        <w:rPr>
          <w:noProof/>
          <w:szCs w:val="24"/>
        </w:rPr>
        <w:t xml:space="preserve"> </w:t>
      </w:r>
      <w:r w:rsidRPr="00764EF3">
        <w:rPr>
          <w:b/>
          <w:bCs/>
          <w:noProof/>
          <w:szCs w:val="24"/>
        </w:rPr>
        <w:t>107</w:t>
      </w:r>
      <w:r w:rsidRPr="00764EF3">
        <w:rPr>
          <w:noProof/>
          <w:szCs w:val="24"/>
        </w:rPr>
        <w:t>, 1260–1264 (2003).</w:t>
      </w:r>
    </w:p>
    <w:p w14:paraId="597FFD50"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31.</w:t>
      </w:r>
      <w:r w:rsidRPr="00764EF3">
        <w:rPr>
          <w:noProof/>
          <w:szCs w:val="24"/>
        </w:rPr>
        <w:tab/>
        <w:t xml:space="preserve">Simons, L. A., Simons, J., Friedlander, Y. &amp; McCallum, J. Childbearing history and late-life mortality: The Dubbo study of Australian elderly. </w:t>
      </w:r>
      <w:r w:rsidRPr="00764EF3">
        <w:rPr>
          <w:i/>
          <w:iCs/>
          <w:noProof/>
          <w:szCs w:val="24"/>
        </w:rPr>
        <w:t>Age Ageing</w:t>
      </w:r>
      <w:r w:rsidRPr="00764EF3">
        <w:rPr>
          <w:noProof/>
          <w:szCs w:val="24"/>
        </w:rPr>
        <w:t xml:space="preserve"> </w:t>
      </w:r>
      <w:r w:rsidRPr="00764EF3">
        <w:rPr>
          <w:b/>
          <w:bCs/>
          <w:noProof/>
          <w:szCs w:val="24"/>
        </w:rPr>
        <w:t>41</w:t>
      </w:r>
      <w:r w:rsidRPr="00764EF3">
        <w:rPr>
          <w:noProof/>
          <w:szCs w:val="24"/>
        </w:rPr>
        <w:t>, 523–528 (2012).</w:t>
      </w:r>
    </w:p>
    <w:p w14:paraId="1E25D1D0"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32.</w:t>
      </w:r>
      <w:r w:rsidRPr="00764EF3">
        <w:rPr>
          <w:noProof/>
          <w:szCs w:val="24"/>
        </w:rPr>
        <w:tab/>
        <w:t xml:space="preserve">Zeng, Y. </w:t>
      </w:r>
      <w:r w:rsidRPr="00764EF3">
        <w:rPr>
          <w:i/>
          <w:iCs/>
          <w:noProof/>
          <w:szCs w:val="24"/>
        </w:rPr>
        <w:t>et al.</w:t>
      </w:r>
      <w:r w:rsidRPr="00764EF3">
        <w:rPr>
          <w:noProof/>
          <w:szCs w:val="24"/>
        </w:rPr>
        <w:t xml:space="preserve"> Parity and All-cause Mortality in Women and Men: A Dose-Response Meta-Analysis of Cohort Studies. </w:t>
      </w:r>
      <w:r w:rsidRPr="00764EF3">
        <w:rPr>
          <w:i/>
          <w:iCs/>
          <w:noProof/>
          <w:szCs w:val="24"/>
        </w:rPr>
        <w:t>Sci. Rep.</w:t>
      </w:r>
      <w:r w:rsidRPr="00764EF3">
        <w:rPr>
          <w:noProof/>
          <w:szCs w:val="24"/>
        </w:rPr>
        <w:t xml:space="preserve"> </w:t>
      </w:r>
      <w:r w:rsidRPr="00764EF3">
        <w:rPr>
          <w:b/>
          <w:bCs/>
          <w:noProof/>
          <w:szCs w:val="24"/>
        </w:rPr>
        <w:t>6:19351</w:t>
      </w:r>
      <w:r w:rsidRPr="00764EF3">
        <w:rPr>
          <w:noProof/>
          <w:szCs w:val="24"/>
        </w:rPr>
        <w:t>, 1–11 (2016).</w:t>
      </w:r>
    </w:p>
    <w:p w14:paraId="2BEED3AF"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33.</w:t>
      </w:r>
      <w:r w:rsidRPr="00764EF3">
        <w:rPr>
          <w:noProof/>
          <w:szCs w:val="24"/>
        </w:rPr>
        <w:tab/>
        <w:t xml:space="preserve">Dior, U. P. </w:t>
      </w:r>
      <w:r w:rsidRPr="00764EF3">
        <w:rPr>
          <w:i/>
          <w:iCs/>
          <w:noProof/>
          <w:szCs w:val="24"/>
        </w:rPr>
        <w:t>et al.</w:t>
      </w:r>
      <w:r w:rsidRPr="00764EF3">
        <w:rPr>
          <w:noProof/>
          <w:szCs w:val="24"/>
        </w:rPr>
        <w:t xml:space="preserve"> Association between number of children and mortality of mothers: Results of a 37-year follow-up study. </w:t>
      </w:r>
      <w:r w:rsidRPr="00764EF3">
        <w:rPr>
          <w:i/>
          <w:iCs/>
          <w:noProof/>
          <w:szCs w:val="24"/>
        </w:rPr>
        <w:t>Ann. Epidemiol.</w:t>
      </w:r>
      <w:r w:rsidRPr="00764EF3">
        <w:rPr>
          <w:noProof/>
          <w:szCs w:val="24"/>
        </w:rPr>
        <w:t xml:space="preserve"> </w:t>
      </w:r>
      <w:r w:rsidRPr="00764EF3">
        <w:rPr>
          <w:b/>
          <w:bCs/>
          <w:noProof/>
          <w:szCs w:val="24"/>
        </w:rPr>
        <w:t>23</w:t>
      </w:r>
      <w:r w:rsidRPr="00764EF3">
        <w:rPr>
          <w:noProof/>
          <w:szCs w:val="24"/>
        </w:rPr>
        <w:t>, 13–18 (2013).</w:t>
      </w:r>
    </w:p>
    <w:p w14:paraId="043BA01E"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34.</w:t>
      </w:r>
      <w:r w:rsidRPr="00764EF3">
        <w:rPr>
          <w:noProof/>
          <w:szCs w:val="24"/>
        </w:rPr>
        <w:tab/>
        <w:t xml:space="preserve">Lv, H., Wu, H., Yin, J., Qian, J. &amp; Ge, J. Parity and Cardiovascular Disease Mortality: a Dose-Response Meta- Analysis of Cohort Studies. </w:t>
      </w:r>
      <w:r w:rsidRPr="00764EF3">
        <w:rPr>
          <w:i/>
          <w:iCs/>
          <w:noProof/>
          <w:szCs w:val="24"/>
        </w:rPr>
        <w:t>Sci. Rep.</w:t>
      </w:r>
      <w:r w:rsidRPr="00764EF3">
        <w:rPr>
          <w:noProof/>
          <w:szCs w:val="24"/>
        </w:rPr>
        <w:t xml:space="preserve"> </w:t>
      </w:r>
      <w:r w:rsidRPr="00764EF3">
        <w:rPr>
          <w:b/>
          <w:bCs/>
          <w:noProof/>
          <w:szCs w:val="24"/>
        </w:rPr>
        <w:t>5:13411</w:t>
      </w:r>
      <w:r w:rsidRPr="00764EF3">
        <w:rPr>
          <w:noProof/>
          <w:szCs w:val="24"/>
        </w:rPr>
        <w:t>, 1–9 (2015).</w:t>
      </w:r>
    </w:p>
    <w:p w14:paraId="7E7A539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35.</w:t>
      </w:r>
      <w:r w:rsidRPr="00764EF3">
        <w:rPr>
          <w:noProof/>
          <w:szCs w:val="24"/>
        </w:rPr>
        <w:tab/>
        <w:t xml:space="preserve">Guan, H., Wu, Q. &amp; Gong, T. Parity and Kidney Cancer Risk: Evidence from Epidemiologic Studies. </w:t>
      </w:r>
      <w:r w:rsidRPr="00764EF3">
        <w:rPr>
          <w:i/>
          <w:iCs/>
          <w:noProof/>
          <w:szCs w:val="24"/>
        </w:rPr>
        <w:t>Cancer Epidemiol. Biomarkers Prev.</w:t>
      </w:r>
      <w:r w:rsidRPr="00764EF3">
        <w:rPr>
          <w:noProof/>
          <w:szCs w:val="24"/>
        </w:rPr>
        <w:t xml:space="preserve"> </w:t>
      </w:r>
      <w:r w:rsidRPr="00764EF3">
        <w:rPr>
          <w:b/>
          <w:bCs/>
          <w:noProof/>
          <w:szCs w:val="24"/>
        </w:rPr>
        <w:t>22</w:t>
      </w:r>
      <w:r w:rsidRPr="00764EF3">
        <w:rPr>
          <w:noProof/>
          <w:szCs w:val="24"/>
        </w:rPr>
        <w:t>, 2345–2354 (2013).</w:t>
      </w:r>
    </w:p>
    <w:p w14:paraId="35E4FC7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36.</w:t>
      </w:r>
      <w:r w:rsidRPr="00764EF3">
        <w:rPr>
          <w:noProof/>
          <w:szCs w:val="24"/>
        </w:rPr>
        <w:tab/>
        <w:t xml:space="preserve">Ziomkiewicz, A., Sancilio, A., Galbarczyk, A. &amp; Klimek, M. Evidence for the cost of reproduction in humans: High lifetime reproductive effort is associated with greater oxidative stress in post-menopausal women. </w:t>
      </w:r>
      <w:r w:rsidRPr="00764EF3">
        <w:rPr>
          <w:i/>
          <w:iCs/>
          <w:noProof/>
          <w:szCs w:val="24"/>
        </w:rPr>
        <w:t>PLoS One</w:t>
      </w:r>
      <w:r w:rsidRPr="00764EF3">
        <w:rPr>
          <w:noProof/>
          <w:szCs w:val="24"/>
        </w:rPr>
        <w:t xml:space="preserve"> </w:t>
      </w:r>
      <w:r w:rsidRPr="00764EF3">
        <w:rPr>
          <w:b/>
          <w:bCs/>
          <w:noProof/>
          <w:szCs w:val="24"/>
        </w:rPr>
        <w:t>11</w:t>
      </w:r>
      <w:r w:rsidRPr="00764EF3">
        <w:rPr>
          <w:noProof/>
          <w:szCs w:val="24"/>
        </w:rPr>
        <w:t>, 1–14 (2016).</w:t>
      </w:r>
    </w:p>
    <w:p w14:paraId="2CB6B8A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37.</w:t>
      </w:r>
      <w:r w:rsidRPr="00764EF3">
        <w:rPr>
          <w:noProof/>
          <w:szCs w:val="24"/>
        </w:rPr>
        <w:tab/>
        <w:t xml:space="preserve">Kresovich, J. K. </w:t>
      </w:r>
      <w:r w:rsidRPr="00764EF3">
        <w:rPr>
          <w:i/>
          <w:iCs/>
          <w:noProof/>
          <w:szCs w:val="24"/>
        </w:rPr>
        <w:t>et al.</w:t>
      </w:r>
      <w:r w:rsidRPr="00764EF3">
        <w:rPr>
          <w:noProof/>
          <w:szCs w:val="24"/>
        </w:rPr>
        <w:t xml:space="preserve"> Reproduction, DNA methylation and biological age. </w:t>
      </w:r>
      <w:r w:rsidRPr="00764EF3">
        <w:rPr>
          <w:i/>
          <w:iCs/>
          <w:noProof/>
          <w:szCs w:val="24"/>
        </w:rPr>
        <w:t>Hum. Reprod.</w:t>
      </w:r>
      <w:r w:rsidRPr="00764EF3">
        <w:rPr>
          <w:noProof/>
          <w:szCs w:val="24"/>
        </w:rPr>
        <w:t xml:space="preserve"> </w:t>
      </w:r>
      <w:r w:rsidRPr="00764EF3">
        <w:rPr>
          <w:b/>
          <w:bCs/>
          <w:noProof/>
          <w:szCs w:val="24"/>
        </w:rPr>
        <w:t>34</w:t>
      </w:r>
      <w:r w:rsidRPr="00764EF3">
        <w:rPr>
          <w:noProof/>
          <w:szCs w:val="24"/>
        </w:rPr>
        <w:t>, 1965–1973 (2019).</w:t>
      </w:r>
    </w:p>
    <w:p w14:paraId="78D69A7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38.</w:t>
      </w:r>
      <w:r w:rsidRPr="00764EF3">
        <w:rPr>
          <w:noProof/>
          <w:szCs w:val="24"/>
        </w:rPr>
        <w:tab/>
        <w:t xml:space="preserve">Harley, C. B., Vaziri, H., Counter, C. M. &amp; Allsopp, R. C. The telomere hypothesis of cellular </w:t>
      </w:r>
      <w:r w:rsidRPr="00764EF3">
        <w:rPr>
          <w:noProof/>
          <w:szCs w:val="24"/>
        </w:rPr>
        <w:lastRenderedPageBreak/>
        <w:t xml:space="preserve">aging. </w:t>
      </w:r>
      <w:r w:rsidRPr="00764EF3">
        <w:rPr>
          <w:i/>
          <w:iCs/>
          <w:noProof/>
          <w:szCs w:val="24"/>
        </w:rPr>
        <w:t>Exp Gerontol</w:t>
      </w:r>
      <w:r w:rsidRPr="00764EF3">
        <w:rPr>
          <w:noProof/>
          <w:szCs w:val="24"/>
        </w:rPr>
        <w:t xml:space="preserve"> </w:t>
      </w:r>
      <w:r w:rsidRPr="00764EF3">
        <w:rPr>
          <w:b/>
          <w:bCs/>
          <w:noProof/>
          <w:szCs w:val="24"/>
        </w:rPr>
        <w:t>27</w:t>
      </w:r>
      <w:r w:rsidRPr="00764EF3">
        <w:rPr>
          <w:noProof/>
          <w:szCs w:val="24"/>
        </w:rPr>
        <w:t>, 375–382 (1992).</w:t>
      </w:r>
    </w:p>
    <w:p w14:paraId="5BF078C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39.</w:t>
      </w:r>
      <w:r w:rsidRPr="00764EF3">
        <w:rPr>
          <w:noProof/>
          <w:szCs w:val="24"/>
        </w:rPr>
        <w:tab/>
        <w:t xml:space="preserve">Marioni, R. E. </w:t>
      </w:r>
      <w:r w:rsidRPr="00764EF3">
        <w:rPr>
          <w:i/>
          <w:iCs/>
          <w:noProof/>
          <w:szCs w:val="24"/>
        </w:rPr>
        <w:t>et al.</w:t>
      </w:r>
      <w:r w:rsidRPr="00764EF3">
        <w:rPr>
          <w:noProof/>
          <w:szCs w:val="24"/>
        </w:rPr>
        <w:t xml:space="preserve"> The epigenetic clock and telomere length are independently associated with chronological age and mortality. </w:t>
      </w:r>
      <w:r w:rsidRPr="00764EF3">
        <w:rPr>
          <w:i/>
          <w:iCs/>
          <w:noProof/>
          <w:szCs w:val="24"/>
        </w:rPr>
        <w:t>Int J Epidemiol</w:t>
      </w:r>
      <w:r w:rsidRPr="00764EF3">
        <w:rPr>
          <w:noProof/>
          <w:szCs w:val="24"/>
        </w:rPr>
        <w:t xml:space="preserve"> (2016). doi:10.1093/ije/dyw041</w:t>
      </w:r>
    </w:p>
    <w:p w14:paraId="335586DD"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40.</w:t>
      </w:r>
      <w:r w:rsidRPr="00764EF3">
        <w:rPr>
          <w:noProof/>
          <w:szCs w:val="24"/>
        </w:rPr>
        <w:tab/>
        <w:t xml:space="preserve">McCrory, C. </w:t>
      </w:r>
      <w:r w:rsidRPr="00764EF3">
        <w:rPr>
          <w:i/>
          <w:iCs/>
          <w:noProof/>
          <w:szCs w:val="24"/>
        </w:rPr>
        <w:t>et al.</w:t>
      </w:r>
      <w:r w:rsidRPr="00764EF3">
        <w:rPr>
          <w:noProof/>
          <w:szCs w:val="24"/>
        </w:rPr>
        <w:t xml:space="preserve"> Association of 4 epigenetic clocks with measures of functional health, cognition, and all-cause mortality in The Irish Longitudinal Study on Ageing (TILDA). </w:t>
      </w:r>
      <w:r w:rsidRPr="00764EF3">
        <w:rPr>
          <w:i/>
          <w:iCs/>
          <w:noProof/>
          <w:szCs w:val="24"/>
        </w:rPr>
        <w:t>bioRxiv</w:t>
      </w:r>
      <w:r w:rsidRPr="00764EF3">
        <w:rPr>
          <w:noProof/>
          <w:szCs w:val="24"/>
        </w:rPr>
        <w:t xml:space="preserve"> 2020.04.27.063164 (2020). doi:10.1101/2020.04.27.063164</w:t>
      </w:r>
    </w:p>
    <w:p w14:paraId="7323A4B3"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41.</w:t>
      </w:r>
      <w:r w:rsidRPr="00764EF3">
        <w:rPr>
          <w:noProof/>
          <w:szCs w:val="24"/>
        </w:rPr>
        <w:tab/>
        <w:t xml:space="preserve">Ahrens, K. A., Rossen, L. M. &amp; Simon, A. E. Relationship Between Mean Leucocyte Telomere Length and Measures of Allostatic Load in US Reproductive-Aged Women, NHANES 1999–2002. </w:t>
      </w:r>
      <w:r w:rsidRPr="00764EF3">
        <w:rPr>
          <w:i/>
          <w:iCs/>
          <w:noProof/>
          <w:szCs w:val="24"/>
        </w:rPr>
        <w:t>Paediatr. Perinat. Epidemiol.</w:t>
      </w:r>
      <w:r w:rsidRPr="00764EF3">
        <w:rPr>
          <w:noProof/>
          <w:szCs w:val="24"/>
        </w:rPr>
        <w:t xml:space="preserve"> </w:t>
      </w:r>
      <w:r w:rsidRPr="00764EF3">
        <w:rPr>
          <w:b/>
          <w:bCs/>
          <w:noProof/>
          <w:szCs w:val="24"/>
        </w:rPr>
        <w:t>30</w:t>
      </w:r>
      <w:r w:rsidRPr="00764EF3">
        <w:rPr>
          <w:noProof/>
          <w:szCs w:val="24"/>
        </w:rPr>
        <w:t>, 325–335 (2016).</w:t>
      </w:r>
    </w:p>
    <w:p w14:paraId="39724DC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42.</w:t>
      </w:r>
      <w:r w:rsidRPr="00764EF3">
        <w:rPr>
          <w:noProof/>
          <w:szCs w:val="24"/>
        </w:rPr>
        <w:tab/>
        <w:t xml:space="preserve">Belsky, D. W. </w:t>
      </w:r>
      <w:r w:rsidRPr="00764EF3">
        <w:rPr>
          <w:i/>
          <w:iCs/>
          <w:noProof/>
          <w:szCs w:val="24"/>
        </w:rPr>
        <w:t>et al.</w:t>
      </w:r>
      <w:r w:rsidRPr="00764EF3">
        <w:rPr>
          <w:noProof/>
          <w:szCs w:val="24"/>
        </w:rPr>
        <w:t xml:space="preserve"> Eleven Telomere, Epigenetic Clock, and Biomarker-Composite Quantifications of Biological Aging: Do They Measure the Same Thing? </w:t>
      </w:r>
      <w:r w:rsidRPr="00764EF3">
        <w:rPr>
          <w:i/>
          <w:iCs/>
          <w:noProof/>
          <w:szCs w:val="24"/>
        </w:rPr>
        <w:t>Am J Epidemiol</w:t>
      </w:r>
      <w:r w:rsidRPr="00764EF3">
        <w:rPr>
          <w:noProof/>
          <w:szCs w:val="24"/>
        </w:rPr>
        <w:t xml:space="preserve"> </w:t>
      </w:r>
      <w:r w:rsidRPr="00764EF3">
        <w:rPr>
          <w:b/>
          <w:bCs/>
          <w:noProof/>
          <w:szCs w:val="24"/>
        </w:rPr>
        <w:t>187</w:t>
      </w:r>
      <w:r w:rsidRPr="00764EF3">
        <w:rPr>
          <w:noProof/>
          <w:szCs w:val="24"/>
        </w:rPr>
        <w:t>, 1220–1230 (2017).</w:t>
      </w:r>
    </w:p>
    <w:p w14:paraId="711DC026"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43.</w:t>
      </w:r>
      <w:r w:rsidRPr="00764EF3">
        <w:rPr>
          <w:noProof/>
          <w:szCs w:val="24"/>
        </w:rPr>
        <w:tab/>
        <w:t xml:space="preserve">Marioni, R. E. </w:t>
      </w:r>
      <w:r w:rsidRPr="00764EF3">
        <w:rPr>
          <w:i/>
          <w:iCs/>
          <w:noProof/>
          <w:szCs w:val="24"/>
        </w:rPr>
        <w:t>et al.</w:t>
      </w:r>
      <w:r w:rsidRPr="00764EF3">
        <w:rPr>
          <w:noProof/>
          <w:szCs w:val="24"/>
        </w:rPr>
        <w:t xml:space="preserve"> The epigenetic clock is correlated with physical and cognitive fitness in the Lothian Birth Cohort 1936. </w:t>
      </w:r>
      <w:r w:rsidRPr="00764EF3">
        <w:rPr>
          <w:i/>
          <w:iCs/>
          <w:noProof/>
          <w:szCs w:val="24"/>
        </w:rPr>
        <w:t>Int. J. Epidemiol.</w:t>
      </w:r>
      <w:r w:rsidRPr="00764EF3">
        <w:rPr>
          <w:noProof/>
          <w:szCs w:val="24"/>
        </w:rPr>
        <w:t xml:space="preserve"> </w:t>
      </w:r>
      <w:r w:rsidRPr="00764EF3">
        <w:rPr>
          <w:b/>
          <w:bCs/>
          <w:noProof/>
          <w:szCs w:val="24"/>
        </w:rPr>
        <w:t>44</w:t>
      </w:r>
      <w:r w:rsidRPr="00764EF3">
        <w:rPr>
          <w:noProof/>
          <w:szCs w:val="24"/>
        </w:rPr>
        <w:t>, 1388–1396 (2015).</w:t>
      </w:r>
    </w:p>
    <w:p w14:paraId="1D61663F"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44.</w:t>
      </w:r>
      <w:r w:rsidRPr="00764EF3">
        <w:rPr>
          <w:noProof/>
          <w:szCs w:val="24"/>
        </w:rPr>
        <w:tab/>
        <w:t xml:space="preserve">Cohen, A. A. </w:t>
      </w:r>
      <w:r w:rsidRPr="00764EF3">
        <w:rPr>
          <w:i/>
          <w:iCs/>
          <w:noProof/>
          <w:szCs w:val="24"/>
        </w:rPr>
        <w:t>et al.</w:t>
      </w:r>
      <w:r w:rsidRPr="00764EF3">
        <w:rPr>
          <w:noProof/>
          <w:szCs w:val="24"/>
        </w:rPr>
        <w:t xml:space="preserve"> A novel statistical approach shows evidence for multi-system physiological dysregulation during aging. </w:t>
      </w:r>
      <w:r w:rsidRPr="00764EF3">
        <w:rPr>
          <w:i/>
          <w:iCs/>
          <w:noProof/>
          <w:szCs w:val="24"/>
        </w:rPr>
        <w:t>Mech. Ageing Dev.</w:t>
      </w:r>
      <w:r w:rsidRPr="00764EF3">
        <w:rPr>
          <w:noProof/>
          <w:szCs w:val="24"/>
        </w:rPr>
        <w:t xml:space="preserve"> </w:t>
      </w:r>
      <w:r w:rsidRPr="00764EF3">
        <w:rPr>
          <w:b/>
          <w:bCs/>
          <w:noProof/>
          <w:szCs w:val="24"/>
        </w:rPr>
        <w:t>134</w:t>
      </w:r>
      <w:r w:rsidRPr="00764EF3">
        <w:rPr>
          <w:noProof/>
          <w:szCs w:val="24"/>
        </w:rPr>
        <w:t>, 110–117 (2013).</w:t>
      </w:r>
    </w:p>
    <w:p w14:paraId="3C9C3CD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45.</w:t>
      </w:r>
      <w:r w:rsidRPr="00764EF3">
        <w:rPr>
          <w:noProof/>
          <w:szCs w:val="24"/>
        </w:rPr>
        <w:tab/>
        <w:t xml:space="preserve">Levine, M. E. Modeling the Rate of Senescence: Can Estimated Biological Age Predict Mortality More Accurately Than Chronological Age? </w:t>
      </w:r>
      <w:r w:rsidRPr="00764EF3">
        <w:rPr>
          <w:i/>
          <w:iCs/>
          <w:noProof/>
          <w:szCs w:val="24"/>
        </w:rPr>
        <w:t>Journals Gerontol. Ser. a-Biological Sci. Med. Sci.</w:t>
      </w:r>
      <w:r w:rsidRPr="00764EF3">
        <w:rPr>
          <w:noProof/>
          <w:szCs w:val="24"/>
        </w:rPr>
        <w:t xml:space="preserve"> </w:t>
      </w:r>
      <w:r w:rsidRPr="00764EF3">
        <w:rPr>
          <w:b/>
          <w:bCs/>
          <w:noProof/>
          <w:szCs w:val="24"/>
        </w:rPr>
        <w:t>68</w:t>
      </w:r>
      <w:r w:rsidRPr="00764EF3">
        <w:rPr>
          <w:noProof/>
          <w:szCs w:val="24"/>
        </w:rPr>
        <w:t>, 667–674 (2013).</w:t>
      </w:r>
    </w:p>
    <w:p w14:paraId="50D7595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46.</w:t>
      </w:r>
      <w:r w:rsidRPr="00764EF3">
        <w:rPr>
          <w:noProof/>
          <w:szCs w:val="24"/>
        </w:rPr>
        <w:tab/>
        <w:t xml:space="preserve">Liu, Z. </w:t>
      </w:r>
      <w:r w:rsidRPr="00764EF3">
        <w:rPr>
          <w:i/>
          <w:iCs/>
          <w:noProof/>
          <w:szCs w:val="24"/>
        </w:rPr>
        <w:t>et al.</w:t>
      </w:r>
      <w:r w:rsidRPr="00764EF3">
        <w:rPr>
          <w:noProof/>
          <w:szCs w:val="24"/>
        </w:rPr>
        <w:t xml:space="preserve"> A new aging measure captures morbidity and mortality risk across diverse subpopulations from NHANES IV: A cohort study. </w:t>
      </w:r>
      <w:r w:rsidRPr="00764EF3">
        <w:rPr>
          <w:i/>
          <w:iCs/>
          <w:noProof/>
          <w:szCs w:val="24"/>
        </w:rPr>
        <w:t>PLoS Med</w:t>
      </w:r>
      <w:r w:rsidRPr="00764EF3">
        <w:rPr>
          <w:noProof/>
          <w:szCs w:val="24"/>
        </w:rPr>
        <w:t xml:space="preserve"> </w:t>
      </w:r>
      <w:r w:rsidRPr="00764EF3">
        <w:rPr>
          <w:b/>
          <w:bCs/>
          <w:noProof/>
          <w:szCs w:val="24"/>
        </w:rPr>
        <w:t>15</w:t>
      </w:r>
      <w:r w:rsidRPr="00764EF3">
        <w:rPr>
          <w:noProof/>
          <w:szCs w:val="24"/>
        </w:rPr>
        <w:t>, e1002718 (2018).</w:t>
      </w:r>
    </w:p>
    <w:p w14:paraId="708BA99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47.</w:t>
      </w:r>
      <w:r w:rsidRPr="00764EF3">
        <w:rPr>
          <w:noProof/>
          <w:szCs w:val="24"/>
        </w:rPr>
        <w:tab/>
        <w:t xml:space="preserve">Klemera, P. &amp; Doubal, S. A new approach to the concept and computation of biological age. </w:t>
      </w:r>
      <w:r w:rsidRPr="00764EF3">
        <w:rPr>
          <w:i/>
          <w:iCs/>
          <w:noProof/>
          <w:szCs w:val="24"/>
        </w:rPr>
        <w:t>Mech. Ageing Dev.</w:t>
      </w:r>
      <w:r w:rsidRPr="00764EF3">
        <w:rPr>
          <w:noProof/>
          <w:szCs w:val="24"/>
        </w:rPr>
        <w:t xml:space="preserve"> </w:t>
      </w:r>
      <w:r w:rsidRPr="00764EF3">
        <w:rPr>
          <w:b/>
          <w:bCs/>
          <w:noProof/>
          <w:szCs w:val="24"/>
        </w:rPr>
        <w:t>127</w:t>
      </w:r>
      <w:r w:rsidRPr="00764EF3">
        <w:rPr>
          <w:noProof/>
          <w:szCs w:val="24"/>
        </w:rPr>
        <w:t>, 240–248 (2006).</w:t>
      </w:r>
    </w:p>
    <w:p w14:paraId="38F5BBCE"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48.</w:t>
      </w:r>
      <w:r w:rsidRPr="00764EF3">
        <w:rPr>
          <w:noProof/>
          <w:szCs w:val="24"/>
        </w:rPr>
        <w:tab/>
        <w:t xml:space="preserve">McEwen, B. S. Stress, adaptation and disease: Allostatis and allostatic load. </w:t>
      </w:r>
      <w:r w:rsidRPr="00764EF3">
        <w:rPr>
          <w:i/>
          <w:iCs/>
          <w:noProof/>
          <w:szCs w:val="24"/>
        </w:rPr>
        <w:t>Ann. N. Y. Acad. Sci.</w:t>
      </w:r>
      <w:r w:rsidRPr="00764EF3">
        <w:rPr>
          <w:noProof/>
          <w:szCs w:val="24"/>
        </w:rPr>
        <w:t xml:space="preserve"> </w:t>
      </w:r>
      <w:r w:rsidRPr="00764EF3">
        <w:rPr>
          <w:b/>
          <w:bCs/>
          <w:noProof/>
          <w:szCs w:val="24"/>
        </w:rPr>
        <w:t>840</w:t>
      </w:r>
      <w:r w:rsidRPr="00764EF3">
        <w:rPr>
          <w:noProof/>
          <w:szCs w:val="24"/>
        </w:rPr>
        <w:t>, 33–44 (1998).</w:t>
      </w:r>
    </w:p>
    <w:p w14:paraId="46329F48"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49.</w:t>
      </w:r>
      <w:r w:rsidRPr="00764EF3">
        <w:rPr>
          <w:noProof/>
          <w:szCs w:val="24"/>
        </w:rPr>
        <w:tab/>
        <w:t xml:space="preserve">Santos-Lozada, A. R. &amp; Howard, J. T. Using allostatic load to validate self-rated health for </w:t>
      </w:r>
      <w:r w:rsidRPr="00764EF3">
        <w:rPr>
          <w:noProof/>
          <w:szCs w:val="24"/>
        </w:rPr>
        <w:lastRenderedPageBreak/>
        <w:t xml:space="preserve">racial/ethnic groups in the United States. </w:t>
      </w:r>
      <w:r w:rsidRPr="00764EF3">
        <w:rPr>
          <w:i/>
          <w:iCs/>
          <w:noProof/>
          <w:szCs w:val="24"/>
        </w:rPr>
        <w:t>Biodemography Soc. Biol.</w:t>
      </w:r>
      <w:r w:rsidRPr="00764EF3">
        <w:rPr>
          <w:noProof/>
          <w:szCs w:val="24"/>
        </w:rPr>
        <w:t xml:space="preserve"> </w:t>
      </w:r>
      <w:r w:rsidRPr="00764EF3">
        <w:rPr>
          <w:b/>
          <w:bCs/>
          <w:noProof/>
          <w:szCs w:val="24"/>
        </w:rPr>
        <w:t>64</w:t>
      </w:r>
      <w:r w:rsidRPr="00764EF3">
        <w:rPr>
          <w:noProof/>
          <w:szCs w:val="24"/>
        </w:rPr>
        <w:t>, 1–14 (2018).</w:t>
      </w:r>
    </w:p>
    <w:p w14:paraId="1F15780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50.</w:t>
      </w:r>
      <w:r w:rsidRPr="00764EF3">
        <w:rPr>
          <w:noProof/>
          <w:szCs w:val="24"/>
        </w:rPr>
        <w:tab/>
        <w:t xml:space="preserve">Hastings, W. J., Shalev, I. &amp; Almeida, D. M. Allostatic load and biological aging in the MIDUS National Survey. in </w:t>
      </w:r>
      <w:r w:rsidRPr="00764EF3">
        <w:rPr>
          <w:i/>
          <w:iCs/>
          <w:noProof/>
          <w:szCs w:val="24"/>
        </w:rPr>
        <w:t>GSA 2020 Annual Scientific Meeting</w:t>
      </w:r>
      <w:r w:rsidRPr="00764EF3">
        <w:rPr>
          <w:noProof/>
          <w:szCs w:val="24"/>
        </w:rPr>
        <w:t xml:space="preserve"> (2020).</w:t>
      </w:r>
    </w:p>
    <w:p w14:paraId="15A998F4"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51.</w:t>
      </w:r>
      <w:r w:rsidRPr="00764EF3">
        <w:rPr>
          <w:noProof/>
          <w:szCs w:val="24"/>
        </w:rPr>
        <w:tab/>
        <w:t xml:space="preserve">Atwood, C. S. &amp; Bowen, R. L. The reproductive-cell cycle theory of aging: An update. </w:t>
      </w:r>
      <w:r w:rsidRPr="00764EF3">
        <w:rPr>
          <w:i/>
          <w:iCs/>
          <w:noProof/>
          <w:szCs w:val="24"/>
        </w:rPr>
        <w:t>Exp. Gerontol.</w:t>
      </w:r>
      <w:r w:rsidRPr="00764EF3">
        <w:rPr>
          <w:noProof/>
          <w:szCs w:val="24"/>
        </w:rPr>
        <w:t xml:space="preserve"> </w:t>
      </w:r>
      <w:r w:rsidRPr="00764EF3">
        <w:rPr>
          <w:b/>
          <w:bCs/>
          <w:noProof/>
          <w:szCs w:val="24"/>
        </w:rPr>
        <w:t>46</w:t>
      </w:r>
      <w:r w:rsidRPr="00764EF3">
        <w:rPr>
          <w:noProof/>
          <w:szCs w:val="24"/>
        </w:rPr>
        <w:t>, 100–107 (2011).</w:t>
      </w:r>
    </w:p>
    <w:p w14:paraId="265D934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52.</w:t>
      </w:r>
      <w:r w:rsidRPr="00764EF3">
        <w:rPr>
          <w:noProof/>
          <w:szCs w:val="24"/>
        </w:rPr>
        <w:tab/>
        <w:t>Centers for Disease Control and Prevention, N. C. for H. S. (NCHS). National Health and Nutrition Examination Survey Data. (2018).</w:t>
      </w:r>
    </w:p>
    <w:p w14:paraId="6EE7949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53.</w:t>
      </w:r>
      <w:r w:rsidRPr="00764EF3">
        <w:rPr>
          <w:noProof/>
          <w:szCs w:val="24"/>
        </w:rPr>
        <w:tab/>
        <w:t xml:space="preserve">Wilcox, A. J. </w:t>
      </w:r>
      <w:r w:rsidRPr="00764EF3">
        <w:rPr>
          <w:i/>
          <w:iCs/>
          <w:noProof/>
          <w:szCs w:val="24"/>
        </w:rPr>
        <w:t>et al.</w:t>
      </w:r>
      <w:r w:rsidRPr="00764EF3">
        <w:rPr>
          <w:noProof/>
          <w:szCs w:val="24"/>
        </w:rPr>
        <w:t xml:space="preserve"> Incidence of Early Loss of Pregnancy. </w:t>
      </w:r>
      <w:r w:rsidRPr="00764EF3">
        <w:rPr>
          <w:i/>
          <w:iCs/>
          <w:noProof/>
          <w:szCs w:val="24"/>
        </w:rPr>
        <w:t>N. Engl. J. Med.</w:t>
      </w:r>
      <w:r w:rsidRPr="00764EF3">
        <w:rPr>
          <w:noProof/>
          <w:szCs w:val="24"/>
        </w:rPr>
        <w:t xml:space="preserve"> </w:t>
      </w:r>
      <w:r w:rsidRPr="00764EF3">
        <w:rPr>
          <w:b/>
          <w:bCs/>
          <w:noProof/>
          <w:szCs w:val="24"/>
        </w:rPr>
        <w:t>319</w:t>
      </w:r>
      <w:r w:rsidRPr="00764EF3">
        <w:rPr>
          <w:noProof/>
          <w:szCs w:val="24"/>
        </w:rPr>
        <w:t>, 189–194 (1988).</w:t>
      </w:r>
    </w:p>
    <w:p w14:paraId="453CF6A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54.</w:t>
      </w:r>
      <w:r w:rsidRPr="00764EF3">
        <w:rPr>
          <w:noProof/>
          <w:szCs w:val="24"/>
        </w:rPr>
        <w:tab/>
        <w:t xml:space="preserve">Lobo, R. A. </w:t>
      </w:r>
      <w:r w:rsidRPr="00764EF3">
        <w:rPr>
          <w:i/>
          <w:iCs/>
          <w:noProof/>
          <w:szCs w:val="24"/>
        </w:rPr>
        <w:t>Menopause and Aging</w:t>
      </w:r>
      <w:r w:rsidRPr="00764EF3">
        <w:rPr>
          <w:noProof/>
          <w:szCs w:val="24"/>
        </w:rPr>
        <w:t xml:space="preserve">. </w:t>
      </w:r>
      <w:r w:rsidRPr="00764EF3">
        <w:rPr>
          <w:i/>
          <w:iCs/>
          <w:noProof/>
          <w:szCs w:val="24"/>
        </w:rPr>
        <w:t>Yen and Jaffe’s Reproductive Endocrinology: Seventh Edition</w:t>
      </w:r>
      <w:r w:rsidRPr="00764EF3">
        <w:rPr>
          <w:noProof/>
          <w:szCs w:val="24"/>
        </w:rPr>
        <w:t xml:space="preserve"> (Elsevier, 2013). doi:10.1016/B978-1-4557-2758-2.00015-9</w:t>
      </w:r>
    </w:p>
    <w:p w14:paraId="4ECEE6FD"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55.</w:t>
      </w:r>
      <w:r w:rsidRPr="00764EF3">
        <w:rPr>
          <w:noProof/>
          <w:szCs w:val="24"/>
        </w:rPr>
        <w:tab/>
        <w:t xml:space="preserve">Selvin, E. </w:t>
      </w:r>
      <w:r w:rsidRPr="00764EF3">
        <w:rPr>
          <w:i/>
          <w:iCs/>
          <w:noProof/>
          <w:szCs w:val="24"/>
        </w:rPr>
        <w:t>et al.</w:t>
      </w:r>
      <w:r w:rsidRPr="00764EF3">
        <w:rPr>
          <w:noProof/>
          <w:szCs w:val="24"/>
        </w:rPr>
        <w:t xml:space="preserve"> Calibration of serum creatinine in the National Health and Nutrition Examination Surveys (NHANES) 1988-1994, 1999-2004. </w:t>
      </w:r>
      <w:r w:rsidRPr="00764EF3">
        <w:rPr>
          <w:i/>
          <w:iCs/>
          <w:noProof/>
          <w:szCs w:val="24"/>
        </w:rPr>
        <w:t>Am. J. Kidney Dis.</w:t>
      </w:r>
      <w:r w:rsidRPr="00764EF3">
        <w:rPr>
          <w:noProof/>
          <w:szCs w:val="24"/>
        </w:rPr>
        <w:t xml:space="preserve"> </w:t>
      </w:r>
      <w:r w:rsidRPr="00764EF3">
        <w:rPr>
          <w:b/>
          <w:bCs/>
          <w:noProof/>
          <w:szCs w:val="24"/>
        </w:rPr>
        <w:t>50</w:t>
      </w:r>
      <w:r w:rsidRPr="00764EF3">
        <w:rPr>
          <w:noProof/>
          <w:szCs w:val="24"/>
        </w:rPr>
        <w:t>, 918–926 (2007).</w:t>
      </w:r>
    </w:p>
    <w:p w14:paraId="728069F3"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56.</w:t>
      </w:r>
      <w:r w:rsidRPr="00764EF3">
        <w:rPr>
          <w:noProof/>
          <w:szCs w:val="24"/>
        </w:rPr>
        <w:tab/>
        <w:t xml:space="preserve">Mahalanobis, P. C. Mahalanobis distance. </w:t>
      </w:r>
      <w:r w:rsidRPr="00764EF3">
        <w:rPr>
          <w:i/>
          <w:iCs/>
          <w:noProof/>
          <w:szCs w:val="24"/>
        </w:rPr>
        <w:t>Proc. Natl. Inst. Sci. India</w:t>
      </w:r>
      <w:r w:rsidRPr="00764EF3">
        <w:rPr>
          <w:noProof/>
          <w:szCs w:val="24"/>
        </w:rPr>
        <w:t xml:space="preserve"> </w:t>
      </w:r>
      <w:r w:rsidRPr="00764EF3">
        <w:rPr>
          <w:b/>
          <w:bCs/>
          <w:noProof/>
          <w:szCs w:val="24"/>
        </w:rPr>
        <w:t>49</w:t>
      </w:r>
      <w:r w:rsidRPr="00764EF3">
        <w:rPr>
          <w:noProof/>
          <w:szCs w:val="24"/>
        </w:rPr>
        <w:t>, 234–256 (1936).</w:t>
      </w:r>
    </w:p>
    <w:p w14:paraId="436D7AA6"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57.</w:t>
      </w:r>
      <w:r w:rsidRPr="00764EF3">
        <w:rPr>
          <w:noProof/>
          <w:szCs w:val="24"/>
        </w:rPr>
        <w:tab/>
        <w:t xml:space="preserve">Duong, M. T., Bingham, B. A., Aldana, P. C., Chung, S. T. &amp; Sumner, A. E. Variation in the calculation of allostatic load score: 21 examples from NHANES. </w:t>
      </w:r>
      <w:r w:rsidRPr="00764EF3">
        <w:rPr>
          <w:i/>
          <w:iCs/>
          <w:noProof/>
          <w:szCs w:val="24"/>
        </w:rPr>
        <w:t>J. Racial Ethn. Heal. Disparities</w:t>
      </w:r>
      <w:r w:rsidRPr="00764EF3">
        <w:rPr>
          <w:noProof/>
          <w:szCs w:val="24"/>
        </w:rPr>
        <w:t xml:space="preserve"> </w:t>
      </w:r>
      <w:r w:rsidRPr="00764EF3">
        <w:rPr>
          <w:b/>
          <w:bCs/>
          <w:noProof/>
          <w:szCs w:val="24"/>
        </w:rPr>
        <w:t>4</w:t>
      </w:r>
      <w:r w:rsidRPr="00764EF3">
        <w:rPr>
          <w:noProof/>
          <w:szCs w:val="24"/>
        </w:rPr>
        <w:t>, 455–461 (2017).</w:t>
      </w:r>
    </w:p>
    <w:p w14:paraId="5A07176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58.</w:t>
      </w:r>
      <w:r w:rsidRPr="00764EF3">
        <w:rPr>
          <w:noProof/>
          <w:szCs w:val="24"/>
        </w:rPr>
        <w:tab/>
        <w:t xml:space="preserve">Levine, M. E. &amp; Crimmins, E. M. Evidence of accelerated aging among African Americans and its implications for mortality. </w:t>
      </w:r>
      <w:r w:rsidRPr="00764EF3">
        <w:rPr>
          <w:i/>
          <w:iCs/>
          <w:noProof/>
          <w:szCs w:val="24"/>
        </w:rPr>
        <w:t>Soc. Sci. Med.</w:t>
      </w:r>
      <w:r w:rsidRPr="00764EF3">
        <w:rPr>
          <w:noProof/>
          <w:szCs w:val="24"/>
        </w:rPr>
        <w:t xml:space="preserve"> </w:t>
      </w:r>
      <w:r w:rsidRPr="00764EF3">
        <w:rPr>
          <w:b/>
          <w:bCs/>
          <w:noProof/>
          <w:szCs w:val="24"/>
        </w:rPr>
        <w:t>118</w:t>
      </w:r>
      <w:r w:rsidRPr="00764EF3">
        <w:rPr>
          <w:noProof/>
          <w:szCs w:val="24"/>
        </w:rPr>
        <w:t>, 27–32 (2014).</w:t>
      </w:r>
    </w:p>
    <w:p w14:paraId="5D18E5B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59.</w:t>
      </w:r>
      <w:r w:rsidRPr="00764EF3">
        <w:rPr>
          <w:noProof/>
          <w:szCs w:val="24"/>
        </w:rPr>
        <w:tab/>
        <w:t xml:space="preserve">Steptoe, A. </w:t>
      </w:r>
      <w:r w:rsidRPr="00764EF3">
        <w:rPr>
          <w:i/>
          <w:iCs/>
          <w:noProof/>
          <w:szCs w:val="24"/>
        </w:rPr>
        <w:t>et al.</w:t>
      </w:r>
      <w:r w:rsidRPr="00764EF3">
        <w:rPr>
          <w:noProof/>
          <w:szCs w:val="24"/>
        </w:rPr>
        <w:t xml:space="preserve"> Educational attainment but not measures of current socioeconomic circumstances are associated with leukocyte telomere length in healthy older men and women. </w:t>
      </w:r>
      <w:r w:rsidRPr="00764EF3">
        <w:rPr>
          <w:i/>
          <w:iCs/>
          <w:noProof/>
          <w:szCs w:val="24"/>
        </w:rPr>
        <w:t>Brain. Behav. Immun.</w:t>
      </w:r>
      <w:r w:rsidRPr="00764EF3">
        <w:rPr>
          <w:noProof/>
          <w:szCs w:val="24"/>
        </w:rPr>
        <w:t xml:space="preserve"> </w:t>
      </w:r>
      <w:r w:rsidRPr="00764EF3">
        <w:rPr>
          <w:b/>
          <w:bCs/>
          <w:noProof/>
          <w:szCs w:val="24"/>
        </w:rPr>
        <w:t>25</w:t>
      </w:r>
      <w:r w:rsidRPr="00764EF3">
        <w:rPr>
          <w:noProof/>
          <w:szCs w:val="24"/>
        </w:rPr>
        <w:t>, 1292–1298 (2011).</w:t>
      </w:r>
    </w:p>
    <w:p w14:paraId="1F31728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60.</w:t>
      </w:r>
      <w:r w:rsidRPr="00764EF3">
        <w:rPr>
          <w:noProof/>
          <w:szCs w:val="24"/>
        </w:rPr>
        <w:tab/>
        <w:t xml:space="preserve">Robertson, T. </w:t>
      </w:r>
      <w:r w:rsidRPr="00764EF3">
        <w:rPr>
          <w:i/>
          <w:iCs/>
          <w:noProof/>
          <w:szCs w:val="24"/>
        </w:rPr>
        <w:t>et al.</w:t>
      </w:r>
      <w:r w:rsidRPr="00764EF3">
        <w:rPr>
          <w:noProof/>
          <w:szCs w:val="24"/>
        </w:rPr>
        <w:t xml:space="preserve"> Is socioeconomic status associated with biological aging as measured by telomere length? </w:t>
      </w:r>
      <w:r w:rsidRPr="00764EF3">
        <w:rPr>
          <w:i/>
          <w:iCs/>
          <w:noProof/>
          <w:szCs w:val="24"/>
        </w:rPr>
        <w:t>Epidemiol. Rev.</w:t>
      </w:r>
      <w:r w:rsidRPr="00764EF3">
        <w:rPr>
          <w:noProof/>
          <w:szCs w:val="24"/>
        </w:rPr>
        <w:t xml:space="preserve"> </w:t>
      </w:r>
      <w:r w:rsidRPr="00764EF3">
        <w:rPr>
          <w:b/>
          <w:bCs/>
          <w:noProof/>
          <w:szCs w:val="24"/>
        </w:rPr>
        <w:t>35</w:t>
      </w:r>
      <w:r w:rsidRPr="00764EF3">
        <w:rPr>
          <w:noProof/>
          <w:szCs w:val="24"/>
        </w:rPr>
        <w:t>, 98–111 (2013).</w:t>
      </w:r>
    </w:p>
    <w:p w14:paraId="47035EBD"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61.</w:t>
      </w:r>
      <w:r w:rsidRPr="00764EF3">
        <w:rPr>
          <w:noProof/>
          <w:szCs w:val="24"/>
        </w:rPr>
        <w:tab/>
        <w:t xml:space="preserve">Lewis, C. E. </w:t>
      </w:r>
      <w:r w:rsidRPr="00764EF3">
        <w:rPr>
          <w:i/>
          <w:iCs/>
          <w:noProof/>
          <w:szCs w:val="24"/>
        </w:rPr>
        <w:t>et al.</w:t>
      </w:r>
      <w:r w:rsidRPr="00764EF3">
        <w:rPr>
          <w:noProof/>
          <w:szCs w:val="24"/>
        </w:rPr>
        <w:t xml:space="preserve"> Mortality, health outcomes, and body mass index in the overweight range. </w:t>
      </w:r>
      <w:r w:rsidRPr="00764EF3">
        <w:rPr>
          <w:i/>
          <w:iCs/>
          <w:noProof/>
          <w:szCs w:val="24"/>
        </w:rPr>
        <w:t>Circulation</w:t>
      </w:r>
      <w:r w:rsidRPr="00764EF3">
        <w:rPr>
          <w:noProof/>
          <w:szCs w:val="24"/>
        </w:rPr>
        <w:t xml:space="preserve"> </w:t>
      </w:r>
      <w:r w:rsidRPr="00764EF3">
        <w:rPr>
          <w:b/>
          <w:bCs/>
          <w:noProof/>
          <w:szCs w:val="24"/>
        </w:rPr>
        <w:t>119</w:t>
      </w:r>
      <w:r w:rsidRPr="00764EF3">
        <w:rPr>
          <w:noProof/>
          <w:szCs w:val="24"/>
        </w:rPr>
        <w:t>, 3263–3271 (2009).</w:t>
      </w:r>
    </w:p>
    <w:p w14:paraId="67564D4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62.</w:t>
      </w:r>
      <w:r w:rsidRPr="00764EF3">
        <w:rPr>
          <w:noProof/>
          <w:szCs w:val="24"/>
        </w:rPr>
        <w:tab/>
        <w:t xml:space="preserve">National Center for Health Statistics. NHANES survey methods and analytic guidelines. (2018). </w:t>
      </w:r>
      <w:r w:rsidRPr="00764EF3">
        <w:rPr>
          <w:noProof/>
          <w:szCs w:val="24"/>
        </w:rPr>
        <w:lastRenderedPageBreak/>
        <w:t>Available at: https://wwwn.cdc.gov/nchs/nhanes/AnalyticGuidelines.aspx. (Accessed: 4th February 2020)</w:t>
      </w:r>
    </w:p>
    <w:p w14:paraId="74DE933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63.</w:t>
      </w:r>
      <w:r w:rsidRPr="00764EF3">
        <w:rPr>
          <w:noProof/>
          <w:szCs w:val="24"/>
        </w:rPr>
        <w:tab/>
        <w:t xml:space="preserve">Korn, E. L. &amp; Graubard, B. I. </w:t>
      </w:r>
      <w:r w:rsidRPr="00764EF3">
        <w:rPr>
          <w:i/>
          <w:iCs/>
          <w:noProof/>
          <w:szCs w:val="24"/>
        </w:rPr>
        <w:t>Analysis of health surveys</w:t>
      </w:r>
      <w:r w:rsidRPr="00764EF3">
        <w:rPr>
          <w:noProof/>
          <w:szCs w:val="24"/>
        </w:rPr>
        <w:t>. (John Wiley &amp; Sons, 1999).</w:t>
      </w:r>
    </w:p>
    <w:p w14:paraId="19C2DF08"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64.</w:t>
      </w:r>
      <w:r w:rsidRPr="00764EF3">
        <w:rPr>
          <w:noProof/>
          <w:szCs w:val="24"/>
        </w:rPr>
        <w:tab/>
        <w:t xml:space="preserve">Rosinger, A. Y. &amp; Ice, G. Secondary data analysis to answer questions in human biology. </w:t>
      </w:r>
      <w:r w:rsidRPr="00764EF3">
        <w:rPr>
          <w:i/>
          <w:iCs/>
          <w:noProof/>
          <w:szCs w:val="24"/>
        </w:rPr>
        <w:t>Am. J. Hum. Biol.</w:t>
      </w:r>
      <w:r w:rsidRPr="00764EF3">
        <w:rPr>
          <w:noProof/>
          <w:szCs w:val="24"/>
        </w:rPr>
        <w:t xml:space="preserve"> </w:t>
      </w:r>
      <w:r w:rsidRPr="00764EF3">
        <w:rPr>
          <w:b/>
          <w:bCs/>
          <w:noProof/>
          <w:szCs w:val="24"/>
        </w:rPr>
        <w:t>31</w:t>
      </w:r>
      <w:r w:rsidRPr="00764EF3">
        <w:rPr>
          <w:noProof/>
          <w:szCs w:val="24"/>
        </w:rPr>
        <w:t>, 1–19 (2019).</w:t>
      </w:r>
    </w:p>
    <w:p w14:paraId="63F2E9F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65.</w:t>
      </w:r>
      <w:r w:rsidRPr="00764EF3">
        <w:rPr>
          <w:noProof/>
          <w:szCs w:val="24"/>
        </w:rPr>
        <w:tab/>
        <w:t xml:space="preserve">Abdi, H. The Bonferonni and Šidák Corrections for Multiple Comparisons. in </w:t>
      </w:r>
      <w:r w:rsidRPr="00764EF3">
        <w:rPr>
          <w:i/>
          <w:iCs/>
          <w:noProof/>
          <w:szCs w:val="24"/>
        </w:rPr>
        <w:t>Encyclopedia of Measurement and Statistics</w:t>
      </w:r>
      <w:r w:rsidRPr="00764EF3">
        <w:rPr>
          <w:noProof/>
          <w:szCs w:val="24"/>
        </w:rPr>
        <w:t xml:space="preserve"> (ed. Salkind, N.) 1–9 (Sage, 2007). doi:10.4135/9781412952644</w:t>
      </w:r>
    </w:p>
    <w:p w14:paraId="7907253C"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66.</w:t>
      </w:r>
      <w:r w:rsidRPr="00764EF3">
        <w:rPr>
          <w:noProof/>
          <w:szCs w:val="24"/>
        </w:rPr>
        <w:tab/>
        <w:t xml:space="preserve">Westendorp, R. G. &amp; Kirkwood, T. Human longevity at the cost of reproductive success. </w:t>
      </w:r>
      <w:r w:rsidRPr="00764EF3">
        <w:rPr>
          <w:i/>
          <w:iCs/>
          <w:noProof/>
          <w:szCs w:val="24"/>
        </w:rPr>
        <w:t>Nature</w:t>
      </w:r>
      <w:r w:rsidRPr="00764EF3">
        <w:rPr>
          <w:noProof/>
          <w:szCs w:val="24"/>
        </w:rPr>
        <w:t xml:space="preserve"> </w:t>
      </w:r>
      <w:r w:rsidRPr="00764EF3">
        <w:rPr>
          <w:b/>
          <w:bCs/>
          <w:noProof/>
          <w:szCs w:val="24"/>
        </w:rPr>
        <w:t>396</w:t>
      </w:r>
      <w:r w:rsidRPr="00764EF3">
        <w:rPr>
          <w:noProof/>
          <w:szCs w:val="24"/>
        </w:rPr>
        <w:t>, 743–746 (1998).</w:t>
      </w:r>
    </w:p>
    <w:p w14:paraId="222C73F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67.</w:t>
      </w:r>
      <w:r w:rsidRPr="00764EF3">
        <w:rPr>
          <w:noProof/>
          <w:szCs w:val="24"/>
        </w:rPr>
        <w:tab/>
        <w:t xml:space="preserve">Graubard, B. I. &amp; Korn, E. L. Predictive margins with survey data. </w:t>
      </w:r>
      <w:r w:rsidRPr="00764EF3">
        <w:rPr>
          <w:i/>
          <w:iCs/>
          <w:noProof/>
          <w:szCs w:val="24"/>
        </w:rPr>
        <w:t>Biometrics</w:t>
      </w:r>
      <w:r w:rsidRPr="00764EF3">
        <w:rPr>
          <w:noProof/>
          <w:szCs w:val="24"/>
        </w:rPr>
        <w:t xml:space="preserve"> </w:t>
      </w:r>
      <w:r w:rsidRPr="00764EF3">
        <w:rPr>
          <w:b/>
          <w:bCs/>
          <w:noProof/>
          <w:szCs w:val="24"/>
        </w:rPr>
        <w:t>55</w:t>
      </w:r>
      <w:r w:rsidRPr="00764EF3">
        <w:rPr>
          <w:noProof/>
          <w:szCs w:val="24"/>
        </w:rPr>
        <w:t>, 652–659 (1999).</w:t>
      </w:r>
    </w:p>
    <w:p w14:paraId="1E68DC3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68.</w:t>
      </w:r>
      <w:r w:rsidRPr="00764EF3">
        <w:rPr>
          <w:noProof/>
          <w:szCs w:val="24"/>
        </w:rPr>
        <w:tab/>
        <w:t xml:space="preserve">Ossewaarde, M. E. </w:t>
      </w:r>
      <w:r w:rsidRPr="00764EF3">
        <w:rPr>
          <w:i/>
          <w:iCs/>
          <w:noProof/>
          <w:szCs w:val="24"/>
        </w:rPr>
        <w:t>et al.</w:t>
      </w:r>
      <w:r w:rsidRPr="00764EF3">
        <w:rPr>
          <w:noProof/>
          <w:szCs w:val="24"/>
        </w:rPr>
        <w:t xml:space="preserve"> Age at menopause, cause-specific mortality and total life expectancy. </w:t>
      </w:r>
      <w:r w:rsidRPr="00764EF3">
        <w:rPr>
          <w:i/>
          <w:iCs/>
          <w:noProof/>
          <w:szCs w:val="24"/>
        </w:rPr>
        <w:t>Epidemiology</w:t>
      </w:r>
      <w:r w:rsidRPr="00764EF3">
        <w:rPr>
          <w:noProof/>
          <w:szCs w:val="24"/>
        </w:rPr>
        <w:t xml:space="preserve"> </w:t>
      </w:r>
      <w:r w:rsidRPr="00764EF3">
        <w:rPr>
          <w:b/>
          <w:bCs/>
          <w:noProof/>
          <w:szCs w:val="24"/>
        </w:rPr>
        <w:t>16</w:t>
      </w:r>
      <w:r w:rsidRPr="00764EF3">
        <w:rPr>
          <w:noProof/>
          <w:szCs w:val="24"/>
        </w:rPr>
        <w:t>, 556–562 (2005).</w:t>
      </w:r>
    </w:p>
    <w:p w14:paraId="37D4E08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69.</w:t>
      </w:r>
      <w:r w:rsidRPr="00764EF3">
        <w:rPr>
          <w:noProof/>
          <w:szCs w:val="24"/>
        </w:rPr>
        <w:tab/>
        <w:t xml:space="preserve">Gleason, C. E., Cholerton, B., Carlsson, C. M., Johnson, S. C. &amp; Asthana, S. Neuroprotective effects of female sex steroids in humans: Current controversies and future directions. </w:t>
      </w:r>
      <w:r w:rsidRPr="00764EF3">
        <w:rPr>
          <w:i/>
          <w:iCs/>
          <w:noProof/>
          <w:szCs w:val="24"/>
        </w:rPr>
        <w:t>Cell. Mol. Life Sci.</w:t>
      </w:r>
      <w:r w:rsidRPr="00764EF3">
        <w:rPr>
          <w:noProof/>
          <w:szCs w:val="24"/>
        </w:rPr>
        <w:t xml:space="preserve"> </w:t>
      </w:r>
      <w:r w:rsidRPr="00764EF3">
        <w:rPr>
          <w:b/>
          <w:bCs/>
          <w:noProof/>
          <w:szCs w:val="24"/>
        </w:rPr>
        <w:t>62</w:t>
      </w:r>
      <w:r w:rsidRPr="00764EF3">
        <w:rPr>
          <w:noProof/>
          <w:szCs w:val="24"/>
        </w:rPr>
        <w:t>, 299–312 (2005).</w:t>
      </w:r>
    </w:p>
    <w:p w14:paraId="7CB67DDF"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70.</w:t>
      </w:r>
      <w:r w:rsidRPr="00764EF3">
        <w:rPr>
          <w:noProof/>
          <w:szCs w:val="24"/>
        </w:rPr>
        <w:tab/>
        <w:t xml:space="preserve">Parker, W. H. </w:t>
      </w:r>
      <w:r w:rsidRPr="00764EF3">
        <w:rPr>
          <w:i/>
          <w:iCs/>
          <w:noProof/>
          <w:szCs w:val="24"/>
        </w:rPr>
        <w:t>et al.</w:t>
      </w:r>
      <w:r w:rsidRPr="00764EF3">
        <w:rPr>
          <w:noProof/>
          <w:szCs w:val="24"/>
        </w:rPr>
        <w:t xml:space="preserve"> Ovarian conservation at the time of hysterectomy and long-term health outcomes in the Nurses’ Health study. </w:t>
      </w:r>
      <w:r w:rsidRPr="00764EF3">
        <w:rPr>
          <w:i/>
          <w:iCs/>
          <w:noProof/>
          <w:szCs w:val="24"/>
        </w:rPr>
        <w:t>Obstet. Gynecol.</w:t>
      </w:r>
      <w:r w:rsidRPr="00764EF3">
        <w:rPr>
          <w:noProof/>
          <w:szCs w:val="24"/>
        </w:rPr>
        <w:t xml:space="preserve"> </w:t>
      </w:r>
      <w:r w:rsidRPr="00764EF3">
        <w:rPr>
          <w:b/>
          <w:bCs/>
          <w:noProof/>
          <w:szCs w:val="24"/>
        </w:rPr>
        <w:t>113</w:t>
      </w:r>
      <w:r w:rsidRPr="00764EF3">
        <w:rPr>
          <w:noProof/>
          <w:szCs w:val="24"/>
        </w:rPr>
        <w:t>, 1027–1037 (2009).</w:t>
      </w:r>
    </w:p>
    <w:p w14:paraId="0007C442"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71.</w:t>
      </w:r>
      <w:r w:rsidRPr="00764EF3">
        <w:rPr>
          <w:noProof/>
          <w:szCs w:val="24"/>
        </w:rPr>
        <w:tab/>
        <w:t xml:space="preserve">Levine, M. E. </w:t>
      </w:r>
      <w:r w:rsidRPr="00764EF3">
        <w:rPr>
          <w:i/>
          <w:iCs/>
          <w:noProof/>
          <w:szCs w:val="24"/>
        </w:rPr>
        <w:t>et al.</w:t>
      </w:r>
      <w:r w:rsidRPr="00764EF3">
        <w:rPr>
          <w:noProof/>
          <w:szCs w:val="24"/>
        </w:rPr>
        <w:t xml:space="preserve"> Menopause accelerates biological aging. </w:t>
      </w:r>
      <w:r w:rsidRPr="00764EF3">
        <w:rPr>
          <w:i/>
          <w:iCs/>
          <w:noProof/>
          <w:szCs w:val="24"/>
        </w:rPr>
        <w:t>Proc. Natl. Acad. Sci. U. S. A.</w:t>
      </w:r>
      <w:r w:rsidRPr="00764EF3">
        <w:rPr>
          <w:noProof/>
          <w:szCs w:val="24"/>
        </w:rPr>
        <w:t xml:space="preserve"> </w:t>
      </w:r>
      <w:r w:rsidRPr="00764EF3">
        <w:rPr>
          <w:b/>
          <w:bCs/>
          <w:noProof/>
          <w:szCs w:val="24"/>
        </w:rPr>
        <w:t>113</w:t>
      </w:r>
      <w:r w:rsidRPr="00764EF3">
        <w:rPr>
          <w:noProof/>
          <w:szCs w:val="24"/>
        </w:rPr>
        <w:t>, 9327–9332 (2016).</w:t>
      </w:r>
    </w:p>
    <w:p w14:paraId="4500CF59"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72.</w:t>
      </w:r>
      <w:r w:rsidRPr="00764EF3">
        <w:rPr>
          <w:noProof/>
          <w:szCs w:val="24"/>
        </w:rPr>
        <w:tab/>
        <w:t xml:space="preserve">Kyo, S. </w:t>
      </w:r>
      <w:r w:rsidRPr="00764EF3">
        <w:rPr>
          <w:i/>
          <w:iCs/>
          <w:noProof/>
          <w:szCs w:val="24"/>
        </w:rPr>
        <w:t>et al.</w:t>
      </w:r>
      <w:r w:rsidRPr="00764EF3">
        <w:rPr>
          <w:noProof/>
          <w:szCs w:val="24"/>
        </w:rPr>
        <w:t xml:space="preserve"> Estrogen activates telomerase. </w:t>
      </w:r>
      <w:r w:rsidRPr="00764EF3">
        <w:rPr>
          <w:i/>
          <w:iCs/>
          <w:noProof/>
          <w:szCs w:val="24"/>
        </w:rPr>
        <w:t>Cancer Res.</w:t>
      </w:r>
      <w:r w:rsidRPr="00764EF3">
        <w:rPr>
          <w:noProof/>
          <w:szCs w:val="24"/>
        </w:rPr>
        <w:t xml:space="preserve"> </w:t>
      </w:r>
      <w:r w:rsidRPr="00764EF3">
        <w:rPr>
          <w:b/>
          <w:bCs/>
          <w:noProof/>
          <w:szCs w:val="24"/>
        </w:rPr>
        <w:t>59</w:t>
      </w:r>
      <w:r w:rsidRPr="00764EF3">
        <w:rPr>
          <w:noProof/>
          <w:szCs w:val="24"/>
        </w:rPr>
        <w:t>, 5917–5921 (1999).</w:t>
      </w:r>
    </w:p>
    <w:p w14:paraId="4B1F6C17"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73.</w:t>
      </w:r>
      <w:r w:rsidRPr="00764EF3">
        <w:rPr>
          <w:noProof/>
          <w:szCs w:val="24"/>
        </w:rPr>
        <w:tab/>
        <w:t xml:space="preserve">Dalgård, C. </w:t>
      </w:r>
      <w:r w:rsidRPr="00764EF3">
        <w:rPr>
          <w:i/>
          <w:iCs/>
          <w:noProof/>
          <w:szCs w:val="24"/>
        </w:rPr>
        <w:t>et al.</w:t>
      </w:r>
      <w:r w:rsidRPr="00764EF3">
        <w:rPr>
          <w:noProof/>
          <w:szCs w:val="24"/>
        </w:rPr>
        <w:t xml:space="preserve"> Leukocyte telomere length dynamics in women and men: Menopause vs age effects. </w:t>
      </w:r>
      <w:r w:rsidRPr="00764EF3">
        <w:rPr>
          <w:i/>
          <w:iCs/>
          <w:noProof/>
          <w:szCs w:val="24"/>
        </w:rPr>
        <w:t>Int. J. Epidemiol.</w:t>
      </w:r>
      <w:r w:rsidRPr="00764EF3">
        <w:rPr>
          <w:noProof/>
          <w:szCs w:val="24"/>
        </w:rPr>
        <w:t xml:space="preserve"> </w:t>
      </w:r>
      <w:r w:rsidRPr="00764EF3">
        <w:rPr>
          <w:b/>
          <w:bCs/>
          <w:noProof/>
          <w:szCs w:val="24"/>
        </w:rPr>
        <w:t>44</w:t>
      </w:r>
      <w:r w:rsidRPr="00764EF3">
        <w:rPr>
          <w:noProof/>
          <w:szCs w:val="24"/>
        </w:rPr>
        <w:t>, 1688–1695 (2015).</w:t>
      </w:r>
    </w:p>
    <w:p w14:paraId="0F827EE8"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74.</w:t>
      </w:r>
      <w:r w:rsidRPr="00764EF3">
        <w:rPr>
          <w:noProof/>
          <w:szCs w:val="24"/>
        </w:rPr>
        <w:tab/>
        <w:t xml:space="preserve">Negrato, C. A., Mattar, R. &amp; Gomes, M. B. Adverse pregnancy outcomes in women with diabetes. </w:t>
      </w:r>
      <w:r w:rsidRPr="00764EF3">
        <w:rPr>
          <w:i/>
          <w:iCs/>
          <w:noProof/>
          <w:szCs w:val="24"/>
        </w:rPr>
        <w:t>Diabetol. Metab. Syndr.</w:t>
      </w:r>
      <w:r w:rsidRPr="00764EF3">
        <w:rPr>
          <w:noProof/>
          <w:szCs w:val="24"/>
        </w:rPr>
        <w:t xml:space="preserve"> </w:t>
      </w:r>
      <w:r w:rsidRPr="00764EF3">
        <w:rPr>
          <w:b/>
          <w:bCs/>
          <w:noProof/>
          <w:szCs w:val="24"/>
        </w:rPr>
        <w:t>4</w:t>
      </w:r>
      <w:r w:rsidRPr="00764EF3">
        <w:rPr>
          <w:noProof/>
          <w:szCs w:val="24"/>
        </w:rPr>
        <w:t>, 2–7 (2012).</w:t>
      </w:r>
    </w:p>
    <w:p w14:paraId="1C4B47E0"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75.</w:t>
      </w:r>
      <w:r w:rsidRPr="00764EF3">
        <w:rPr>
          <w:noProof/>
          <w:szCs w:val="24"/>
        </w:rPr>
        <w:tab/>
        <w:t xml:space="preserve">Seely, E. W. &amp; Ecker, J. Chronic hypertension in pregnancy. </w:t>
      </w:r>
      <w:r w:rsidRPr="00764EF3">
        <w:rPr>
          <w:i/>
          <w:iCs/>
          <w:noProof/>
          <w:szCs w:val="24"/>
        </w:rPr>
        <w:t>Circulation</w:t>
      </w:r>
      <w:r w:rsidRPr="00764EF3">
        <w:rPr>
          <w:noProof/>
          <w:szCs w:val="24"/>
        </w:rPr>
        <w:t xml:space="preserve"> </w:t>
      </w:r>
      <w:r w:rsidRPr="00764EF3">
        <w:rPr>
          <w:b/>
          <w:bCs/>
          <w:noProof/>
          <w:szCs w:val="24"/>
        </w:rPr>
        <w:t>129</w:t>
      </w:r>
      <w:r w:rsidRPr="00764EF3">
        <w:rPr>
          <w:noProof/>
          <w:szCs w:val="24"/>
        </w:rPr>
        <w:t>, 1254–1261 (2014).</w:t>
      </w:r>
    </w:p>
    <w:p w14:paraId="0F111BB1"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lastRenderedPageBreak/>
        <w:t>76.</w:t>
      </w:r>
      <w:r w:rsidRPr="00764EF3">
        <w:rPr>
          <w:noProof/>
          <w:szCs w:val="24"/>
        </w:rPr>
        <w:tab/>
        <w:t xml:space="preserve">Müezzinler, A., Zaineddin, A. K. &amp; Brenner, H. Body mass index and leukocyte telomere length in adults: A systematic review and meta-analysis. </w:t>
      </w:r>
      <w:r w:rsidRPr="00764EF3">
        <w:rPr>
          <w:i/>
          <w:iCs/>
          <w:noProof/>
          <w:szCs w:val="24"/>
        </w:rPr>
        <w:t>Obes. Rev.</w:t>
      </w:r>
      <w:r w:rsidRPr="00764EF3">
        <w:rPr>
          <w:noProof/>
          <w:szCs w:val="24"/>
        </w:rPr>
        <w:t xml:space="preserve"> </w:t>
      </w:r>
      <w:r w:rsidRPr="00764EF3">
        <w:rPr>
          <w:b/>
          <w:bCs/>
          <w:noProof/>
          <w:szCs w:val="24"/>
        </w:rPr>
        <w:t>15</w:t>
      </w:r>
      <w:r w:rsidRPr="00764EF3">
        <w:rPr>
          <w:noProof/>
          <w:szCs w:val="24"/>
        </w:rPr>
        <w:t>, 192–201 (2014).</w:t>
      </w:r>
    </w:p>
    <w:p w14:paraId="1E601B70"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77.</w:t>
      </w:r>
      <w:r w:rsidRPr="00764EF3">
        <w:rPr>
          <w:noProof/>
          <w:szCs w:val="24"/>
        </w:rPr>
        <w:tab/>
        <w:t xml:space="preserve">Ellison, P. T. </w:t>
      </w:r>
      <w:r w:rsidRPr="00764EF3">
        <w:rPr>
          <w:i/>
          <w:iCs/>
          <w:noProof/>
          <w:szCs w:val="24"/>
        </w:rPr>
        <w:t>On Fertile Ground: A Natural History of Human Reproduction</w:t>
      </w:r>
      <w:r w:rsidRPr="00764EF3">
        <w:rPr>
          <w:noProof/>
          <w:szCs w:val="24"/>
        </w:rPr>
        <w:t>. (Harvard University Press, 2003).</w:t>
      </w:r>
    </w:p>
    <w:p w14:paraId="68094BC3"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78.</w:t>
      </w:r>
      <w:r w:rsidRPr="00764EF3">
        <w:rPr>
          <w:noProof/>
          <w:szCs w:val="24"/>
        </w:rPr>
        <w:tab/>
        <w:t xml:space="preserve">Gunderson, E. P. </w:t>
      </w:r>
      <w:r w:rsidRPr="00764EF3">
        <w:rPr>
          <w:i/>
          <w:iCs/>
          <w:noProof/>
          <w:szCs w:val="24"/>
        </w:rPr>
        <w:t>et al.</w:t>
      </w:r>
      <w:r w:rsidRPr="00764EF3">
        <w:rPr>
          <w:noProof/>
          <w:szCs w:val="24"/>
        </w:rPr>
        <w:t xml:space="preserve"> Excess gains in weight and waist circumference associated with childbearing: The Coronary Artery Risk Development in Young Adults Study (CARDIA). </w:t>
      </w:r>
      <w:r w:rsidRPr="00764EF3">
        <w:rPr>
          <w:i/>
          <w:iCs/>
          <w:noProof/>
          <w:szCs w:val="24"/>
        </w:rPr>
        <w:t>Int. J. Obes.</w:t>
      </w:r>
      <w:r w:rsidRPr="00764EF3">
        <w:rPr>
          <w:noProof/>
          <w:szCs w:val="24"/>
        </w:rPr>
        <w:t xml:space="preserve"> </w:t>
      </w:r>
      <w:r w:rsidRPr="00764EF3">
        <w:rPr>
          <w:b/>
          <w:bCs/>
          <w:noProof/>
          <w:szCs w:val="24"/>
        </w:rPr>
        <w:t>28</w:t>
      </w:r>
      <w:r w:rsidRPr="00764EF3">
        <w:rPr>
          <w:noProof/>
          <w:szCs w:val="24"/>
        </w:rPr>
        <w:t>, 525–535 (2004).</w:t>
      </w:r>
    </w:p>
    <w:p w14:paraId="47AC5AE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79.</w:t>
      </w:r>
      <w:r w:rsidRPr="00764EF3">
        <w:rPr>
          <w:noProof/>
          <w:szCs w:val="24"/>
        </w:rPr>
        <w:tab/>
        <w:t xml:space="preserve">Rooney, B. L., Schauberger, C. W. &amp; Mathiason, M. A. Impact of perinatal weight change on long-term obesity and obesity-related illnesses. </w:t>
      </w:r>
      <w:r w:rsidRPr="00764EF3">
        <w:rPr>
          <w:i/>
          <w:iCs/>
          <w:noProof/>
          <w:szCs w:val="24"/>
        </w:rPr>
        <w:t>Obstet. Gynecol.</w:t>
      </w:r>
      <w:r w:rsidRPr="00764EF3">
        <w:rPr>
          <w:noProof/>
          <w:szCs w:val="24"/>
        </w:rPr>
        <w:t xml:space="preserve"> </w:t>
      </w:r>
      <w:r w:rsidRPr="00764EF3">
        <w:rPr>
          <w:b/>
          <w:bCs/>
          <w:noProof/>
          <w:szCs w:val="24"/>
        </w:rPr>
        <w:t>106</w:t>
      </w:r>
      <w:r w:rsidRPr="00764EF3">
        <w:rPr>
          <w:noProof/>
          <w:szCs w:val="24"/>
        </w:rPr>
        <w:t>, 1349–1356 (2005).</w:t>
      </w:r>
    </w:p>
    <w:p w14:paraId="3A27E1FA"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80.</w:t>
      </w:r>
      <w:r w:rsidRPr="00764EF3">
        <w:rPr>
          <w:noProof/>
          <w:szCs w:val="24"/>
        </w:rPr>
        <w:tab/>
        <w:t xml:space="preserve">Stuebe, A. M. &amp; Rich-Edwards, J. W. The reset hypothesis: Lactation and maternal metabolism. </w:t>
      </w:r>
      <w:r w:rsidRPr="00764EF3">
        <w:rPr>
          <w:i/>
          <w:iCs/>
          <w:noProof/>
          <w:szCs w:val="24"/>
        </w:rPr>
        <w:t>Am. J. Perinatol.</w:t>
      </w:r>
      <w:r w:rsidRPr="00764EF3">
        <w:rPr>
          <w:noProof/>
          <w:szCs w:val="24"/>
        </w:rPr>
        <w:t xml:space="preserve"> </w:t>
      </w:r>
      <w:r w:rsidRPr="00764EF3">
        <w:rPr>
          <w:b/>
          <w:bCs/>
          <w:noProof/>
          <w:szCs w:val="24"/>
        </w:rPr>
        <w:t>26</w:t>
      </w:r>
      <w:r w:rsidRPr="00764EF3">
        <w:rPr>
          <w:noProof/>
          <w:szCs w:val="24"/>
        </w:rPr>
        <w:t>, 81–88 (2008).</w:t>
      </w:r>
    </w:p>
    <w:p w14:paraId="2715050B"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81.</w:t>
      </w:r>
      <w:r w:rsidRPr="00764EF3">
        <w:rPr>
          <w:noProof/>
          <w:szCs w:val="24"/>
        </w:rPr>
        <w:tab/>
        <w:t xml:space="preserve">Lee, D. C., Im, J. A., Kim, J. H., Lee, H. R. &amp; Shim, J. Y. Effect of long-term hormone therapy on telomere length in postmenopausal women. </w:t>
      </w:r>
      <w:r w:rsidRPr="00764EF3">
        <w:rPr>
          <w:i/>
          <w:iCs/>
          <w:noProof/>
          <w:szCs w:val="24"/>
        </w:rPr>
        <w:t>Yonsei Med. J.</w:t>
      </w:r>
      <w:r w:rsidRPr="00764EF3">
        <w:rPr>
          <w:noProof/>
          <w:szCs w:val="24"/>
        </w:rPr>
        <w:t xml:space="preserve"> </w:t>
      </w:r>
      <w:r w:rsidRPr="00764EF3">
        <w:rPr>
          <w:b/>
          <w:bCs/>
          <w:noProof/>
          <w:szCs w:val="24"/>
        </w:rPr>
        <w:t>46</w:t>
      </w:r>
      <w:r w:rsidRPr="00764EF3">
        <w:rPr>
          <w:noProof/>
          <w:szCs w:val="24"/>
        </w:rPr>
        <w:t>, 471–479 (2005).</w:t>
      </w:r>
    </w:p>
    <w:p w14:paraId="6C6F4CF0"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82.</w:t>
      </w:r>
      <w:r w:rsidRPr="00764EF3">
        <w:rPr>
          <w:noProof/>
          <w:szCs w:val="24"/>
        </w:rPr>
        <w:tab/>
        <w:t xml:space="preserve">Henrich, J., Heine, S. J. &amp; Norenzayan, A. The weirdest people in the world? </w:t>
      </w:r>
      <w:r w:rsidRPr="00764EF3">
        <w:rPr>
          <w:i/>
          <w:iCs/>
          <w:noProof/>
          <w:szCs w:val="24"/>
        </w:rPr>
        <w:t>Behav. Brain Sci.</w:t>
      </w:r>
      <w:r w:rsidRPr="00764EF3">
        <w:rPr>
          <w:noProof/>
          <w:szCs w:val="24"/>
        </w:rPr>
        <w:t xml:space="preserve"> </w:t>
      </w:r>
      <w:r w:rsidRPr="00764EF3">
        <w:rPr>
          <w:b/>
          <w:bCs/>
          <w:noProof/>
          <w:szCs w:val="24"/>
        </w:rPr>
        <w:t>33</w:t>
      </w:r>
      <w:r w:rsidRPr="00764EF3">
        <w:rPr>
          <w:noProof/>
          <w:szCs w:val="24"/>
        </w:rPr>
        <w:t>, 61–135 (2010).</w:t>
      </w:r>
    </w:p>
    <w:p w14:paraId="04E77A25"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83.</w:t>
      </w:r>
      <w:r w:rsidRPr="00764EF3">
        <w:rPr>
          <w:noProof/>
          <w:szCs w:val="24"/>
        </w:rPr>
        <w:tab/>
        <w:t xml:space="preserve">Gurven, M. D. &amp; Lieberman, D. E. WEIRD bodies: mismatch, medicine and missing diversity. </w:t>
      </w:r>
      <w:r w:rsidRPr="00764EF3">
        <w:rPr>
          <w:i/>
          <w:iCs/>
          <w:noProof/>
          <w:szCs w:val="24"/>
        </w:rPr>
        <w:t>Evol. Hum. Behav.</w:t>
      </w:r>
      <w:r w:rsidRPr="00764EF3">
        <w:rPr>
          <w:noProof/>
          <w:szCs w:val="24"/>
        </w:rPr>
        <w:t xml:space="preserve"> 0–1 (2020). doi:10.1016/j.evolhumbehav.2020.04.001</w:t>
      </w:r>
    </w:p>
    <w:p w14:paraId="3F4580BC" w14:textId="77777777" w:rsidR="00764EF3" w:rsidRPr="00764EF3" w:rsidRDefault="00764EF3" w:rsidP="00764EF3">
      <w:pPr>
        <w:widowControl w:val="0"/>
        <w:autoSpaceDE w:val="0"/>
        <w:autoSpaceDN w:val="0"/>
        <w:adjustRightInd w:val="0"/>
        <w:spacing w:line="480" w:lineRule="auto"/>
        <w:ind w:left="640" w:hanging="640"/>
        <w:rPr>
          <w:noProof/>
          <w:szCs w:val="24"/>
        </w:rPr>
      </w:pPr>
      <w:r w:rsidRPr="00764EF3">
        <w:rPr>
          <w:noProof/>
          <w:szCs w:val="24"/>
        </w:rPr>
        <w:t>84.</w:t>
      </w:r>
      <w:r w:rsidRPr="00764EF3">
        <w:rPr>
          <w:noProof/>
          <w:szCs w:val="24"/>
        </w:rPr>
        <w:tab/>
        <w:t xml:space="preserve">Sear, R., Lawson, D. W., Kaplan, H. &amp; Shenk, M. K. Understanding variation in human fertility: What can we learn from evolutionary demography? </w:t>
      </w:r>
      <w:r w:rsidRPr="00764EF3">
        <w:rPr>
          <w:i/>
          <w:iCs/>
          <w:noProof/>
          <w:szCs w:val="24"/>
        </w:rPr>
        <w:t>Philos. Trans. R. Soc. B Biol. Sci.</w:t>
      </w:r>
      <w:r w:rsidRPr="00764EF3">
        <w:rPr>
          <w:noProof/>
          <w:szCs w:val="24"/>
        </w:rPr>
        <w:t xml:space="preserve"> </w:t>
      </w:r>
      <w:r w:rsidRPr="00764EF3">
        <w:rPr>
          <w:b/>
          <w:bCs/>
          <w:noProof/>
          <w:szCs w:val="24"/>
        </w:rPr>
        <w:t>371</w:t>
      </w:r>
      <w:r w:rsidRPr="00764EF3">
        <w:rPr>
          <w:noProof/>
          <w:szCs w:val="24"/>
        </w:rPr>
        <w:t>, (2016).</w:t>
      </w:r>
    </w:p>
    <w:p w14:paraId="686874FA" w14:textId="77777777" w:rsidR="00764EF3" w:rsidRPr="00764EF3" w:rsidRDefault="00764EF3" w:rsidP="00764EF3">
      <w:pPr>
        <w:widowControl w:val="0"/>
        <w:autoSpaceDE w:val="0"/>
        <w:autoSpaceDN w:val="0"/>
        <w:adjustRightInd w:val="0"/>
        <w:spacing w:line="480" w:lineRule="auto"/>
        <w:ind w:left="640" w:hanging="640"/>
        <w:rPr>
          <w:noProof/>
        </w:rPr>
      </w:pPr>
      <w:r w:rsidRPr="00764EF3">
        <w:rPr>
          <w:noProof/>
          <w:szCs w:val="24"/>
        </w:rPr>
        <w:t>85.</w:t>
      </w:r>
      <w:r w:rsidRPr="00764EF3">
        <w:rPr>
          <w:noProof/>
          <w:szCs w:val="24"/>
        </w:rPr>
        <w:tab/>
        <w:t xml:space="preserve">Gurven, M. </w:t>
      </w:r>
      <w:r w:rsidRPr="00764EF3">
        <w:rPr>
          <w:i/>
          <w:iCs/>
          <w:noProof/>
          <w:szCs w:val="24"/>
        </w:rPr>
        <w:t>et al.</w:t>
      </w:r>
      <w:r w:rsidRPr="00764EF3">
        <w:rPr>
          <w:noProof/>
          <w:szCs w:val="24"/>
        </w:rPr>
        <w:t xml:space="preserve"> Health costs of reproduction are minimal despite high fertility, mortality and subsistence lifestyle. </w:t>
      </w:r>
      <w:r w:rsidRPr="00764EF3">
        <w:rPr>
          <w:i/>
          <w:iCs/>
          <w:noProof/>
          <w:szCs w:val="24"/>
        </w:rPr>
        <w:t>Sci. Rep.</w:t>
      </w:r>
      <w:r w:rsidRPr="00764EF3">
        <w:rPr>
          <w:noProof/>
          <w:szCs w:val="24"/>
        </w:rPr>
        <w:t xml:space="preserve"> </w:t>
      </w:r>
      <w:r w:rsidRPr="00764EF3">
        <w:rPr>
          <w:b/>
          <w:bCs/>
          <w:noProof/>
          <w:szCs w:val="24"/>
        </w:rPr>
        <w:t>6</w:t>
      </w:r>
      <w:r w:rsidRPr="00764EF3">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lastRenderedPageBreak/>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9"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default" r:id="rId10"/>
          <w:footerReference w:type="default" r:id="rId11"/>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xml:space="preserve">) and postmenopausal women (grey </w:t>
      </w:r>
      <w:r>
        <w:rPr>
          <w:color w:val="000000"/>
        </w:rPr>
        <w:lastRenderedPageBreak/>
        <w:t>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4252621" w:rsidR="00693C80" w:rsidRDefault="00693C80" w:rsidP="00693C80">
      <w:pPr>
        <w:shd w:val="clear" w:color="auto" w:fill="FFFFFF"/>
        <w:spacing w:line="480" w:lineRule="auto"/>
        <w:jc w:val="center"/>
      </w:pPr>
    </w:p>
    <w:p w14:paraId="46042C3D" w14:textId="55E33CC0" w:rsidR="00CB55A3" w:rsidRDefault="00962D66" w:rsidP="00962D66">
      <w:pPr>
        <w:jc w:val="center"/>
        <w:rPr>
          <w:b/>
          <w:bCs/>
        </w:rPr>
      </w:pPr>
      <w:r>
        <w:rPr>
          <w:b/>
          <w:bCs/>
          <w:noProof/>
        </w:rPr>
        <w:drawing>
          <wp:inline distT="0" distB="0" distL="0" distR="0" wp14:anchorId="099E75A2" wp14:editId="1F138033">
            <wp:extent cx="4362196" cy="42392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9052" cy="4245922"/>
                    </a:xfrm>
                    <a:prstGeom prst="rect">
                      <a:avLst/>
                    </a:prstGeom>
                    <a:noFill/>
                  </pic:spPr>
                </pic:pic>
              </a:graphicData>
            </a:graphic>
          </wp:inline>
        </w:drawing>
      </w:r>
      <w:r w:rsidR="00CB55A3">
        <w:rPr>
          <w:b/>
          <w:bCs/>
        </w:rPr>
        <w:br w:type="page"/>
      </w:r>
    </w:p>
    <w:p w14:paraId="2570D72F" w14:textId="7CAAF84A" w:rsidR="000A073E" w:rsidRDefault="00693C80" w:rsidP="00693C80">
      <w:pPr>
        <w:rPr>
          <w:b/>
          <w:bCs/>
        </w:rPr>
      </w:pPr>
      <w:r w:rsidRPr="00693C80">
        <w:rPr>
          <w:b/>
          <w:bCs/>
        </w:rPr>
        <w:lastRenderedPageBreak/>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5F993E5A" w14:textId="77777777" w:rsidR="00CB55A3" w:rsidRDefault="00CB55A3">
      <w:pPr>
        <w:rPr>
          <w:b/>
          <w:bCs/>
        </w:rPr>
      </w:pPr>
      <w:r>
        <w:rPr>
          <w:b/>
          <w:bCs/>
        </w:rPr>
        <w:br w:type="page"/>
      </w:r>
    </w:p>
    <w:p w14:paraId="0DC1DAC0" w14:textId="2298EBC2" w:rsidR="00693C80" w:rsidRPr="00693C80" w:rsidRDefault="00693C80" w:rsidP="00693C80">
      <w:pPr>
        <w:shd w:val="clear" w:color="auto" w:fill="FFFFFF"/>
        <w:spacing w:line="480" w:lineRule="auto"/>
      </w:pPr>
      <w:r w:rsidRPr="00693C80">
        <w:rPr>
          <w:b/>
          <w:bCs/>
        </w:rPr>
        <w:lastRenderedPageBreak/>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3529ED8B" w14:textId="77777777" w:rsidR="00CB55A3" w:rsidRDefault="00CB55A3">
      <w:pPr>
        <w:rPr>
          <w:b/>
          <w:bCs/>
        </w:rPr>
      </w:pPr>
      <w:r>
        <w:rPr>
          <w:b/>
          <w:bCs/>
        </w:rPr>
        <w:br w:type="page"/>
      </w:r>
    </w:p>
    <w:p w14:paraId="241BB7A3" w14:textId="1C16E3B2" w:rsidR="00693C80" w:rsidRDefault="00693C80" w:rsidP="00693C80">
      <w:pPr>
        <w:shd w:val="clear" w:color="auto" w:fill="FFFFFF"/>
        <w:spacing w:line="480" w:lineRule="auto"/>
        <w:rPr>
          <w:b/>
          <w:bCs/>
        </w:rPr>
      </w:pPr>
      <w:r>
        <w:rPr>
          <w:b/>
          <w:bCs/>
        </w:rPr>
        <w:lastRenderedPageBreak/>
        <w:t xml:space="preserve">Figure 4. </w:t>
      </w:r>
    </w:p>
    <w:p w14:paraId="01572C55" w14:textId="2D379AAF" w:rsidR="00693C80" w:rsidRDefault="00CB55A3" w:rsidP="00962D66">
      <w:pPr>
        <w:shd w:val="clear" w:color="auto" w:fill="FFFFFF"/>
        <w:spacing w:line="480" w:lineRule="auto"/>
        <w:jc w:val="center"/>
        <w:rPr>
          <w:b/>
          <w:bCs/>
        </w:rPr>
      </w:pPr>
      <w:r>
        <w:rPr>
          <w:b/>
          <w:bCs/>
          <w:noProof/>
        </w:rPr>
        <w:drawing>
          <wp:inline distT="0" distB="0" distL="0" distR="0" wp14:anchorId="1D6794F4" wp14:editId="2D880B5B">
            <wp:extent cx="5943600" cy="49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41870"/>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commentRangeStart w:id="0"/>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Means, standard errors (SE), and percentages represent nationally-representative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commentRangeEnd w:id="0"/>
      <w:r w:rsidR="000C69A4">
        <w:rPr>
          <w:rStyle w:val="CommentReference"/>
        </w:rPr>
        <w:commentReference w:id="0"/>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2FE681D3" w:rsidR="007520D9" w:rsidRPr="00021165" w:rsidRDefault="007520D9" w:rsidP="00B95B54">
            <w:pPr>
              <w:jc w:val="center"/>
              <w:rPr>
                <w:rFonts w:ascii="Arial" w:hAnsi="Arial" w:cs="Arial"/>
                <w:sz w:val="16"/>
                <w:szCs w:val="16"/>
              </w:rPr>
            </w:pPr>
            <w:r w:rsidRPr="00021165">
              <w:rPr>
                <w:rFonts w:ascii="Arial" w:hAnsi="Arial" w:cs="Arial"/>
                <w:sz w:val="16"/>
                <w:szCs w:val="16"/>
              </w:rPr>
              <w:t>Premenopausal (</w:t>
            </w:r>
            <w:r w:rsidRPr="00380182">
              <w:rPr>
                <w:rFonts w:ascii="Arial" w:hAnsi="Arial" w:cs="Arial"/>
                <w:i/>
                <w:iCs/>
                <w:sz w:val="16"/>
                <w:szCs w:val="16"/>
              </w:rPr>
              <w:t>n</w:t>
            </w:r>
            <w:r w:rsidR="00ED4070" w:rsidRPr="00380182">
              <w:rPr>
                <w:rFonts w:ascii="Arial" w:hAnsi="Arial" w:cs="Arial"/>
                <w:i/>
                <w:iCs/>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19EB4FFF" w:rsidR="007520D9" w:rsidRPr="00021165" w:rsidRDefault="007520D9" w:rsidP="00B95B54">
            <w:pPr>
              <w:jc w:val="center"/>
              <w:rPr>
                <w:rFonts w:ascii="Arial" w:hAnsi="Arial" w:cs="Arial"/>
                <w:sz w:val="16"/>
                <w:szCs w:val="16"/>
              </w:rPr>
            </w:pPr>
            <w:r w:rsidRPr="00021165">
              <w:rPr>
                <w:rFonts w:ascii="Arial" w:hAnsi="Arial" w:cs="Arial"/>
                <w:sz w:val="16"/>
                <w:szCs w:val="16"/>
              </w:rPr>
              <w:t>Postmenopausal (</w:t>
            </w:r>
            <w:r w:rsidRPr="00380182">
              <w:rPr>
                <w:rFonts w:ascii="Arial" w:hAnsi="Arial" w:cs="Arial"/>
                <w:i/>
                <w:iCs/>
                <w:sz w:val="16"/>
                <w:szCs w:val="16"/>
              </w:rPr>
              <w:t>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34.34 (0.19, 20-61)</w:t>
            </w:r>
          </w:p>
        </w:tc>
        <w:tc>
          <w:tcPr>
            <w:tcW w:w="2610" w:type="dxa"/>
            <w:tcBorders>
              <w:top w:val="single" w:sz="4" w:space="0" w:color="auto"/>
              <w:left w:val="single" w:sz="4" w:space="0" w:color="auto"/>
            </w:tcBorders>
          </w:tcPr>
          <w:p w14:paraId="2982C9E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65.66 (0.22,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28.97 (0.16, 15.6-71.3)</w:t>
            </w:r>
          </w:p>
        </w:tc>
        <w:tc>
          <w:tcPr>
            <w:tcW w:w="2610" w:type="dxa"/>
            <w:tcBorders>
              <w:left w:val="single" w:sz="4" w:space="0" w:color="auto"/>
            </w:tcBorders>
          </w:tcPr>
          <w:p w14:paraId="1540AD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29.33 (0.14, 14.7-57.6)</w:t>
            </w:r>
          </w:p>
        </w:tc>
        <w:tc>
          <w:tcPr>
            <w:tcW w:w="1260" w:type="dxa"/>
          </w:tcPr>
          <w:p w14:paraId="6D5A45AE"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0.086</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2.50 (0.03, 0-5)</w:t>
            </w:r>
          </w:p>
        </w:tc>
        <w:tc>
          <w:tcPr>
            <w:tcW w:w="2610" w:type="dxa"/>
            <w:tcBorders>
              <w:left w:val="single" w:sz="4" w:space="0" w:color="auto"/>
            </w:tcBorders>
          </w:tcPr>
          <w:p w14:paraId="64A5B203"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2.66 (0.03,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5FAB5257"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367 (63.1%)</w:t>
            </w:r>
          </w:p>
        </w:tc>
        <w:tc>
          <w:tcPr>
            <w:tcW w:w="2610" w:type="dxa"/>
            <w:tcBorders>
              <w:left w:val="single" w:sz="4" w:space="0" w:color="auto"/>
            </w:tcBorders>
          </w:tcPr>
          <w:p w14:paraId="04CEADC2" w14:textId="30D46820"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278 (56.7%</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B95B54">
        <w:trPr>
          <w:trHeight w:val="297"/>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290 (13.4%)</w:t>
            </w:r>
          </w:p>
        </w:tc>
        <w:tc>
          <w:tcPr>
            <w:tcW w:w="2610" w:type="dxa"/>
            <w:tcBorders>
              <w:left w:val="single" w:sz="4" w:space="0" w:color="auto"/>
            </w:tcBorders>
          </w:tcPr>
          <w:p w14:paraId="72D6E76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659 (29.3%)</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509 (23.5%)</w:t>
            </w:r>
          </w:p>
        </w:tc>
        <w:tc>
          <w:tcPr>
            <w:tcW w:w="2610" w:type="dxa"/>
            <w:tcBorders>
              <w:left w:val="single" w:sz="4" w:space="0" w:color="auto"/>
            </w:tcBorders>
          </w:tcPr>
          <w:p w14:paraId="016F0AE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315 (14.0%)</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682 (30.3%)</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465 (21.5%)</w:t>
            </w:r>
          </w:p>
        </w:tc>
        <w:tc>
          <w:tcPr>
            <w:tcW w:w="2610" w:type="dxa"/>
            <w:tcBorders>
              <w:left w:val="single" w:sz="4" w:space="0" w:color="auto"/>
            </w:tcBorders>
          </w:tcPr>
          <w:p w14:paraId="4BA4B0C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617 (27.4)</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744 (34.3%)</w:t>
            </w:r>
          </w:p>
        </w:tc>
        <w:tc>
          <w:tcPr>
            <w:tcW w:w="2610" w:type="dxa"/>
            <w:tcBorders>
              <w:left w:val="single" w:sz="4" w:space="0" w:color="auto"/>
            </w:tcBorders>
          </w:tcPr>
          <w:p w14:paraId="5ED71D9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593 (26.3%)</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468 (21.6%)</w:t>
            </w:r>
          </w:p>
        </w:tc>
        <w:tc>
          <w:tcPr>
            <w:tcW w:w="2610" w:type="dxa"/>
            <w:tcBorders>
              <w:left w:val="single" w:sz="4" w:space="0" w:color="auto"/>
            </w:tcBorders>
          </w:tcPr>
          <w:p w14:paraId="2FCCEA3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360 (16.0%)</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4A82AEB8"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 (2.6%)</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1.77 (0.03, 0-7)</w:t>
            </w:r>
          </w:p>
        </w:tc>
        <w:tc>
          <w:tcPr>
            <w:tcW w:w="2610" w:type="dxa"/>
            <w:tcBorders>
              <w:left w:val="single" w:sz="4" w:space="0" w:color="auto"/>
            </w:tcBorders>
          </w:tcPr>
          <w:p w14:paraId="0572FB5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2.81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534 (24.7%)</w:t>
            </w:r>
          </w:p>
        </w:tc>
        <w:tc>
          <w:tcPr>
            <w:tcW w:w="2610" w:type="dxa"/>
            <w:tcBorders>
              <w:left w:val="single" w:sz="4" w:space="0" w:color="auto"/>
            </w:tcBorders>
          </w:tcPr>
          <w:p w14:paraId="687E325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237 (10.5%)</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12759DE4" w:rsidR="007520D9" w:rsidRPr="00ED4070" w:rsidRDefault="007520D9" w:rsidP="00B95B54">
            <w:pPr>
              <w:jc w:val="center"/>
              <w:rPr>
                <w:rFonts w:ascii="Arial" w:hAnsi="Arial" w:cs="Arial"/>
                <w:sz w:val="16"/>
                <w:szCs w:val="16"/>
              </w:rPr>
            </w:pPr>
            <w:r w:rsidRPr="00ED4070">
              <w:rPr>
                <w:rFonts w:ascii="Arial" w:hAnsi="Arial" w:cs="Arial"/>
                <w:sz w:val="16"/>
                <w:szCs w:val="16"/>
              </w:rPr>
              <w:t>1</w:t>
            </w:r>
            <w:r w:rsidR="00380182">
              <w:rPr>
                <w:rFonts w:ascii="Arial" w:hAnsi="Arial" w:cs="Arial"/>
                <w:sz w:val="16"/>
                <w:szCs w:val="16"/>
              </w:rPr>
              <w:t>,</w:t>
            </w:r>
            <w:r w:rsidRPr="00ED4070">
              <w:rPr>
                <w:rFonts w:ascii="Arial" w:hAnsi="Arial" w:cs="Arial"/>
                <w:sz w:val="16"/>
                <w:szCs w:val="16"/>
              </w:rPr>
              <w:t>632 (75.3%)</w:t>
            </w:r>
          </w:p>
        </w:tc>
        <w:tc>
          <w:tcPr>
            <w:tcW w:w="2610" w:type="dxa"/>
            <w:tcBorders>
              <w:left w:val="single" w:sz="4" w:space="0" w:color="auto"/>
            </w:tcBorders>
          </w:tcPr>
          <w:p w14:paraId="2252FD47" w14:textId="4536ED86" w:rsidR="007520D9" w:rsidRPr="00ED4070" w:rsidRDefault="007520D9" w:rsidP="00B95B54">
            <w:pPr>
              <w:jc w:val="center"/>
              <w:rPr>
                <w:rFonts w:ascii="Arial" w:hAnsi="Arial" w:cs="Arial"/>
                <w:sz w:val="16"/>
                <w:szCs w:val="16"/>
              </w:rPr>
            </w:pPr>
            <w:r w:rsidRPr="00ED4070">
              <w:rPr>
                <w:rFonts w:ascii="Arial" w:hAnsi="Arial" w:cs="Arial"/>
                <w:sz w:val="16"/>
                <w:szCs w:val="16"/>
              </w:rPr>
              <w:t>2</w:t>
            </w:r>
            <w:r w:rsidR="00380182">
              <w:rPr>
                <w:rFonts w:ascii="Arial" w:hAnsi="Arial" w:cs="Arial"/>
                <w:sz w:val="16"/>
                <w:szCs w:val="16"/>
              </w:rPr>
              <w:t>,</w:t>
            </w:r>
            <w:r w:rsidRPr="00ED4070">
              <w:rPr>
                <w:rFonts w:ascii="Arial" w:hAnsi="Arial" w:cs="Arial"/>
                <w:sz w:val="16"/>
                <w:szCs w:val="16"/>
              </w:rPr>
              <w:t>015 (89.5%)</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30.32 (0.23, 4.7-81.3)</w:t>
            </w:r>
          </w:p>
        </w:tc>
        <w:tc>
          <w:tcPr>
            <w:tcW w:w="2610" w:type="dxa"/>
            <w:tcBorders>
              <w:left w:val="single" w:sz="4" w:space="0" w:color="auto"/>
            </w:tcBorders>
          </w:tcPr>
          <w:p w14:paraId="229B354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61.92 (0.27,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CF57D18" w14:textId="77777777" w:rsidR="00ED4070" w:rsidRPr="00ED4070" w:rsidRDefault="00ED4070" w:rsidP="00B95B54">
            <w:pPr>
              <w:jc w:val="center"/>
              <w:rPr>
                <w:rFonts w:ascii="Arial" w:hAnsi="Arial" w:cs="Arial"/>
                <w:sz w:val="16"/>
                <w:szCs w:val="16"/>
              </w:rPr>
            </w:pP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3.10 (0.01, 1.5-4.8)</w:t>
            </w:r>
          </w:p>
        </w:tc>
        <w:tc>
          <w:tcPr>
            <w:tcW w:w="2610" w:type="dxa"/>
            <w:tcBorders>
              <w:left w:val="single" w:sz="4" w:space="0" w:color="auto"/>
            </w:tcBorders>
          </w:tcPr>
          <w:p w14:paraId="7E731840"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3.29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5EFF35F6" w14:textId="77777777" w:rsidR="00ED4070" w:rsidRPr="00ED4070" w:rsidRDefault="00ED4070" w:rsidP="00B95B54">
            <w:pPr>
              <w:jc w:val="center"/>
              <w:rPr>
                <w:rFonts w:ascii="Arial" w:hAnsi="Arial" w:cs="Arial"/>
                <w:sz w:val="16"/>
                <w:szCs w:val="16"/>
              </w:rPr>
            </w:pP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31.49 (0.26, 0.6-111.6)</w:t>
            </w:r>
          </w:p>
        </w:tc>
        <w:tc>
          <w:tcPr>
            <w:tcW w:w="2610" w:type="dxa"/>
            <w:tcBorders>
              <w:left w:val="single" w:sz="4" w:space="0" w:color="auto"/>
            </w:tcBorders>
          </w:tcPr>
          <w:p w14:paraId="1CD48094"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60.59 (0.35,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473442B" w14:textId="77777777" w:rsidR="00ED4070" w:rsidRPr="00ED4070" w:rsidRDefault="00ED4070" w:rsidP="00B95B54">
            <w:pPr>
              <w:jc w:val="center"/>
              <w:rPr>
                <w:rFonts w:ascii="Arial" w:hAnsi="Arial" w:cs="Arial"/>
                <w:sz w:val="16"/>
                <w:szCs w:val="16"/>
              </w:rPr>
            </w:pP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0.23 (0.00, 0.0-0.8)</w:t>
            </w:r>
          </w:p>
        </w:tc>
        <w:tc>
          <w:tcPr>
            <w:tcW w:w="2610" w:type="dxa"/>
            <w:tcBorders>
              <w:left w:val="single" w:sz="4" w:space="0" w:color="auto"/>
            </w:tcBorders>
          </w:tcPr>
          <w:p w14:paraId="313E441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0.32 (0.00,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77777777" w:rsidR="00ED4070" w:rsidRPr="00ED4070" w:rsidRDefault="00ED4070" w:rsidP="00B95B54">
            <w:pPr>
              <w:jc w:val="center"/>
              <w:rPr>
                <w:rFonts w:ascii="Arial" w:hAnsi="Arial" w:cs="Arial"/>
                <w:sz w:val="16"/>
                <w:szCs w:val="16"/>
              </w:rPr>
            </w:pPr>
          </w:p>
        </w:tc>
        <w:tc>
          <w:tcPr>
            <w:tcW w:w="2610" w:type="dxa"/>
            <w:tcBorders>
              <w:left w:val="single" w:sz="4" w:space="0" w:color="auto"/>
              <w:bottom w:val="single" w:sz="4" w:space="0" w:color="auto"/>
            </w:tcBorders>
          </w:tcPr>
          <w:p w14:paraId="2DE2814C" w14:textId="77777777" w:rsidR="00ED4070" w:rsidRPr="00ED4070" w:rsidRDefault="00ED4070" w:rsidP="00B95B54">
            <w:pPr>
              <w:jc w:val="center"/>
              <w:rPr>
                <w:rFonts w:ascii="Arial" w:hAnsi="Arial" w:cs="Arial"/>
                <w:sz w:val="16"/>
                <w:szCs w:val="16"/>
              </w:rPr>
            </w:pP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2B8CB602"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00C079F9">
        <w:rPr>
          <w:highlight w:val="yellow"/>
        </w:rPr>
        <w:t>durable</w:t>
      </w:r>
      <w:r w:rsidRPr="00E21852">
        <w:rPr>
          <w:highlight w:val="yellow"/>
        </w:rPr>
        <w:t xml:space="preserve"> and </w:t>
      </w:r>
      <w:r w:rsidR="00C079F9">
        <w:t>transient</w:t>
      </w:r>
      <w:r>
        <w:t xml:space="preserve"> </w:t>
      </w:r>
      <w:r w:rsidRPr="00405935">
        <w:t>effects of number of live births on biological age</w:t>
      </w:r>
      <w:r>
        <w:t xml:space="preserve"> </w:t>
      </w:r>
      <w:r w:rsidR="00021165">
        <w:t xml:space="preserve">acceleration </w:t>
      </w:r>
      <w:r>
        <w:t>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15EF9EDA" w14:textId="24ADD35C" w:rsidR="00764EF3" w:rsidRDefault="00764EF3" w:rsidP="004E19F4">
      <w:pPr>
        <w:shd w:val="clear" w:color="auto" w:fill="FFFFFF"/>
        <w:spacing w:line="240" w:lineRule="auto"/>
        <w:rPr>
          <w:sz w:val="16"/>
          <w:szCs w:val="16"/>
          <w:shd w:val="clear" w:color="auto" w:fill="FFFFFF"/>
        </w:rPr>
      </w:pPr>
    </w:p>
    <w:p w14:paraId="72B4067D" w14:textId="77777777" w:rsidR="00764EF3" w:rsidRPr="00405935" w:rsidRDefault="00764EF3" w:rsidP="00764EF3">
      <w:pPr>
        <w:shd w:val="clear" w:color="auto" w:fill="FFFFFF"/>
        <w:spacing w:line="240" w:lineRule="auto"/>
      </w:pP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xml:space="preserve"> = (0.05/4) = 0.0125.</w:t>
      </w:r>
    </w:p>
    <w:p w14:paraId="3B9232CF" w14:textId="77777777" w:rsidR="00764EF3" w:rsidRDefault="00764EF3" w:rsidP="004E19F4">
      <w:pPr>
        <w:shd w:val="clear" w:color="auto" w:fill="FFFFFF"/>
        <w:spacing w:line="240" w:lineRule="auto"/>
        <w:rPr>
          <w:sz w:val="16"/>
          <w:szCs w:val="16"/>
          <w:shd w:val="clear" w:color="auto" w:fill="FFFFFF"/>
        </w:rPr>
      </w:pPr>
    </w:p>
    <w:p w14:paraId="32ED4508" w14:textId="77777777" w:rsidR="00D534A0" w:rsidRDefault="00D534A0" w:rsidP="004E19F4">
      <w:pPr>
        <w:shd w:val="clear" w:color="auto" w:fill="FFFFFF"/>
        <w:spacing w:line="240" w:lineRule="auto"/>
        <w:rPr>
          <w:b/>
          <w:bCs/>
        </w:rPr>
      </w:pPr>
    </w:p>
    <w:p w14:paraId="1AF7F772" w14:textId="77777777" w:rsidR="00764EF3" w:rsidRDefault="00764EF3">
      <w:pPr>
        <w:rPr>
          <w:b/>
          <w:bCs/>
        </w:rPr>
      </w:pPr>
      <w:r>
        <w:rPr>
          <w:b/>
          <w:bCs/>
        </w:rPr>
        <w:br w:type="page"/>
      </w:r>
    </w:p>
    <w:p w14:paraId="140E901C" w14:textId="3EE43CBB" w:rsidR="004E19F4" w:rsidRPr="00021165" w:rsidRDefault="004E19F4" w:rsidP="004E19F4">
      <w:pPr>
        <w:shd w:val="clear" w:color="auto" w:fill="FFFFFF"/>
        <w:spacing w:line="240" w:lineRule="auto"/>
      </w:pPr>
      <w:r w:rsidRPr="00405935">
        <w:rPr>
          <w:b/>
          <w:bCs/>
        </w:rPr>
        <w:lastRenderedPageBreak/>
        <w:t xml:space="preserve">Table </w:t>
      </w:r>
      <w:r w:rsidR="000C69A4">
        <w:rPr>
          <w:b/>
          <w:bCs/>
        </w:rPr>
        <w:t>3</w:t>
      </w:r>
      <w:r w:rsidRPr="00405935">
        <w:rPr>
          <w:b/>
          <w:bCs/>
        </w:rPr>
        <w:t xml:space="preserve">. </w:t>
      </w:r>
      <w:r w:rsidRPr="00405935">
        <w:t xml:space="preserve">Multiple linear regression examining the </w:t>
      </w:r>
      <w:r w:rsidR="00C079F9">
        <w:rPr>
          <w:highlight w:val="yellow"/>
        </w:rPr>
        <w:t xml:space="preserve">durable </w:t>
      </w:r>
      <w:r w:rsidRPr="00E21852">
        <w:rPr>
          <w:highlight w:val="yellow"/>
        </w:rPr>
        <w:t>and</w:t>
      </w:r>
      <w:r w:rsidR="00C079F9">
        <w:t xml:space="preserve"> transient</w:t>
      </w:r>
      <w:r>
        <w:t xml:space="preserve"> </w:t>
      </w:r>
      <w:r w:rsidRPr="00405935">
        <w:t>effects of number of live births on biological age</w:t>
      </w:r>
      <w:r w:rsidR="00021165">
        <w:t xml:space="preserve"> acceleration</w:t>
      </w:r>
      <w:r>
        <w:t xml:space="preserve"> for postmenopausal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Pr="00021165">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10-15T14:13:00Z" w:initials="TS">
    <w:p w14:paraId="4A8D716E" w14:textId="17F223F6" w:rsidR="00870A9B" w:rsidRDefault="00870A9B">
      <w:pPr>
        <w:pStyle w:val="CommentText"/>
      </w:pPr>
      <w:r>
        <w:rPr>
          <w:rStyle w:val="CommentReference"/>
        </w:rPr>
        <w:annotationRef/>
      </w:r>
      <w:r>
        <w:t>These values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8D7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D790" w16cex:dateUtc="2020-10-15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D716E" w16cid:durableId="2332D7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BC945" w14:textId="77777777" w:rsidR="00384564" w:rsidRDefault="00384564">
      <w:pPr>
        <w:spacing w:line="240" w:lineRule="auto"/>
      </w:pPr>
      <w:r>
        <w:separator/>
      </w:r>
    </w:p>
  </w:endnote>
  <w:endnote w:type="continuationSeparator" w:id="0">
    <w:p w14:paraId="3871EDA9" w14:textId="77777777" w:rsidR="00384564" w:rsidRDefault="00384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870A9B" w:rsidRDefault="00870A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870A9B" w:rsidRDefault="00870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41D34" w14:textId="77777777" w:rsidR="00384564" w:rsidRDefault="00384564">
      <w:pPr>
        <w:spacing w:line="240" w:lineRule="auto"/>
      </w:pPr>
      <w:r>
        <w:separator/>
      </w:r>
    </w:p>
  </w:footnote>
  <w:footnote w:type="continuationSeparator" w:id="0">
    <w:p w14:paraId="09A28FF6" w14:textId="77777777" w:rsidR="00384564" w:rsidRDefault="00384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870A9B" w:rsidRDefault="00870A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870A9B" w:rsidRDefault="00870A9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A073E"/>
    <w:rsid w:val="000A10F1"/>
    <w:rsid w:val="000A6964"/>
    <w:rsid w:val="000C69A4"/>
    <w:rsid w:val="000D5CC4"/>
    <w:rsid w:val="00117586"/>
    <w:rsid w:val="00153F2E"/>
    <w:rsid w:val="0016249C"/>
    <w:rsid w:val="00163D8F"/>
    <w:rsid w:val="00175927"/>
    <w:rsid w:val="00176751"/>
    <w:rsid w:val="00184C96"/>
    <w:rsid w:val="001B00C3"/>
    <w:rsid w:val="001D4FCD"/>
    <w:rsid w:val="002144E6"/>
    <w:rsid w:val="00236A18"/>
    <w:rsid w:val="00254B2C"/>
    <w:rsid w:val="002553B0"/>
    <w:rsid w:val="0025744F"/>
    <w:rsid w:val="00267581"/>
    <w:rsid w:val="002679A8"/>
    <w:rsid w:val="002732C1"/>
    <w:rsid w:val="002764C5"/>
    <w:rsid w:val="00276809"/>
    <w:rsid w:val="00294B8F"/>
    <w:rsid w:val="002B4C5F"/>
    <w:rsid w:val="002C57DC"/>
    <w:rsid w:val="002C760A"/>
    <w:rsid w:val="002D3166"/>
    <w:rsid w:val="002D5B28"/>
    <w:rsid w:val="00313AD3"/>
    <w:rsid w:val="00335A64"/>
    <w:rsid w:val="00343A24"/>
    <w:rsid w:val="003555C2"/>
    <w:rsid w:val="00380182"/>
    <w:rsid w:val="003811F0"/>
    <w:rsid w:val="00384564"/>
    <w:rsid w:val="0039365A"/>
    <w:rsid w:val="003A2854"/>
    <w:rsid w:val="003A6280"/>
    <w:rsid w:val="003D5ACF"/>
    <w:rsid w:val="003E255F"/>
    <w:rsid w:val="0043189C"/>
    <w:rsid w:val="004451E1"/>
    <w:rsid w:val="0045481D"/>
    <w:rsid w:val="004563A1"/>
    <w:rsid w:val="004962D1"/>
    <w:rsid w:val="004E19F4"/>
    <w:rsid w:val="004F4AC4"/>
    <w:rsid w:val="00504358"/>
    <w:rsid w:val="00506A74"/>
    <w:rsid w:val="00511AC6"/>
    <w:rsid w:val="005133A4"/>
    <w:rsid w:val="00526AE0"/>
    <w:rsid w:val="00540C00"/>
    <w:rsid w:val="0054657E"/>
    <w:rsid w:val="0054697D"/>
    <w:rsid w:val="00555A7C"/>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E24C6"/>
    <w:rsid w:val="006F28B9"/>
    <w:rsid w:val="00722541"/>
    <w:rsid w:val="00726F5F"/>
    <w:rsid w:val="007345CC"/>
    <w:rsid w:val="00742951"/>
    <w:rsid w:val="007466FC"/>
    <w:rsid w:val="007520D9"/>
    <w:rsid w:val="0075630D"/>
    <w:rsid w:val="00761E51"/>
    <w:rsid w:val="00764EF3"/>
    <w:rsid w:val="0076710C"/>
    <w:rsid w:val="0078029B"/>
    <w:rsid w:val="007A1C53"/>
    <w:rsid w:val="007B0F44"/>
    <w:rsid w:val="007B2EA2"/>
    <w:rsid w:val="007D623E"/>
    <w:rsid w:val="007E2780"/>
    <w:rsid w:val="007E7D29"/>
    <w:rsid w:val="007F26AC"/>
    <w:rsid w:val="008024FF"/>
    <w:rsid w:val="0080643C"/>
    <w:rsid w:val="008112B0"/>
    <w:rsid w:val="008406FB"/>
    <w:rsid w:val="008547D1"/>
    <w:rsid w:val="00870A9B"/>
    <w:rsid w:val="00875CA4"/>
    <w:rsid w:val="00883A67"/>
    <w:rsid w:val="00887FF5"/>
    <w:rsid w:val="008904B8"/>
    <w:rsid w:val="008A00C5"/>
    <w:rsid w:val="008C7B42"/>
    <w:rsid w:val="008D43A2"/>
    <w:rsid w:val="008F3B46"/>
    <w:rsid w:val="00904FBF"/>
    <w:rsid w:val="00906062"/>
    <w:rsid w:val="00906604"/>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92B76"/>
    <w:rsid w:val="00A949FD"/>
    <w:rsid w:val="00AB7533"/>
    <w:rsid w:val="00AC6668"/>
    <w:rsid w:val="00AE321D"/>
    <w:rsid w:val="00AF2E86"/>
    <w:rsid w:val="00B003B6"/>
    <w:rsid w:val="00B14FC8"/>
    <w:rsid w:val="00B418E0"/>
    <w:rsid w:val="00B66627"/>
    <w:rsid w:val="00B71895"/>
    <w:rsid w:val="00B95B54"/>
    <w:rsid w:val="00BD06AD"/>
    <w:rsid w:val="00BF39E4"/>
    <w:rsid w:val="00C079F9"/>
    <w:rsid w:val="00C2335B"/>
    <w:rsid w:val="00C23873"/>
    <w:rsid w:val="00C36C34"/>
    <w:rsid w:val="00C37D19"/>
    <w:rsid w:val="00C37F4F"/>
    <w:rsid w:val="00C730D0"/>
    <w:rsid w:val="00C940BE"/>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D7764"/>
    <w:rsid w:val="00DE408E"/>
    <w:rsid w:val="00DE4B0E"/>
    <w:rsid w:val="00DE714A"/>
    <w:rsid w:val="00E049D3"/>
    <w:rsid w:val="00E145D9"/>
    <w:rsid w:val="00E21852"/>
    <w:rsid w:val="00E33A0F"/>
    <w:rsid w:val="00E54B89"/>
    <w:rsid w:val="00E714B5"/>
    <w:rsid w:val="00E830BF"/>
    <w:rsid w:val="00E85B72"/>
    <w:rsid w:val="00ED4070"/>
    <w:rsid w:val="00ED40F4"/>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osf.io/b2jf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4F0B-F29A-0A4D-A493-695081FC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36</Pages>
  <Words>41290</Words>
  <Characters>235355</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15</cp:revision>
  <dcterms:created xsi:type="dcterms:W3CDTF">2020-10-13T16:32:00Z</dcterms:created>
  <dcterms:modified xsi:type="dcterms:W3CDTF">2020-10-20T01:41:00Z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