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0A77875A" w:rsidR="000A073E" w:rsidRPr="00DB6B93" w:rsidRDefault="008406FB" w:rsidP="008406FB">
      <w:pPr>
        <w:shd w:val="clear" w:color="auto" w:fill="FFFFFF"/>
        <w:spacing w:line="480" w:lineRule="auto"/>
        <w:jc w:val="center"/>
        <w:rPr>
          <w:b/>
          <w:highlight w:val="yellow"/>
        </w:rPr>
      </w:pPr>
      <w:bookmarkStart w:id="0" w:name="_Hlk54201087"/>
      <w:r w:rsidRPr="00DB6B93">
        <w:rPr>
          <w:b/>
          <w:highlight w:val="yellow"/>
        </w:rPr>
        <w:t xml:space="preserve">Parity </w:t>
      </w:r>
      <w:r w:rsidR="007B0F44" w:rsidRPr="00DB6B93">
        <w:rPr>
          <w:b/>
          <w:highlight w:val="yellow"/>
        </w:rPr>
        <w:t>predicts biological age acceleration in post</w:t>
      </w:r>
      <w:r w:rsidR="00E87E02" w:rsidRPr="00DB6B93">
        <w:rPr>
          <w:b/>
          <w:highlight w:val="yellow"/>
        </w:rPr>
        <w:t>-</w:t>
      </w:r>
      <w:r w:rsidR="007B0F44" w:rsidRPr="00DB6B93">
        <w:rPr>
          <w:b/>
          <w:highlight w:val="yellow"/>
        </w:rPr>
        <w:t>menopausal women</w:t>
      </w:r>
      <w:r w:rsidRPr="00DB6B93">
        <w:rPr>
          <w:b/>
          <w:highlight w:val="yellow"/>
        </w:rPr>
        <w:t xml:space="preserve">: </w:t>
      </w:r>
    </w:p>
    <w:p w14:paraId="1996309F" w14:textId="5B893D01" w:rsidR="000A073E" w:rsidRDefault="008406FB" w:rsidP="008406FB">
      <w:pPr>
        <w:shd w:val="clear" w:color="auto" w:fill="FFFFFF"/>
        <w:spacing w:line="480" w:lineRule="auto"/>
        <w:jc w:val="center"/>
        <w:rPr>
          <w:b/>
        </w:rPr>
      </w:pPr>
      <w:r w:rsidRPr="00DB6B93">
        <w:rPr>
          <w:b/>
          <w:highlight w:val="yellow"/>
        </w:rPr>
        <w:t>Evidence from NHANES 1999-2010</w:t>
      </w:r>
    </w:p>
    <w:bookmarkEnd w:id="0"/>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6B73A848"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w:t>
      </w:r>
      <w:proofErr w:type="gramStart"/>
      <w:r w:rsidR="00693C80">
        <w:rPr>
          <w:color w:val="000000"/>
        </w:rPr>
        <w:t>energetically</w:t>
      </w:r>
      <w:r w:rsidR="00E87E02">
        <w:rPr>
          <w:color w:val="000000"/>
        </w:rPr>
        <w:t>-</w:t>
      </w:r>
      <w:r w:rsidR="00693C80">
        <w:rPr>
          <w:color w:val="000000"/>
        </w:rPr>
        <w:t>costly</w:t>
      </w:r>
      <w:proofErr w:type="gramEnd"/>
      <w:r w:rsidR="00693C80">
        <w:rPr>
          <w:color w:val="000000"/>
        </w:rPr>
        <w:t xml:space="preserve">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Levine Method, homeostatic dysregulation, Klemera-Doubal method biological age</w:t>
      </w:r>
      <w:r w:rsidR="00093C28">
        <w:rPr>
          <w:color w:val="000000"/>
        </w:rPr>
        <w:t xml:space="preserve">, and </w:t>
      </w:r>
      <w:r w:rsidR="00093C28" w:rsidRPr="00093C28">
        <w:rPr>
          <w:color w:val="000000"/>
          <w:highlight w:val="yellow"/>
        </w:rPr>
        <w:t>allostatic load</w:t>
      </w:r>
      <w:r w:rsidR="00693C80" w:rsidRPr="002533E0">
        <w:rPr>
          <w:color w:val="000000"/>
        </w:rPr>
        <w:t xml:space="preserve">. </w:t>
      </w:r>
      <w:r w:rsidR="00511AC6" w:rsidRPr="00DB6B93">
        <w:rPr>
          <w:color w:val="000000"/>
          <w:highlight w:val="yellow"/>
        </w:rPr>
        <w:t xml:space="preserve">Parity </w:t>
      </w:r>
      <w:r w:rsidR="00054785" w:rsidRPr="00DB6B93">
        <w:rPr>
          <w:color w:val="000000"/>
          <w:highlight w:val="yellow"/>
        </w:rPr>
        <w:t>exhibited a U-shaped relationship</w:t>
      </w:r>
      <w:r w:rsidR="00511AC6" w:rsidRPr="00DB6B93">
        <w:rPr>
          <w:color w:val="000000"/>
          <w:highlight w:val="yellow"/>
        </w:rPr>
        <w:t xml:space="preserve"> with accelerated biological aging when controlling for chronological age, lifestyle, health-related, and demographic factors in post</w:t>
      </w:r>
      <w:r w:rsidR="00E87E02" w:rsidRPr="00DB6B93">
        <w:rPr>
          <w:color w:val="000000"/>
          <w:highlight w:val="yellow"/>
        </w:rPr>
        <w:t>-</w:t>
      </w:r>
      <w:r w:rsidR="00511AC6" w:rsidRPr="00DB6B93">
        <w:rPr>
          <w:color w:val="000000"/>
          <w:highlight w:val="yellow"/>
        </w:rPr>
        <w:t>menopausal, but not pre</w:t>
      </w:r>
      <w:r w:rsidR="00E87E02" w:rsidRPr="00DB6B93">
        <w:rPr>
          <w:color w:val="000000"/>
          <w:highlight w:val="yellow"/>
        </w:rPr>
        <w:t>-</w:t>
      </w:r>
      <w:r w:rsidR="00511AC6" w:rsidRPr="00DB6B93">
        <w:rPr>
          <w:color w:val="000000"/>
          <w:highlight w:val="yellow"/>
        </w:rPr>
        <w:t>menopausal, women</w:t>
      </w:r>
      <w:r w:rsidR="00054785" w:rsidRPr="00DB6B93">
        <w:rPr>
          <w:color w:val="000000"/>
          <w:highlight w:val="yellow"/>
        </w:rPr>
        <w:t xml:space="preserve">, with biological age acceleration being lowest </w:t>
      </w:r>
      <w:r w:rsidR="00ED4070" w:rsidRPr="00DB6B93">
        <w:rPr>
          <w:color w:val="000000"/>
          <w:highlight w:val="yellow"/>
        </w:rPr>
        <w:t>among post</w:t>
      </w:r>
      <w:r w:rsidR="00E87E02" w:rsidRPr="00DB6B93">
        <w:rPr>
          <w:color w:val="000000"/>
          <w:highlight w:val="yellow"/>
        </w:rPr>
        <w:t>-</w:t>
      </w:r>
      <w:r w:rsidR="00ED4070" w:rsidRPr="00DB6B93">
        <w:rPr>
          <w:color w:val="000000"/>
          <w:highlight w:val="yellow"/>
        </w:rPr>
        <w:t xml:space="preserve">menopausal women reporting </w:t>
      </w:r>
      <w:r w:rsidR="00054785" w:rsidRPr="00DB6B93">
        <w:rPr>
          <w:color w:val="000000"/>
          <w:highlight w:val="yellow"/>
        </w:rPr>
        <w:t>between two and three live births</w:t>
      </w:r>
      <w:r w:rsidR="00511AC6" w:rsidRPr="00DB6B93">
        <w:rPr>
          <w:color w:val="000000"/>
          <w:highlight w:val="yellow"/>
        </w:rPr>
        <w:t xml:space="preserve">. </w:t>
      </w:r>
      <w:r w:rsidR="00875CA4" w:rsidRPr="00DB6B93">
        <w:rPr>
          <w:color w:val="000000"/>
          <w:highlight w:val="yellow"/>
        </w:rPr>
        <w:t xml:space="preserve">Our findings </w:t>
      </w:r>
      <w:r w:rsidR="00511AC6" w:rsidRPr="00DB6B93">
        <w:rPr>
          <w:color w:val="000000"/>
          <w:highlight w:val="yellow"/>
        </w:rPr>
        <w:t xml:space="preserve">suggest </w:t>
      </w:r>
      <w:r w:rsidR="00875CA4" w:rsidRPr="00DB6B93">
        <w:rPr>
          <w:color w:val="000000"/>
          <w:highlight w:val="yellow"/>
        </w:rPr>
        <w:t xml:space="preserve">a link between reproductive function and physiological dysregulation, and of compensatory mechanisms that buffer the effects of reproductive function on physiological dysregulation during a woman’s reproductive lifespan. </w:t>
      </w:r>
      <w:r w:rsidR="00693C80" w:rsidRPr="00DB6B93">
        <w:rPr>
          <w:color w:val="000000"/>
          <w:highlight w:val="yellow"/>
        </w:rPr>
        <w:t>Future work should continue to investigate links between parity</w:t>
      </w:r>
      <w:r w:rsidR="00875CA4" w:rsidRPr="00DB6B93">
        <w:rPr>
          <w:color w:val="000000"/>
          <w:highlight w:val="yellow"/>
        </w:rPr>
        <w:t>, menopausal status,</w:t>
      </w:r>
      <w:r w:rsidR="00693C80" w:rsidRPr="00DB6B93">
        <w:rPr>
          <w:color w:val="000000"/>
          <w:highlight w:val="yellow"/>
        </w:rPr>
        <w:t xml:space="preserve"> and biological age using targeted physiological measures and longitudinal </w:t>
      </w:r>
      <w:r w:rsidRPr="00DB6B93">
        <w:rPr>
          <w:color w:val="000000"/>
          <w:highlight w:val="yellow"/>
        </w:rPr>
        <w:t>studies</w:t>
      </w:r>
      <w:r w:rsidR="00693C80" w:rsidRPr="00DB6B93">
        <w:rPr>
          <w:color w:val="000000"/>
          <w:highlight w:val="yellow"/>
        </w:rPr>
        <w:t>.</w:t>
      </w:r>
    </w:p>
    <w:p w14:paraId="73EB6D9C" w14:textId="77777777" w:rsidR="00A703EA" w:rsidRDefault="00A703EA" w:rsidP="008406FB">
      <w:pPr>
        <w:shd w:val="clear" w:color="auto" w:fill="FFFFFF"/>
        <w:spacing w:line="480" w:lineRule="auto"/>
        <w:rPr>
          <w:i/>
          <w:iCs/>
        </w:rPr>
      </w:pPr>
    </w:p>
    <w:p w14:paraId="2D384F4E" w14:textId="518D644E"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DB6B93" w:rsidRPr="00DB6B93">
        <w:rPr>
          <w:highlight w:val="yellow"/>
        </w:rPr>
        <w:t>menopause</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5B2E6F59"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create functional or energetic constraints to somatic maintenance and </w:t>
      </w:r>
      <w:r w:rsidR="00E87E02">
        <w:t>repair</w:t>
      </w:r>
      <w:r>
        <w:t xml:space="preserv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6FCA9769"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673967">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eviouslyFormattedCitation":"&lt;sup&gt;30,31&lt;/sup&gt;"},"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xml:space="preserve">. </w:t>
      </w:r>
      <w:r w:rsidR="00E87E02">
        <w:t>Notably,</w:t>
      </w:r>
      <w:r>
        <w:t xml:space="preserve"> studies with the largest sample sizes (and presumably, the highest statistical power)</w:t>
      </w:r>
      <w:r w:rsidR="00E87E02">
        <w:t xml:space="preserve"> often reveal that</w:t>
      </w:r>
      <w:r>
        <w:t xml:space="preserve">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t>
      </w:r>
      <w:r w:rsidR="00E87E02">
        <w:t xml:space="preserve">with lowest all-cause mortality and CVD rates observed at intermediate parity. </w:t>
      </w:r>
      <w:r>
        <w:t xml:space="preserve">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5E2C4AD9" w:rsidR="004962D1" w:rsidRDefault="008406FB" w:rsidP="008904B8">
      <w:pPr>
        <w:shd w:val="clear" w:color="auto" w:fill="FFFFFF"/>
        <w:spacing w:line="480" w:lineRule="auto"/>
      </w:pPr>
      <w:bookmarkStart w:id="1" w:name="_Hlk54186245"/>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w:t>
      </w:r>
      <w:r w:rsidR="00673967">
        <w:rPr>
          <w:highlight w:val="yellow"/>
        </w:rPr>
        <w:t>often weakly</w:t>
      </w:r>
      <w:r w:rsidR="00ED40F4" w:rsidRPr="00904FBF">
        <w:rPr>
          <w:highlight w:val="yellow"/>
        </w:rPr>
        <w:t xml:space="preserve"> correlated </w:t>
      </w:r>
      <w:r w:rsidR="00ED40F4" w:rsidRPr="00904FBF">
        <w:rPr>
          <w:highlight w:val="yellow"/>
        </w:rPr>
        <w:fldChar w:fldCharType="begin" w:fldLock="1"/>
      </w:r>
      <w:r w:rsidR="00673967">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14,39</w:t>
      </w:r>
      <w:r w:rsidR="00ED40F4" w:rsidRPr="00904FBF">
        <w:rPr>
          <w:highlight w:val="yellow"/>
        </w:rPr>
        <w:fldChar w:fldCharType="end"/>
      </w:r>
      <w:r w:rsidR="00ED40F4" w:rsidRPr="00904FBF">
        <w:rPr>
          <w:highlight w:val="yellow"/>
        </w:rPr>
        <w:t xml:space="preserve">. Similarly, both telomere length and DNA methylation age </w:t>
      </w:r>
      <w:r w:rsidR="00E87E02">
        <w:rPr>
          <w:highlight w:val="yellow"/>
        </w:rPr>
        <w:t>are poorly associated</w:t>
      </w:r>
      <w:r w:rsidR="00ED40F4" w:rsidRPr="00904FBF">
        <w:rPr>
          <w:highlight w:val="yellow"/>
        </w:rPr>
        <w:t xml:space="preserve"> with measures of biological age implemented at the clinical level</w:t>
      </w:r>
      <w:r w:rsidR="00673967">
        <w:rPr>
          <w:highlight w:val="yellow"/>
        </w:rPr>
        <w:t xml:space="preserve"> </w:t>
      </w:r>
      <w:r w:rsidR="00ED40F4" w:rsidRPr="00904FBF">
        <w:rPr>
          <w:highlight w:val="yellow"/>
        </w:rPr>
        <w:fldChar w:fldCharType="begin" w:fldLock="1"/>
      </w:r>
      <w:r w:rsidR="00764EF3">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40–43</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43D6200C" w14:textId="0D7B716F" w:rsidR="00E87E02"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by combining information from multiple clinical biomarkers that collectively assess the functioning of major organ systems throughout the body.</w:t>
      </w:r>
      <w:r w:rsidR="00E87E02">
        <w:t xml:space="preserve"> Such measures may be particularly relevant in light of the many physiological, immunological, and endocrinological changes that accompany reproduction in women </w:t>
      </w:r>
      <w:r w:rsidR="00E87E02">
        <w:fldChar w:fldCharType="begin" w:fldLock="1"/>
      </w:r>
      <w:r w:rsidR="006F65E2">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00E87E02">
        <w:fldChar w:fldCharType="separate"/>
      </w:r>
      <w:r w:rsidR="00E87E02" w:rsidRPr="00E87E02">
        <w:rPr>
          <w:noProof/>
          <w:vertAlign w:val="superscript"/>
        </w:rPr>
        <w:t>44</w:t>
      </w:r>
      <w:r w:rsidR="00E87E02">
        <w:fldChar w:fldCharType="end"/>
      </w:r>
      <w:r w:rsidR="00E87E02">
        <w:t>.</w:t>
      </w:r>
      <w:r w:rsidR="00ED40F4">
        <w:t xml:space="preserve"> </w:t>
      </w:r>
      <w:r w:rsidRPr="007466FC">
        <w:rPr>
          <w:highlight w:val="yellow"/>
        </w:rPr>
        <w:t>Four</w:t>
      </w:r>
      <w:r>
        <w:t xml:space="preserve"> composites of system integrity have been used to operationalize biological age and cumulative system </w:t>
      </w:r>
      <w:r>
        <w:lastRenderedPageBreak/>
        <w:t xml:space="preserve">dysregulation within the context of large-scale epidemiological studies in the United States: Homeostatic Dysregulation (HD) </w:t>
      </w:r>
      <w:r>
        <w:fldChar w:fldCharType="begin" w:fldLock="1"/>
      </w:r>
      <w:r w:rsidR="006F65E2">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fldChar w:fldCharType="separate"/>
      </w:r>
      <w:r w:rsidR="00E87E02" w:rsidRPr="00E87E02">
        <w:rPr>
          <w:noProof/>
          <w:vertAlign w:val="superscript"/>
        </w:rPr>
        <w:t>45</w:t>
      </w:r>
      <w:r>
        <w:fldChar w:fldCharType="end"/>
      </w:r>
      <w:r>
        <w:t xml:space="preserve">, Levine Method Biological Age (LM) </w:t>
      </w:r>
      <w:r>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fldChar w:fldCharType="separate"/>
      </w:r>
      <w:r w:rsidR="00E87E02" w:rsidRPr="00E87E02">
        <w:rPr>
          <w:noProof/>
          <w:vertAlign w:val="superscript"/>
        </w:rPr>
        <w:t>46,47</w:t>
      </w:r>
      <w:r>
        <w:fldChar w:fldCharType="end"/>
      </w:r>
      <w:r>
        <w:t xml:space="preserve">, the Klemera-Doubal Method Biological Age (KDM) </w:t>
      </w:r>
      <w:r>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fldChar w:fldCharType="separate"/>
      </w:r>
      <w:r w:rsidR="00E87E02" w:rsidRPr="00E87E02">
        <w:rPr>
          <w:noProof/>
          <w:vertAlign w:val="superscript"/>
        </w:rPr>
        <w:t>46,48</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6F65E2">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8F3B46">
        <w:rPr>
          <w:highlight w:val="yellow"/>
        </w:rPr>
        <w:fldChar w:fldCharType="separate"/>
      </w:r>
      <w:r w:rsidR="00E87E02" w:rsidRPr="00E87E02">
        <w:rPr>
          <w:noProof/>
          <w:highlight w:val="yellow"/>
          <w:vertAlign w:val="superscript"/>
        </w:rPr>
        <w:t>49</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005C73">
        <w:rPr>
          <w:highlight w:val="yellow"/>
        </w:rPr>
        <w:fldChar w:fldCharType="separate"/>
      </w:r>
      <w:r w:rsidR="00E87E02" w:rsidRPr="00E87E02">
        <w:rPr>
          <w:noProof/>
          <w:highlight w:val="yellow"/>
          <w:vertAlign w:val="superscript"/>
        </w:rPr>
        <w:t>11,50</w:t>
      </w:r>
      <w:r w:rsidRPr="00005C73">
        <w:rPr>
          <w:highlight w:val="yellow"/>
        </w:rPr>
        <w:fldChar w:fldCharType="end"/>
      </w:r>
      <w:r w:rsidRPr="00005C73">
        <w:rPr>
          <w:highlight w:val="yellow"/>
        </w:rPr>
        <w:t>. Other population-based studies have found similar links between AL and both objective and subjective markers of physical functioning and general he</w:t>
      </w:r>
      <w:r w:rsidRPr="00E87E02">
        <w:rPr>
          <w:highlight w:val="yellow"/>
        </w:rPr>
        <w:t>alth</w:t>
      </w:r>
      <w:r w:rsidR="00764EF3" w:rsidRPr="00E87E02">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00764EF3" w:rsidRPr="00E87E02">
        <w:rPr>
          <w:highlight w:val="yellow"/>
        </w:rPr>
        <w:fldChar w:fldCharType="separate"/>
      </w:r>
      <w:r w:rsidR="00E87E02" w:rsidRPr="00E87E02">
        <w:rPr>
          <w:noProof/>
          <w:highlight w:val="yellow"/>
          <w:vertAlign w:val="superscript"/>
        </w:rPr>
        <w:t>51</w:t>
      </w:r>
      <w:r w:rsidR="00764EF3" w:rsidRPr="00E87E02">
        <w:rPr>
          <w:highlight w:val="yellow"/>
        </w:rPr>
        <w:fldChar w:fldCharType="end"/>
      </w:r>
      <w:r w:rsidRPr="00E87E02">
        <w:rPr>
          <w:highlight w:val="yellow"/>
        </w:rPr>
        <w:t xml:space="preserve">. </w:t>
      </w:r>
      <w:proofErr w:type="gramStart"/>
      <w:r w:rsidR="00E87E02" w:rsidRPr="00E87E02">
        <w:rPr>
          <w:highlight w:val="yellow"/>
        </w:rPr>
        <w:t>Clinically-based</w:t>
      </w:r>
      <w:proofErr w:type="gramEnd"/>
      <w:r w:rsidR="00E87E02" w:rsidRPr="00E87E02">
        <w:rPr>
          <w:highlight w:val="yellow"/>
        </w:rPr>
        <w:t xml:space="preserve"> measures may therefore provide an affordable and accessible alternative to cell-based measures for measuring systemic deterioration tied to costs of reproduction in women.</w:t>
      </w:r>
      <w:r w:rsidR="00E87E02">
        <w:t xml:space="preserve"> </w:t>
      </w:r>
    </w:p>
    <w:bookmarkEnd w:id="1"/>
    <w:p w14:paraId="605FFA69" w14:textId="51F28DDA" w:rsidR="000A073E" w:rsidRDefault="000A073E" w:rsidP="008406FB">
      <w:pPr>
        <w:shd w:val="clear" w:color="auto" w:fill="FFFFFF"/>
        <w:spacing w:line="480" w:lineRule="auto"/>
      </w:pPr>
    </w:p>
    <w:p w14:paraId="5D1685CE" w14:textId="7B1C9A14"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Although each measure utilizes the same panel of biomarkers, differences in scale construction provide a varied, multifactorial approach to the study of costs of reproduction on biological aging. </w:t>
      </w:r>
      <w:bookmarkStart w:id="2" w:name="_Hlk54186469"/>
      <w:r>
        <w:t>Based on findings from the most highly powered prior studies of all-cause mortality and parity, we hypothesized a U-shaped relationship between parity and biological aging</w:t>
      </w:r>
      <w:r w:rsidR="00E87E02">
        <w:t>.</w:t>
      </w:r>
      <w:r>
        <w:t xml:space="preserve"> </w:t>
      </w:r>
      <w:r w:rsidR="00E87E02">
        <w:t>S</w:t>
      </w:r>
      <w:r>
        <w:t xml:space="preserve">pecifically, </w:t>
      </w:r>
      <w:r w:rsidR="00E87E02">
        <w:t xml:space="preserve">we predicted </w:t>
      </w:r>
      <w:r>
        <w:t xml:space="preserve">that accelerated biological aging would be most apparent in women with the lowest and the highest parity. </w:t>
      </w:r>
      <w:r w:rsidR="008D43A2" w:rsidRPr="008D43A2">
        <w:rPr>
          <w:highlight w:val="yellow"/>
        </w:rPr>
        <w:t xml:space="preserve">We also </w:t>
      </w:r>
      <w:r w:rsidR="002533E0">
        <w:rPr>
          <w:highlight w:val="yellow"/>
        </w:rPr>
        <w:t xml:space="preserve">leverage this powerful dataset for preliminary tests of </w:t>
      </w:r>
      <w:r w:rsidR="008D43A2" w:rsidRPr="008D43A2">
        <w:rPr>
          <w:highlight w:val="yellow"/>
        </w:rPr>
        <w:t xml:space="preserve"> whether relationships between parity and biological age are </w:t>
      </w:r>
      <w:r w:rsidR="00C079F9">
        <w:rPr>
          <w:highlight w:val="yellow"/>
        </w:rPr>
        <w:t>durable</w:t>
      </w:r>
      <w:r w:rsidR="008D43A2">
        <w:rPr>
          <w:highlight w:val="yellow"/>
        </w:rPr>
        <w:t xml:space="preserve">, such that they persist regardless of time since last birth, </w:t>
      </w:r>
      <w:r w:rsidR="008D43A2" w:rsidRPr="008D43A2">
        <w:rPr>
          <w:highlight w:val="yellow"/>
        </w:rPr>
        <w:t xml:space="preserve">or </w:t>
      </w:r>
      <w:r w:rsidR="00C079F9">
        <w:rPr>
          <w:highlight w:val="yellow"/>
        </w:rPr>
        <w:t>transient</w:t>
      </w:r>
      <w:r w:rsidR="008D43A2">
        <w:rPr>
          <w:highlight w:val="yellow"/>
        </w:rPr>
        <w:t>, such that the effect of parity on biological age decreases as a function of time since last birth</w:t>
      </w:r>
      <w:r w:rsidR="008D43A2" w:rsidRPr="008D43A2">
        <w:rPr>
          <w:highlight w:val="yellow"/>
        </w:rPr>
        <w:t>.</w:t>
      </w:r>
      <w:bookmarkEnd w:id="2"/>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0C04D494"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E87E02">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52&lt;/sup&gt;","plainTextFormattedCitation":"52","previouslyFormattedCitation":"&lt;sup&gt;52&lt;/sup&gt;"},"properties":{"noteIndex":0},"schema":"https://github.com/citation-style-language/schema/raw/master/csl-citation.json"}</w:instrText>
      </w:r>
      <w:r w:rsidR="009D7E28">
        <w:fldChar w:fldCharType="separate"/>
      </w:r>
      <w:r w:rsidR="00764EF3" w:rsidRPr="00764EF3">
        <w:rPr>
          <w:noProof/>
          <w:vertAlign w:val="superscript"/>
        </w:rPr>
        <w:t>52</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bookmarkStart w:id="3" w:name="_Hlk54186604"/>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bookmarkEnd w:id="3"/>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lastRenderedPageBreak/>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7B6530DE"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80182">
        <w:rPr>
          <w:i/>
          <w:iCs/>
          <w:highlight w:val="yellow"/>
        </w:rPr>
        <w:t>n</w:t>
      </w:r>
      <w:r w:rsidR="00343A24" w:rsidRPr="00343A24">
        <w:rPr>
          <w:highlight w:val="yellow"/>
        </w:rPr>
        <w:t xml:space="preserve">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w:t>
      </w:r>
      <w:r w:rsidR="00380182">
        <w:t>8</w:t>
      </w:r>
      <w:r>
        <w:t xml:space="preserve"> or more live births (</w:t>
      </w:r>
      <w:r w:rsidRPr="00380182">
        <w:rPr>
          <w:i/>
          <w:iCs/>
        </w:rPr>
        <w:t>n</w:t>
      </w:r>
      <w:r>
        <w:t xml:space="preserve"> = </w:t>
      </w:r>
      <w:r w:rsidR="00572D4B">
        <w:t>137</w:t>
      </w:r>
      <w:r>
        <w:t xml:space="preserve">), these women were excluded from analyses. The frequency distribution for women included in our analyses is displayed in </w:t>
      </w:r>
      <w:r>
        <w:rPr>
          <w:b/>
        </w:rPr>
        <w:t>Figure 2</w:t>
      </w:r>
      <w:r>
        <w:t xml:space="preserve">. </w:t>
      </w:r>
      <w:bookmarkStart w:id="4" w:name="_Hlk54186390"/>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E87E02">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53&lt;/sup&gt;"},"properties":{"noteIndex":0},"schema":"https://github.com/citation-style-language/schema/raw/master/csl-citation.json"}</w:instrText>
      </w:r>
      <w:r w:rsidR="00254B2C" w:rsidRPr="00254B2C">
        <w:rPr>
          <w:highlight w:val="yellow"/>
        </w:rPr>
        <w:fldChar w:fldCharType="separate"/>
      </w:r>
      <w:r w:rsidR="00764EF3" w:rsidRPr="00764EF3">
        <w:rPr>
          <w:noProof/>
          <w:highlight w:val="yellow"/>
          <w:vertAlign w:val="superscript"/>
        </w:rPr>
        <w:t>53</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w:t>
      </w:r>
      <w:r w:rsidR="00254B2C" w:rsidRPr="002533E0">
        <w:rPr>
          <w:highlight w:val="yellow"/>
        </w:rPr>
        <w:t>ber of live births.</w:t>
      </w:r>
      <w:r w:rsidR="002533E0" w:rsidRPr="002533E0">
        <w:rPr>
          <w:highlight w:val="yellow"/>
        </w:rPr>
        <w:t xml:space="preserve"> As a result, we chose to use number of live births rather than number of pregnancies.</w:t>
      </w:r>
      <w:r w:rsidR="00254B2C">
        <w:t xml:space="preserve"> </w:t>
      </w:r>
      <w:bookmarkEnd w:id="4"/>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91AEE88"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E87E02">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54&lt;/sup&gt;","plainTextFormattedCitation":"54","previouslyFormattedCitation":"&lt;sup&gt;54&lt;/sup&gt;"},"properties":{"noteIndex":0},"schema":"https://github.com/citation-style-language/schema/raw/master/csl-citation.json"}</w:instrText>
      </w:r>
      <w:r w:rsidR="00B418E0">
        <w:fldChar w:fldCharType="separate"/>
      </w:r>
      <w:r w:rsidR="00764EF3" w:rsidRPr="00764EF3">
        <w:rPr>
          <w:noProof/>
          <w:vertAlign w:val="superscript"/>
        </w:rPr>
        <w:t>54</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7E34F96"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E87E02">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64EF3" w:rsidRPr="00764EF3">
        <w:rPr>
          <w:noProof/>
          <w:vertAlign w:val="superscript"/>
        </w:rPr>
        <w:t>55</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7FEDF16"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w:t>
      </w:r>
      <w:r w:rsidR="00380182">
        <w:t xml:space="preserve"> </w:t>
      </w:r>
      <w:r>
        <w:t>&lt;</w:t>
      </w:r>
      <w:r w:rsidR="00380182">
        <w:t xml:space="preserve"> </w:t>
      </w:r>
      <w:r>
        <w:t>30) and for whom all biomarkers fell within the clinically normal range for their age and sex (</w:t>
      </w:r>
      <w:r w:rsidR="00380182" w:rsidRPr="00380182">
        <w:rPr>
          <w:i/>
          <w:iCs/>
        </w:rPr>
        <w:t>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w:t>
      </w:r>
      <w:r>
        <w:lastRenderedPageBreak/>
        <w:t xml:space="preserve">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2A56A253"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48&lt;/sup&gt;","plainTextFormattedCitation":"48","previouslyFormattedCitation":"&lt;sup&gt;48&lt;/sup&gt;"},"properties":{"noteIndex":0},"schema":"https://github.com/citation-style-language/schema/raw/master/csl-citation.json"}</w:instrText>
      </w:r>
      <w:r w:rsidR="00B418E0">
        <w:fldChar w:fldCharType="separate"/>
      </w:r>
      <w:r w:rsidR="00E87E02" w:rsidRPr="00E87E02">
        <w:rPr>
          <w:noProof/>
          <w:vertAlign w:val="superscript"/>
        </w:rPr>
        <w:t>48</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66627">
        <w:fldChar w:fldCharType="separate"/>
      </w:r>
      <w:r w:rsidR="00E87E02" w:rsidRPr="00E87E02">
        <w:rPr>
          <w:noProof/>
          <w:vertAlign w:val="superscript"/>
        </w:rPr>
        <w:t>46</w:t>
      </w:r>
      <w:r w:rsidR="00B66627">
        <w:fldChar w:fldCharType="end"/>
      </w:r>
      <w:r>
        <w:t xml:space="preserve"> (Eq. 5). Following previous work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418E0">
        <w:fldChar w:fldCharType="separate"/>
      </w:r>
      <w:r w:rsidR="00E87E02" w:rsidRPr="00E87E02">
        <w:rPr>
          <w:noProof/>
          <w:vertAlign w:val="superscript"/>
        </w:rPr>
        <w:t>46</w:t>
      </w:r>
      <w:r w:rsidR="00B418E0">
        <w:fldChar w:fldCharType="end"/>
      </w:r>
      <w:r>
        <w:t>, we formed our reference population from non-pregnant women in NHANES III aged 30-75 (</w:t>
      </w:r>
      <w:r w:rsidR="00380182" w:rsidRPr="00380182">
        <w:rPr>
          <w:i/>
          <w:iCs/>
        </w:rPr>
        <w:t>n</w:t>
      </w:r>
      <w:r w:rsidR="00B66627" w:rsidRPr="00380182">
        <w:rPr>
          <w:i/>
          <w:iCs/>
        </w:rPr>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482B6537"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00B418E0">
        <w:fldChar w:fldCharType="separate"/>
      </w:r>
      <w:r w:rsidR="00E87E02" w:rsidRPr="00E87E02">
        <w:rPr>
          <w:noProof/>
          <w:vertAlign w:val="superscript"/>
        </w:rPr>
        <w:t>46,47</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6F65E2">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47&lt;/sup&gt;","plainTextFormattedCitation":"47","previouslyFormattedCitation":"&lt;sup&gt;47&lt;/sup&gt;"},"properties":{"noteIndex":0},"schema":"https://github.com/citation-style-language/schema/raw/master/csl-citation.json"}</w:instrText>
      </w:r>
      <w:r w:rsidR="00B66627">
        <w:fldChar w:fldCharType="separate"/>
      </w:r>
      <w:r w:rsidR="00E87E02" w:rsidRPr="00E87E02">
        <w:rPr>
          <w:noProof/>
          <w:vertAlign w:val="superscript"/>
        </w:rPr>
        <w:t>47</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5E87EE54"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E87E02">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57&lt;/sup&gt;","plainTextFormattedCitation":"57","previouslyFormattedCitation":"&lt;sup&gt;57&lt;/sup&gt;"},"properties":{"noteIndex":0},"schema":"https://github.com/citation-style-language/schema/raw/master/csl-citation.json"}</w:instrText>
      </w:r>
      <w:r w:rsidRPr="007466FC">
        <w:rPr>
          <w:color w:val="000000"/>
          <w:highlight w:val="yellow"/>
        </w:rPr>
        <w:fldChar w:fldCharType="separate"/>
      </w:r>
      <w:r w:rsidR="00764EF3" w:rsidRPr="00764EF3">
        <w:rPr>
          <w:noProof/>
          <w:color w:val="000000"/>
          <w:highlight w:val="yellow"/>
          <w:vertAlign w:val="superscript"/>
        </w:rPr>
        <w:t>57</w:t>
      </w:r>
      <w:r w:rsidRPr="007466FC">
        <w:rPr>
          <w:color w:val="000000"/>
          <w:highlight w:val="yellow"/>
        </w:rPr>
        <w:fldChar w:fldCharType="end"/>
      </w:r>
      <w:r w:rsidRPr="007466FC">
        <w:rPr>
          <w:color w:val="000000"/>
          <w:highlight w:val="yellow"/>
        </w:rPr>
        <w:t>, we defined risk as residing within the highest quartile of a given biomarker’s distribution within the sample of nonpregnant women aged 18-84 with complete biological age biomarker data, excepting albumin for which risk was defined as residing in the lowest quartile (</w:t>
      </w:r>
      <w:r w:rsidR="00380182" w:rsidRPr="00380182">
        <w:rPr>
          <w:i/>
          <w:iCs/>
          <w:color w:val="000000"/>
          <w:highlight w:val="yellow"/>
        </w:rPr>
        <w:t>n</w:t>
      </w:r>
      <w:r w:rsidRPr="00380182">
        <w:rPr>
          <w:i/>
          <w:iCs/>
          <w:color w:val="000000"/>
          <w:highlight w:val="yellow"/>
        </w:rPr>
        <w:t xml:space="preserve"> </w:t>
      </w:r>
      <w:r w:rsidRPr="007466FC">
        <w:rPr>
          <w:color w:val="000000"/>
          <w:highlight w:val="yellow"/>
        </w:rPr>
        <w:t xml:space="preserve">=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bookmarkStart w:id="5" w:name="_Hlk54186366"/>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bookmarkEnd w:id="5"/>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t>
      </w:r>
      <w:r>
        <w:lastRenderedPageBreak/>
        <w:t xml:space="preserve">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7D3BE40A" w:rsidR="000A073E" w:rsidRDefault="008406FB" w:rsidP="008406FB">
      <w:pPr>
        <w:shd w:val="clear" w:color="auto" w:fill="FFFFFF"/>
        <w:spacing w:line="480" w:lineRule="auto"/>
      </w:pPr>
      <w:r>
        <w:t xml:space="preserve">Self-reported race/ethnicity </w:t>
      </w:r>
      <w:r w:rsidR="00B418E0">
        <w:fldChar w:fldCharType="begin" w:fldLock="1"/>
      </w:r>
      <w:r w:rsidR="00E87E02">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64EF3" w:rsidRPr="00764EF3">
        <w:rPr>
          <w:noProof/>
          <w:vertAlign w:val="superscript"/>
        </w:rPr>
        <w:t>58</w:t>
      </w:r>
      <w:r w:rsidR="00B418E0">
        <w:fldChar w:fldCharType="end"/>
      </w:r>
      <w:r>
        <w:t>, socioeconomic status (SES</w:t>
      </w:r>
      <w:r w:rsidR="009D7E28">
        <w:t xml:space="preserve">) </w:t>
      </w:r>
      <w:r w:rsidR="009D7E28">
        <w:fldChar w:fldCharType="begin" w:fldLock="1"/>
      </w:r>
      <w:r w:rsidR="00E87E02">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59,60&lt;/sup&gt;"},"properties":{"noteIndex":0},"schema":"https://github.com/citation-style-language/schema/raw/master/csl-citation.json"}</w:instrText>
      </w:r>
      <w:r w:rsidR="009D7E28">
        <w:fldChar w:fldCharType="separate"/>
      </w:r>
      <w:r w:rsidR="00764EF3" w:rsidRPr="00764EF3">
        <w:rPr>
          <w:noProof/>
          <w:vertAlign w:val="superscript"/>
        </w:rPr>
        <w:t>59,60</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E87E02">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61&lt;/sup&gt;","plainTextFormattedCitation":"61","previouslyFormattedCitation":"&lt;sup&gt;61&lt;/sup&gt;"},"properties":{"noteIndex":0},"schema":"https://github.com/citation-style-language/schema/raw/master/csl-citation.json"}</w:instrText>
      </w:r>
      <w:r w:rsidR="00B418E0">
        <w:fldChar w:fldCharType="separate"/>
      </w:r>
      <w:r w:rsidR="00764EF3" w:rsidRPr="00764EF3">
        <w:rPr>
          <w:noProof/>
          <w:vertAlign w:val="superscript"/>
        </w:rPr>
        <w:t>61</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513CAE67" w14:textId="69D8DCD0" w:rsidR="00093C28" w:rsidRPr="002035B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E87E02">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62&lt;/sup&gt;","plainTextFormattedCitation":"62","previouslyFormattedCitation":"&lt;sup&gt;62&lt;/sup&gt;"},"properties":{"noteIndex":0},"schema":"https://github.com/citation-style-language/schema/raw/master/csl-citation.json"}</w:instrText>
      </w:r>
      <w:r w:rsidR="00B418E0">
        <w:fldChar w:fldCharType="separate"/>
      </w:r>
      <w:r w:rsidR="00764EF3" w:rsidRPr="00764EF3">
        <w:rPr>
          <w:noProof/>
          <w:vertAlign w:val="superscript"/>
        </w:rPr>
        <w:t>62</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w:t>
      </w:r>
      <w:r>
        <w:lastRenderedPageBreak/>
        <w:t xml:space="preserve">day of the week, and survey nonresponse to compute nationally representative estimates </w:t>
      </w:r>
      <w:r w:rsidR="00B418E0">
        <w:fldChar w:fldCharType="begin" w:fldLock="1"/>
      </w:r>
      <w:r w:rsidR="00E87E02">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63,64&lt;/sup&gt;","plainTextFormattedCitation":"63,64","previouslyFormattedCitation":"&lt;sup&gt;63,64&lt;/sup&gt;"},"properties":{"noteIndex":0},"schema":"https://github.com/citation-style-language/schema/raw/master/csl-citation.json"}</w:instrText>
      </w:r>
      <w:r w:rsidR="00B418E0">
        <w:fldChar w:fldCharType="separate"/>
      </w:r>
      <w:r w:rsidR="00764EF3" w:rsidRPr="00764EF3">
        <w:rPr>
          <w:noProof/>
          <w:vertAlign w:val="superscript"/>
        </w:rPr>
        <w:t>63,64</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2035BD">
        <w:rPr>
          <w:highlight w:val="yellow"/>
        </w:rPr>
        <w:t xml:space="preserve">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w:r w:rsidR="002035BD">
        <w:rPr>
          <w:highlight w:val="yellow"/>
        </w:rPr>
        <w:t xml:space="preserve"> and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w:p>
    <w:p w14:paraId="55ED7858" w14:textId="77777777" w:rsidR="00093C28" w:rsidRDefault="00093C28" w:rsidP="008406FB">
      <w:pPr>
        <w:shd w:val="clear" w:color="auto" w:fill="FFFFFF"/>
        <w:spacing w:line="480" w:lineRule="auto"/>
      </w:pPr>
    </w:p>
    <w:p w14:paraId="2FA59276" w14:textId="55D6B7E5"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r w:rsidR="00883B67" w:rsidRPr="006E24C6">
        <w:rPr>
          <w:highlight w:val="yellow"/>
        </w:rPr>
        <w:t xml:space="preserve">Because we estimated four regressions </w:t>
      </w:r>
      <w:r w:rsidR="00883B67">
        <w:rPr>
          <w:highlight w:val="yellow"/>
        </w:rPr>
        <w:t>(one per outcome measure) for each set of analyses for each analytical subset</w:t>
      </w:r>
      <w:r w:rsidR="00883B67" w:rsidRPr="006E24C6">
        <w:rPr>
          <w:highlight w:val="yellow"/>
        </w:rPr>
        <w:t xml:space="preserve">, statistical significance was set to </w:t>
      </w:r>
      <w:r w:rsidR="00883B67" w:rsidRPr="006E24C6">
        <w:rPr>
          <w:i/>
          <w:highlight w:val="yellow"/>
        </w:rPr>
        <w:t>p</w:t>
      </w:r>
      <w:r w:rsidR="00883B67" w:rsidRPr="006E24C6">
        <w:rPr>
          <w:highlight w:val="yellow"/>
        </w:rPr>
        <w:t xml:space="preserve"> &lt; 0.0125 (0.05/4)</w:t>
      </w:r>
      <w:r w:rsidR="00883B67">
        <w:rPr>
          <w:highlight w:val="yellow"/>
        </w:rPr>
        <w:t xml:space="preserve"> </w:t>
      </w:r>
      <w:r w:rsidR="00883B67">
        <w:rPr>
          <w:highlight w:val="yellow"/>
        </w:rPr>
        <w:fldChar w:fldCharType="begin" w:fldLock="1"/>
      </w:r>
      <w:r w:rsidR="00883B67">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65&lt;/sup&gt;"},"properties":{"noteIndex":0},"schema":"https://github.com/citation-style-language/schema/raw/master/csl-citation.json"}</w:instrText>
      </w:r>
      <w:r w:rsidR="00883B67">
        <w:rPr>
          <w:highlight w:val="yellow"/>
        </w:rPr>
        <w:fldChar w:fldCharType="separate"/>
      </w:r>
      <w:r w:rsidR="00883B67" w:rsidRPr="00764EF3">
        <w:rPr>
          <w:noProof/>
          <w:highlight w:val="yellow"/>
          <w:vertAlign w:val="superscript"/>
        </w:rPr>
        <w:t>65</w:t>
      </w:r>
      <w:r w:rsidR="00883B67">
        <w:rPr>
          <w:highlight w:val="yellow"/>
        </w:rPr>
        <w:fldChar w:fldCharType="end"/>
      </w:r>
      <w:r w:rsidR="00883B67" w:rsidRPr="006E24C6">
        <w:rPr>
          <w:highlight w:val="yellow"/>
        </w:rPr>
        <w:t>.</w:t>
      </w:r>
      <w:r w:rsidR="00883B67">
        <w:t xml:space="preserve"> </w:t>
      </w:r>
    </w:p>
    <w:p w14:paraId="7224F27F" w14:textId="77777777" w:rsidR="002C57DC" w:rsidRDefault="002C57DC" w:rsidP="008406FB">
      <w:pPr>
        <w:shd w:val="clear" w:color="auto" w:fill="FFFFFF"/>
        <w:spacing w:line="480" w:lineRule="auto"/>
      </w:pPr>
    </w:p>
    <w:p w14:paraId="0A158552" w14:textId="1E8003C0"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w:t>
      </w:r>
      <w:bookmarkStart w:id="6" w:name="_Hlk54186184"/>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6F65E2">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44,66&lt;/sup&gt;","plainTextFormattedCitation":"44,66","previouslyFormattedCitation":"&lt;sup&gt;44,66&lt;/sup&gt;"},"properties":{"noteIndex":0},"schema":"https://github.com/citation-style-language/schema/raw/master/csl-citation.json"}</w:instrText>
      </w:r>
      <w:r w:rsidR="00BD06AD" w:rsidRPr="00B71895">
        <w:rPr>
          <w:highlight w:val="yellow"/>
        </w:rPr>
        <w:fldChar w:fldCharType="separate"/>
      </w:r>
      <w:r w:rsidR="00E87E02" w:rsidRPr="00E87E02">
        <w:rPr>
          <w:noProof/>
          <w:highlight w:val="yellow"/>
          <w:vertAlign w:val="superscript"/>
        </w:rPr>
        <w:t>44,66</w:t>
      </w:r>
      <w:r w:rsidR="00BD06AD" w:rsidRPr="00B71895">
        <w:rPr>
          <w:highlight w:val="yellow"/>
        </w:rPr>
        <w:fldChar w:fldCharType="end"/>
      </w:r>
      <w:r w:rsidRPr="00B71895">
        <w:rPr>
          <w:highlight w:val="yellow"/>
        </w:rPr>
        <w:t xml:space="preserve">, </w:t>
      </w:r>
      <w:r w:rsidR="009C2E93" w:rsidRPr="00B71895">
        <w:rPr>
          <w:highlight w:val="yellow"/>
        </w:rPr>
        <w:t xml:space="preserve">models were estimated </w:t>
      </w:r>
      <w:r w:rsidR="00B71895" w:rsidRPr="00B71895">
        <w:rPr>
          <w:highlight w:val="yellow"/>
        </w:rPr>
        <w:t>separately</w:t>
      </w:r>
      <w:r w:rsidR="009C2E93" w:rsidRPr="00B71895">
        <w:rPr>
          <w:highlight w:val="yellow"/>
        </w:rPr>
        <w:t xml:space="preserve"> pre</w:t>
      </w:r>
      <w:r w:rsidR="002533E0">
        <w:rPr>
          <w:highlight w:val="yellow"/>
        </w:rPr>
        <w:t>-</w:t>
      </w:r>
      <w:r w:rsidR="009C2E93" w:rsidRPr="00B71895">
        <w:rPr>
          <w:highlight w:val="yellow"/>
        </w:rPr>
        <w:t>menopausal and post</w:t>
      </w:r>
      <w:r w:rsidR="002533E0">
        <w:rPr>
          <w:highlight w:val="yellow"/>
        </w:rPr>
        <w:t>-</w:t>
      </w:r>
      <w:r w:rsidR="009C2E93" w:rsidRPr="00B71895">
        <w:rPr>
          <w:highlight w:val="yellow"/>
        </w:rPr>
        <w:t>menopausal women.</w:t>
      </w:r>
      <w:r w:rsidR="009C2E93">
        <w:t xml:space="preserve"> </w:t>
      </w:r>
      <w:bookmarkEnd w:id="6"/>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1278E319" w:rsidR="000A073E" w:rsidRDefault="008406FB" w:rsidP="008406FB">
      <w:pPr>
        <w:shd w:val="clear" w:color="auto" w:fill="FFFFFF"/>
        <w:spacing w:line="480" w:lineRule="auto"/>
      </w:pPr>
      <w:r>
        <w:t xml:space="preserve">Figure </w:t>
      </w:r>
      <w:r w:rsidR="00A949FD">
        <w:t>4</w:t>
      </w:r>
      <w:r>
        <w:t xml:space="preserve"> was generated using Stata through post-estimation marginal standardization postestimation commands in Stata for regressions adjusting for the distribution of other covariates </w:t>
      </w:r>
      <w:r w:rsidR="00BD06AD">
        <w:fldChar w:fldCharType="begin" w:fldLock="1"/>
      </w:r>
      <w:r w:rsidR="00E87E02">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67&lt;/sup&gt;","plainTextFormattedCitation":"67","previouslyFormattedCitation":"&lt;sup&gt;67&lt;/sup&gt;"},"properties":{"noteIndex":0},"schema":"https://github.com/citation-style-language/schema/raw/master/csl-citation.json"}</w:instrText>
      </w:r>
      <w:r w:rsidR="00BD06AD">
        <w:fldChar w:fldCharType="separate"/>
      </w:r>
      <w:r w:rsidR="00764EF3" w:rsidRPr="00764EF3">
        <w:rPr>
          <w:noProof/>
          <w:vertAlign w:val="superscript"/>
        </w:rPr>
        <w:t>67</w:t>
      </w:r>
      <w:r w:rsidR="00BD06AD">
        <w:fldChar w:fldCharType="end"/>
      </w:r>
      <w:r>
        <w:t xml:space="preserve">. The y-axes in these figures represent the extent to which chronological age deviates from biological age. </w:t>
      </w:r>
      <w:bookmarkStart w:id="7" w:name="_Hlk54186141"/>
      <w:r w:rsidR="002C57DC" w:rsidRPr="002C57DC">
        <w:rPr>
          <w:highlight w:val="yellow"/>
        </w:rPr>
        <w:t xml:space="preserve">For each </w:t>
      </w:r>
      <w:r w:rsidR="002C57DC" w:rsidRPr="004B34B7">
        <w:rPr>
          <w:highlight w:val="yellow"/>
        </w:rPr>
        <w:t xml:space="preserve">measure, this presents the difference between </w:t>
      </w:r>
      <w:r w:rsidR="009C2E93" w:rsidRPr="004B34B7">
        <w:rPr>
          <w:highlight w:val="yellow"/>
        </w:rPr>
        <w:t xml:space="preserve">observed biological age </w:t>
      </w:r>
      <w:r w:rsidR="002C57DC" w:rsidRPr="004B34B7">
        <w:rPr>
          <w:highlight w:val="yellow"/>
        </w:rPr>
        <w:t xml:space="preserve">and </w:t>
      </w:r>
      <w:r w:rsidR="00A949FD" w:rsidRPr="004B34B7">
        <w:rPr>
          <w:highlight w:val="yellow"/>
        </w:rPr>
        <w:t>biological</w:t>
      </w:r>
      <w:r w:rsidR="002C57DC" w:rsidRPr="004B34B7">
        <w:rPr>
          <w:highlight w:val="yellow"/>
        </w:rPr>
        <w:t xml:space="preserve"> age predicted by </w:t>
      </w:r>
      <w:r w:rsidR="00A949FD" w:rsidRPr="004B34B7">
        <w:rPr>
          <w:highlight w:val="yellow"/>
        </w:rPr>
        <w:t xml:space="preserve">chronological </w:t>
      </w:r>
      <w:r w:rsidR="002C57DC" w:rsidRPr="004B34B7">
        <w:rPr>
          <w:highlight w:val="yellow"/>
        </w:rPr>
        <w:t xml:space="preserve">age (i.e., the residual of </w:t>
      </w:r>
      <w:r w:rsidR="00A949FD" w:rsidRPr="004B34B7">
        <w:rPr>
          <w:highlight w:val="yellow"/>
        </w:rPr>
        <w:t>each biological aging measure</w:t>
      </w:r>
      <w:r w:rsidR="002C57DC" w:rsidRPr="004B34B7">
        <w:rPr>
          <w:highlight w:val="yellow"/>
        </w:rPr>
        <w:t xml:space="preserve"> regressed onto the </w:t>
      </w:r>
      <w:r w:rsidR="00A949FD" w:rsidRPr="004B34B7">
        <w:rPr>
          <w:highlight w:val="yellow"/>
        </w:rPr>
        <w:t>chronological age</w:t>
      </w:r>
      <w:r w:rsidR="002C57DC" w:rsidRPr="004B34B7">
        <w:rPr>
          <w:highlight w:val="yellow"/>
        </w:rPr>
        <w:t xml:space="preserve">). </w:t>
      </w:r>
      <w:r w:rsidRPr="004B34B7">
        <w:rPr>
          <w:highlight w:val="yellow"/>
        </w:rPr>
        <w:t xml:space="preserve">In all </w:t>
      </w:r>
      <w:r w:rsidR="007466FC" w:rsidRPr="004B34B7">
        <w:rPr>
          <w:highlight w:val="yellow"/>
        </w:rPr>
        <w:t>four</w:t>
      </w:r>
      <w:r w:rsidRPr="004B34B7">
        <w:rPr>
          <w:highlight w:val="yellow"/>
        </w:rPr>
        <w:t xml:space="preserve"> cases, positive values indicate aging </w:t>
      </w:r>
      <w:r w:rsidR="00A949FD" w:rsidRPr="004B34B7">
        <w:rPr>
          <w:highlight w:val="yellow"/>
        </w:rPr>
        <w:t xml:space="preserve">acceleration </w:t>
      </w:r>
      <w:r w:rsidRPr="004B34B7">
        <w:rPr>
          <w:highlight w:val="yellow"/>
        </w:rPr>
        <w:t>(</w:t>
      </w:r>
      <w:r w:rsidR="00A949FD" w:rsidRPr="004B34B7">
        <w:rPr>
          <w:highlight w:val="yellow"/>
        </w:rPr>
        <w:t xml:space="preserve">biological </w:t>
      </w:r>
      <w:r w:rsidRPr="004B34B7">
        <w:rPr>
          <w:highlight w:val="yellow"/>
        </w:rPr>
        <w:t xml:space="preserve">age &gt; </w:t>
      </w:r>
      <w:r w:rsidR="00A949FD" w:rsidRPr="004B34B7">
        <w:rPr>
          <w:highlight w:val="yellow"/>
        </w:rPr>
        <w:t xml:space="preserve">chronological </w:t>
      </w:r>
      <w:r w:rsidRPr="004B34B7">
        <w:rPr>
          <w:highlight w:val="yellow"/>
        </w:rPr>
        <w:t xml:space="preserve">age) while negative values indicate age </w:t>
      </w:r>
      <w:r w:rsidR="00A949FD" w:rsidRPr="004B34B7">
        <w:rPr>
          <w:highlight w:val="yellow"/>
        </w:rPr>
        <w:t xml:space="preserve">deceleration </w:t>
      </w:r>
      <w:r w:rsidRPr="004B34B7">
        <w:rPr>
          <w:highlight w:val="yellow"/>
        </w:rPr>
        <w:t>(</w:t>
      </w:r>
      <w:r w:rsidR="00A949FD" w:rsidRPr="004B34B7">
        <w:rPr>
          <w:highlight w:val="yellow"/>
        </w:rPr>
        <w:t xml:space="preserve">biological </w:t>
      </w:r>
      <w:r w:rsidRPr="004B34B7">
        <w:rPr>
          <w:highlight w:val="yellow"/>
        </w:rPr>
        <w:t xml:space="preserve">age &lt; </w:t>
      </w:r>
      <w:r w:rsidR="00A949FD" w:rsidRPr="004B34B7">
        <w:rPr>
          <w:highlight w:val="yellow"/>
        </w:rPr>
        <w:t xml:space="preserve">chronological </w:t>
      </w:r>
      <w:r w:rsidRPr="004B34B7">
        <w:rPr>
          <w:highlight w:val="yellow"/>
        </w:rPr>
        <w:t>age).</w:t>
      </w:r>
      <w:r>
        <w:t xml:space="preserve">  </w:t>
      </w:r>
      <w:bookmarkEnd w:id="7"/>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5BE3EA0A"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t>
      </w:r>
      <w:r w:rsidR="002533E0">
        <w:t xml:space="preserve">We did not include time since last birth in our primary analyses for two reasons. </w:t>
      </w:r>
      <w:r>
        <w:t xml:space="preserve">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w:t>
      </w:r>
      <w:r w:rsidR="00C079F9">
        <w:t>durable</w:t>
      </w:r>
      <w:r>
        <w:t xml:space="preserve"> and accumulate over time, or </w:t>
      </w:r>
      <w:r w:rsidR="00C079F9">
        <w:t>transient</w:t>
      </w:r>
      <w:r>
        <w:t xml:space="preserve"> and only present in the postnatal period. To assess potential </w:t>
      </w:r>
      <w:r w:rsidR="00C079F9">
        <w:t>durable</w:t>
      </w:r>
      <w:r>
        <w:t xml:space="preserve"> effects</w:t>
      </w:r>
      <w:r w:rsidR="002533E0">
        <w:t xml:space="preserve"> of parity on biological aging</w:t>
      </w:r>
      <w:r>
        <w:t xml:space="preserve">, years since last birth was calculated for women across all survey cycles as age of last live birth subtracted from current chronological age. To assess potential </w:t>
      </w:r>
      <w:r w:rsidR="00C079F9">
        <w:t>transient</w:t>
      </w:r>
      <w:r>
        <w:t xml:space="preserve"> effects data on months since </w:t>
      </w:r>
      <w:r>
        <w:lastRenderedPageBreak/>
        <w:t xml:space="preserve">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w:t>
      </w:r>
      <w:r w:rsidR="002533E0">
        <w:t>-</w:t>
      </w:r>
      <w:r w:rsidR="0054697D">
        <w:t>menopausal women only</w:t>
      </w:r>
      <w:r>
        <w:t xml:space="preserve"> since data on months since last birth were not available for any post</w:t>
      </w:r>
      <w:r w:rsidR="002533E0">
        <w:t>-</w:t>
      </w:r>
      <w:r>
        <w:t xml:space="preserve">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0B06E18C" w:rsidR="00DA7505" w:rsidRPr="00B71895" w:rsidRDefault="00DA7505" w:rsidP="00DA7505">
      <w:pPr>
        <w:shd w:val="clear" w:color="auto" w:fill="FFFFFF"/>
        <w:spacing w:line="480" w:lineRule="auto"/>
        <w:rPr>
          <w:i/>
          <w:iCs/>
          <w:highlight w:val="yellow"/>
        </w:rPr>
      </w:pPr>
      <w:bookmarkStart w:id="8" w:name="_Hlk54186205"/>
      <w:r w:rsidRPr="00B71895">
        <w:rPr>
          <w:i/>
          <w:iCs/>
          <w:highlight w:val="yellow"/>
        </w:rPr>
        <w:t>Differences between pre</w:t>
      </w:r>
      <w:r w:rsidR="002533E0">
        <w:rPr>
          <w:i/>
          <w:iCs/>
          <w:highlight w:val="yellow"/>
        </w:rPr>
        <w:t>-</w:t>
      </w:r>
      <w:r w:rsidRPr="00B71895">
        <w:rPr>
          <w:i/>
          <w:iCs/>
          <w:highlight w:val="yellow"/>
        </w:rPr>
        <w:t>menopausal and post</w:t>
      </w:r>
      <w:r w:rsidR="002533E0">
        <w:rPr>
          <w:i/>
          <w:iCs/>
          <w:highlight w:val="yellow"/>
        </w:rPr>
        <w:t>-</w:t>
      </w:r>
      <w:r w:rsidRPr="00B71895">
        <w:rPr>
          <w:i/>
          <w:iCs/>
          <w:highlight w:val="yellow"/>
        </w:rPr>
        <w:t>menopausal women</w:t>
      </w:r>
    </w:p>
    <w:p w14:paraId="5CC6F4CE" w14:textId="069E43E2"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When adjusting for demographic differences, pre</w:t>
      </w:r>
      <w:r w:rsidR="002533E0">
        <w:rPr>
          <w:highlight w:val="yellow"/>
        </w:rPr>
        <w:t>-</w:t>
      </w:r>
      <w:r w:rsidRPr="00B71895">
        <w:rPr>
          <w:highlight w:val="yellow"/>
        </w:rPr>
        <w:t>menopausal women exhibited significantly lower LM and KDM biological age acceleration relative to post</w:t>
      </w:r>
      <w:r w:rsidR="002533E0">
        <w:rPr>
          <w:highlight w:val="yellow"/>
        </w:rPr>
        <w:t>-</w:t>
      </w:r>
      <w:r w:rsidRPr="00B71895">
        <w:rPr>
          <w:highlight w:val="yellow"/>
        </w:rPr>
        <w:t>menopausal women.</w:t>
      </w:r>
    </w:p>
    <w:p w14:paraId="5E101550" w14:textId="77777777" w:rsidR="00DA7505" w:rsidRDefault="00DA7505" w:rsidP="008406FB">
      <w:pPr>
        <w:shd w:val="clear" w:color="auto" w:fill="FFFFFF"/>
        <w:spacing w:line="480" w:lineRule="auto"/>
      </w:pPr>
    </w:p>
    <w:p w14:paraId="567DC6C0" w14:textId="5F248239" w:rsidR="003811F0" w:rsidRPr="00B71895" w:rsidRDefault="003811F0" w:rsidP="008406FB">
      <w:pPr>
        <w:shd w:val="clear" w:color="auto" w:fill="FFFFFF"/>
        <w:spacing w:line="480" w:lineRule="auto"/>
        <w:rPr>
          <w:i/>
          <w:iCs/>
          <w:highlight w:val="yellow"/>
        </w:rPr>
      </w:pPr>
      <w:r w:rsidRPr="00B71895">
        <w:rPr>
          <w:i/>
          <w:iCs/>
          <w:highlight w:val="yellow"/>
        </w:rPr>
        <w:t>Pre</w:t>
      </w:r>
      <w:r w:rsidR="002533E0">
        <w:rPr>
          <w:i/>
          <w:iCs/>
          <w:highlight w:val="yellow"/>
        </w:rPr>
        <w:t>-</w:t>
      </w:r>
      <w:r w:rsidRPr="00B71895">
        <w:rPr>
          <w:i/>
          <w:iCs/>
          <w:highlight w:val="yellow"/>
        </w:rPr>
        <w:t xml:space="preserve">menopausal women </w:t>
      </w:r>
    </w:p>
    <w:p w14:paraId="3F3A0098" w14:textId="16F675C2"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00764EF3">
        <w:rPr>
          <w:highlight w:val="yellow"/>
        </w:rPr>
        <w:t xml:space="preserve">squared term, or </w:t>
      </w:r>
      <w:r w:rsidRPr="00B71895">
        <w:rPr>
          <w:highlight w:val="yellow"/>
        </w:rPr>
        <w:t>quadratic effect</w:t>
      </w:r>
      <w:r w:rsidR="00764EF3">
        <w:rPr>
          <w:highlight w:val="yellow"/>
        </w:rPr>
        <w:t>,</w:t>
      </w:r>
      <w:r w:rsidRPr="00B71895">
        <w:rPr>
          <w:highlight w:val="yellow"/>
        </w:rPr>
        <w:t xml:space="preserve">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in pre</w:t>
      </w:r>
      <w:r w:rsidR="002533E0">
        <w:rPr>
          <w:highlight w:val="yellow"/>
        </w:rPr>
        <w:t>-</w:t>
      </w:r>
      <w:r w:rsidR="009C2E93" w:rsidRPr="00B71895">
        <w:rPr>
          <w:highlight w:val="yellow"/>
        </w:rPr>
        <w:t xml:space="preserv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proofErr w:type="gramStart"/>
      <w:r w:rsidR="002C760A" w:rsidRPr="00B71895">
        <w:rPr>
          <w:highlight w:val="yellow"/>
        </w:rPr>
        <w:t>Similar to</w:t>
      </w:r>
      <w:proofErr w:type="gramEnd"/>
      <w:r w:rsidR="002C760A" w:rsidRPr="00B71895">
        <w:rPr>
          <w:highlight w:val="yellow"/>
        </w:rPr>
        <w:t xml:space="preserve"> our primary analyses, the main effects of live births (both linear and quadratic terms) were not significant across all 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5F475E">
        <w:rPr>
          <w:highlight w:val="yellow"/>
        </w:rPr>
        <w:t xml:space="preserve">Repetition of these analyses in the primary analytical sample yielded the same pattern of results. </w:t>
      </w:r>
      <w:r w:rsidR="008406FB" w:rsidRPr="00B71895">
        <w:rPr>
          <w:highlight w:val="yellow"/>
        </w:rPr>
        <w:t xml:space="preserve">Of the </w:t>
      </w:r>
      <w:r w:rsidR="004E19F4" w:rsidRPr="00B71895">
        <w:rPr>
          <w:highlight w:val="yellow"/>
        </w:rPr>
        <w:t>2,166 pre</w:t>
      </w:r>
      <w:r w:rsidR="002533E0">
        <w:rPr>
          <w:highlight w:val="yellow"/>
        </w:rPr>
        <w:t>-</w:t>
      </w:r>
      <w:r w:rsidR="004E19F4" w:rsidRPr="00B71895">
        <w:rPr>
          <w:highlight w:val="yellow"/>
        </w:rPr>
        <w:t xml:space="preserve">menopausal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w:t>
      </w:r>
      <w:r w:rsidR="008406FB" w:rsidRPr="00B71895">
        <w:rPr>
          <w:highlight w:val="yellow"/>
        </w:rPr>
        <w:lastRenderedPageBreak/>
        <w:t xml:space="preserve">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07674324"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w:t>
      </w:r>
      <w:r w:rsidR="002533E0">
        <w:rPr>
          <w:highlight w:val="yellow"/>
        </w:rPr>
        <w:t>-</w:t>
      </w:r>
      <w:r w:rsidRPr="00B71895">
        <w:rPr>
          <w:highlight w:val="yellow"/>
        </w:rPr>
        <w:t>menopausal women, and excluded women sampled prior to this question being added in the 2007-2008 cycle.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r w:rsidR="002533E0">
        <w:rPr>
          <w:highlight w:val="yellow"/>
        </w:rPr>
        <w:t xml:space="preserve"> These results should be interpreted with caution given the small sample size.</w:t>
      </w:r>
    </w:p>
    <w:p w14:paraId="2E7C6EF4" w14:textId="76AAD7DF" w:rsidR="0069035A" w:rsidRPr="00B71895" w:rsidRDefault="0069035A" w:rsidP="008406FB">
      <w:pPr>
        <w:shd w:val="clear" w:color="auto" w:fill="FFFFFF"/>
        <w:spacing w:line="480" w:lineRule="auto"/>
        <w:rPr>
          <w:highlight w:val="yellow"/>
        </w:rPr>
      </w:pPr>
    </w:p>
    <w:p w14:paraId="516D5A8B" w14:textId="0BDFC46B" w:rsidR="0069035A" w:rsidRPr="00B71895" w:rsidRDefault="00D534A0" w:rsidP="008406FB">
      <w:pPr>
        <w:shd w:val="clear" w:color="auto" w:fill="FFFFFF"/>
        <w:spacing w:line="480" w:lineRule="auto"/>
        <w:rPr>
          <w:i/>
          <w:iCs/>
          <w:highlight w:val="yellow"/>
        </w:rPr>
      </w:pPr>
      <w:r w:rsidRPr="00B71895">
        <w:rPr>
          <w:i/>
          <w:iCs/>
          <w:highlight w:val="yellow"/>
        </w:rPr>
        <w:t>Post</w:t>
      </w:r>
      <w:r w:rsidR="002533E0">
        <w:rPr>
          <w:i/>
          <w:iCs/>
          <w:highlight w:val="yellow"/>
        </w:rPr>
        <w:t>-</w:t>
      </w:r>
      <w:r w:rsidRPr="00B71895">
        <w:rPr>
          <w:i/>
          <w:iCs/>
          <w:highlight w:val="yellow"/>
        </w:rPr>
        <w:t>menopausal women</w:t>
      </w:r>
    </w:p>
    <w:p w14:paraId="6335C6E7" w14:textId="1F02F80E" w:rsidR="0054697D" w:rsidRDefault="009C2E93" w:rsidP="0054697D">
      <w:pPr>
        <w:shd w:val="clear" w:color="auto" w:fill="FFFFFF"/>
        <w:spacing w:line="480" w:lineRule="auto"/>
      </w:pPr>
      <w:r w:rsidRPr="00B71895">
        <w:rPr>
          <w:highlight w:val="yellow"/>
        </w:rPr>
        <w:t>Primary models in post</w:t>
      </w:r>
      <w:r w:rsidR="002533E0">
        <w:rPr>
          <w:highlight w:val="yellow"/>
        </w:rPr>
        <w:t>-</w:t>
      </w:r>
      <w:r w:rsidRPr="00B71895">
        <w:rPr>
          <w:highlight w:val="yellow"/>
        </w:rPr>
        <w:t xml:space="preserve">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w:t>
      </w:r>
      <w:r w:rsidR="005F475E">
        <w:rPr>
          <w:highlight w:val="yellow"/>
        </w:rPr>
        <w:t xml:space="preserve">Repetition of these analyses in the primary analytical sample yielded the same pattern of results. </w:t>
      </w:r>
      <w:r w:rsidR="0054697D" w:rsidRPr="00B71895">
        <w:rPr>
          <w:highlight w:val="yellow"/>
        </w:rPr>
        <w:t>Of the 2,252 post</w:t>
      </w:r>
      <w:r w:rsidR="002533E0">
        <w:rPr>
          <w:highlight w:val="yellow"/>
        </w:rPr>
        <w:t>-</w:t>
      </w:r>
      <w:r w:rsidR="0054697D" w:rsidRPr="00B71895">
        <w:rPr>
          <w:highlight w:val="yellow"/>
        </w:rPr>
        <w:t>menopausal women in our primary analyses, data on years since last birth were available for 1,970. The average years since last birth was 36.09 (SE = 0.25). After correcting for multiple comparisons, the main effect of years since last live 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bookmarkEnd w:id="8"/>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1B69D907" w14:textId="7D0E47AE" w:rsidR="002533E0" w:rsidRDefault="002533E0" w:rsidP="002533E0">
      <w:pPr>
        <w:shd w:val="clear" w:color="auto" w:fill="FFFFFF"/>
        <w:spacing w:line="480" w:lineRule="auto"/>
      </w:pPr>
      <w:r>
        <w:t>We tested</w:t>
      </w:r>
      <w:r w:rsidR="008406FB">
        <w:t xml:space="preserve"> putative physiological costs of reproduction</w:t>
      </w:r>
      <w:r>
        <w:t xml:space="preserve"> using</w:t>
      </w:r>
      <w:r w:rsidR="008406FB">
        <w:t xml:space="preserve"> </w:t>
      </w:r>
      <w:r w:rsidR="007466FC">
        <w:t>four</w:t>
      </w:r>
      <w:r w:rsidR="008406FB">
        <w:t xml:space="preserve"> validated measures of biological age </w:t>
      </w:r>
      <w:r w:rsidR="007466FC">
        <w:t xml:space="preserve">and system integrity </w:t>
      </w:r>
      <w:r w:rsidR="008406FB">
        <w:t xml:space="preserve">among a </w:t>
      </w:r>
      <w:proofErr w:type="gramStart"/>
      <w:r w:rsidR="008406FB">
        <w:t>nationally-representative</w:t>
      </w:r>
      <w:proofErr w:type="gramEnd"/>
      <w:r w:rsidR="008406FB">
        <w:t xml:space="preserve"> sample of US women of reproductive and post-reproductive age. Based on </w:t>
      </w:r>
      <w:r>
        <w:t>epidemiological studies</w:t>
      </w:r>
      <w:r w:rsidR="008406FB">
        <w:t>, we hypothesized a U-shaped relationship between parity and biological age</w:t>
      </w:r>
      <w:r w:rsidR="008406FB" w:rsidRPr="002533E0">
        <w:t xml:space="preserve">. </w:t>
      </w:r>
      <w:r w:rsidRPr="002533E0">
        <w:rPr>
          <w:highlight w:val="yellow"/>
        </w:rPr>
        <w:t xml:space="preserve">Controlling for lifestyle, health-related, and demographic factors, we found evidence that parity is associated with all four measures of biological age among post-menopausal women, although this relationship was not significant for KDM after controlling for multiple comparisons. The relationship between parity and biological age in post-menopausal women is most consistent with a U-shaped pattern, with biological age acceleration reaching a minimum at </w:t>
      </w:r>
      <w:r w:rsidR="006A2E60">
        <w:rPr>
          <w:highlight w:val="yellow"/>
        </w:rPr>
        <w:t>3</w:t>
      </w:r>
      <w:r w:rsidRPr="002533E0">
        <w:rPr>
          <w:highlight w:val="yellow"/>
        </w:rPr>
        <w:t>-</w:t>
      </w:r>
      <w:r w:rsidR="006A2E60">
        <w:rPr>
          <w:highlight w:val="yellow"/>
        </w:rPr>
        <w:t>4</w:t>
      </w:r>
      <w:r w:rsidRPr="002533E0">
        <w:rPr>
          <w:highlight w:val="yellow"/>
        </w:rPr>
        <w:t xml:space="preserve"> live births and more pronounced aging at either extreme. </w:t>
      </w:r>
      <w:r w:rsidR="006A2E60">
        <w:rPr>
          <w:highlight w:val="yellow"/>
        </w:rPr>
        <w:t>P</w:t>
      </w:r>
      <w:r w:rsidRPr="002533E0">
        <w:rPr>
          <w:highlight w:val="yellow"/>
        </w:rPr>
        <w:t xml:space="preserve">arity was not associated with </w:t>
      </w:r>
      <w:r w:rsidR="00226DED">
        <w:rPr>
          <w:highlight w:val="yellow"/>
        </w:rPr>
        <w:t xml:space="preserve">any measure of </w:t>
      </w:r>
      <w:r w:rsidRPr="002533E0">
        <w:rPr>
          <w:highlight w:val="yellow"/>
        </w:rPr>
        <w:t xml:space="preserve">biological aging among pre-menopausal women. </w:t>
      </w:r>
      <w:r>
        <w:t xml:space="preserve">Our study represents the first application of biological age composites indexing system integrity (LM, HD, KDM, </w:t>
      </w:r>
      <w:r w:rsidRPr="007466FC">
        <w:rPr>
          <w:highlight w:val="yellow"/>
        </w:rPr>
        <w:t>AL</w:t>
      </w:r>
      <w:r>
        <w:t>) to quantify costs of reproduction in both pre- and post-menopausal women, and may help to elucidate some of the physiological processes bridging cellular and epidemiological findings relating parity with health and lifespan in women.</w:t>
      </w:r>
    </w:p>
    <w:p w14:paraId="0B3122BB" w14:textId="31BCB3EC" w:rsidR="006F65E2" w:rsidRDefault="006F65E2" w:rsidP="002533E0">
      <w:pPr>
        <w:shd w:val="clear" w:color="auto" w:fill="FFFFFF"/>
        <w:spacing w:line="480" w:lineRule="auto"/>
      </w:pPr>
    </w:p>
    <w:p w14:paraId="3F68724F" w14:textId="2E3A4CE1" w:rsidR="006F65E2" w:rsidRPr="00DB6B93" w:rsidRDefault="006F65E2" w:rsidP="006F65E2">
      <w:pPr>
        <w:shd w:val="clear" w:color="auto" w:fill="FFFFFF"/>
        <w:spacing w:line="480" w:lineRule="auto"/>
        <w:rPr>
          <w:highlight w:val="yellow"/>
        </w:rPr>
      </w:pPr>
      <w:r w:rsidRPr="00DB6B93">
        <w:rPr>
          <w:highlight w:val="yellow"/>
          <w:lang w:val="en-US"/>
        </w:rPr>
        <w:t xml:space="preserve">Our findings are broadly consistent with evolutionary theory </w:t>
      </w:r>
      <w:r w:rsidRPr="00DB6B93">
        <w:rPr>
          <w:highlight w:val="yellow"/>
          <w:lang w:val="en-US"/>
        </w:rPr>
        <w:fldChar w:fldCharType="begin" w:fldLock="1"/>
      </w:r>
      <w:r w:rsidRPr="00DB6B93">
        <w:rPr>
          <w:highlight w:val="yellow"/>
          <w:lang w:val="en-US"/>
        </w:rPr>
        <w:instrText>ADDIN CSL_CITATION {"citationItems":[{"id":"ITEM-1","itemData":{"author":[{"dropping-particle":"","family":"Kirkwood","given":"T.","non-dropping-particle":"","parse-names":false,"suffix":""}],"container-title":"Nature","id":"ITEM-1","issued":{"date-parts":[["1977"]]},"page":"301-304","title":"Evolution of ageing","type":"article-journal","volume":"5635"},"uris":["http://www.mendeley.com/documents/?uuid=74470d60-8efc-4861-935c-047b64df1940"]}],"mendeley":{"formattedCitation":"&lt;sup&gt;68&lt;/sup&gt;","plainTextFormattedCitation":"68","previouslyFormattedCitation":"&lt;sup&gt;68&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68</w:t>
      </w:r>
      <w:r w:rsidRPr="00DB6B93">
        <w:rPr>
          <w:highlight w:val="yellow"/>
          <w:lang w:val="en-US"/>
        </w:rPr>
        <w:fldChar w:fldCharType="end"/>
      </w:r>
      <w:r w:rsidRPr="00DB6B93">
        <w:rPr>
          <w:highlight w:val="yellow"/>
          <w:lang w:val="en-US"/>
        </w:rPr>
        <w:t>, studies of cellular aging and reproduction</w:t>
      </w:r>
      <w:r w:rsidRPr="00DB6B93">
        <w:rPr>
          <w:highlight w:val="yellow"/>
          <w:lang w:val="en-US"/>
        </w:rPr>
        <w:fldChar w:fldCharType="begin" w:fldLock="1"/>
      </w:r>
      <w:r w:rsidRPr="00DB6B93">
        <w:rPr>
          <w:highlight w:val="yellow"/>
          <w:lang w:val="en-US"/>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14</w:t>
      </w:r>
      <w:r w:rsidRPr="00DB6B93">
        <w:rPr>
          <w:highlight w:val="yellow"/>
          <w:lang w:val="en-US"/>
        </w:rPr>
        <w:fldChar w:fldCharType="end"/>
      </w:r>
      <w:r w:rsidRPr="00DB6B93">
        <w:rPr>
          <w:highlight w:val="yellow"/>
          <w:lang w:val="en-US"/>
        </w:rPr>
        <w:t xml:space="preserve">, and epidemiological studies </w:t>
      </w:r>
      <w:r w:rsidRPr="00DB6B93">
        <w:rPr>
          <w:highlight w:val="yellow"/>
          <w:lang w:val="en-US"/>
        </w:rPr>
        <w:fldChar w:fldCharType="begin" w:fldLock="1"/>
      </w:r>
      <w:r w:rsidRPr="00DB6B93">
        <w:rPr>
          <w:highlight w:val="yellow"/>
          <w:lang w:val="en-US"/>
        </w:rPr>
        <w:instrText>ADDIN CSL_CITATION {"citationItems":[{"id":"ITEM-1","itemData":{"DOI":"10.1016/j.neuroimage.2010.05.020","ISSN":"1053-8119","author":[{"dropping-particle":"","family":"Lv","given":"Bin","non-dropping-particle":"","parse-names":false,"suffix":""},{"dropping-particle":"","family":"Li","given":"Jing","non-dropping-particle":"","parse-names":false,"suffix":""},{"dropping-particle":"","family":"He","given":"Huiguang","non-dropping-particle":"","parse-names":false,"suffix":""},{"dropping-particle":"","family":"Li","given":"Meng","non-dropping-particle":"","parse-names":false,"suffix":""},{"dropping-particle":"","family":"Zhao","given":"Mingchang","non-dropping-particle":"","parse-names":false,"suffix":""},{"dropping-particle":"","family":"Ai","given":"Likun","non-dropping-particle":"","parse-names":false,"suffix":""},{"dropping-particle":"","family":"Yan","given":"Fei","non-dropping-particle":"","parse-names":false,"suffix":""},{"dropping-particle":"","family":"Xian","given":"Junfang","non-dropping-particle":"","parse-names":false,"suffix":""},{"dropping-particle":"","family":"Wang","given":"Zhenchang","non-dropping-particle":"","parse-names":false,"suffix":""}],"container-title":"NeuroImage","id":"ITEM-1","issue":"2","issued":{"date-parts":[["2010"]]},"page":"373-382","publisher":"Elsevier B.V.","title":"NeuroImage Gender consistency and difference in healthy adults revealed by cortical thickness","type":"article-journal","volume":"53"},"uris":["http://www.mendeley.com/documents/?uuid=7275856d-906b-49ab-890c-c13970712a53"]},{"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32,69&lt;/sup&gt;","plainTextFormattedCitation":"32,69","previouslyFormattedCitation":"&lt;sup&gt;32,69&lt;/sup&gt;"},"properties":{"noteIndex":0},"schema":"https://github.com/citation-style-language/schema/raw/master/csl-citation.json"}</w:instrText>
      </w:r>
      <w:r w:rsidRPr="00DB6B93">
        <w:rPr>
          <w:highlight w:val="yellow"/>
          <w:lang w:val="en-US"/>
        </w:rPr>
        <w:fldChar w:fldCharType="separate"/>
      </w:r>
      <w:r w:rsidRPr="00DB6B93">
        <w:rPr>
          <w:noProof/>
          <w:highlight w:val="yellow"/>
          <w:vertAlign w:val="superscript"/>
          <w:lang w:val="en-US"/>
        </w:rPr>
        <w:t>32,69</w:t>
      </w:r>
      <w:r w:rsidRPr="00DB6B93">
        <w:rPr>
          <w:highlight w:val="yellow"/>
          <w:lang w:val="en-US"/>
        </w:rPr>
        <w:fldChar w:fldCharType="end"/>
      </w:r>
      <w:r w:rsidRPr="00DB6B93">
        <w:rPr>
          <w:highlight w:val="yellow"/>
          <w:lang w:val="en-US"/>
        </w:rPr>
        <w:t xml:space="preserve">. Despite evidence supporting costs of reproduction in women from each of these research domains, the physiological processes underlying such costs are still unclear. </w:t>
      </w:r>
      <w:r w:rsidRPr="00DB6B93">
        <w:rPr>
          <w:highlight w:val="yellow"/>
        </w:rPr>
        <w:t>The composite measures used in our analysis were constructed using clinical markers of metabolic health (glucose), kidney and liver function (creatinine, albumin, alkaline phosphatase), anemia and/or red blood cell disorders (mean cell volume, red blood cell distribution width), and immune function and inflammation (CRP, lymphocyte percent, white blood cell count). Despite each composite measure weighting these clinical markers differently, we found evidence for a relationship between parity and</w:t>
      </w:r>
      <w:r w:rsidR="003115A3" w:rsidRPr="00DB6B93">
        <w:rPr>
          <w:highlight w:val="yellow"/>
        </w:rPr>
        <w:t xml:space="preserve"> accelerated</w:t>
      </w:r>
      <w:r w:rsidRPr="00DB6B93">
        <w:rPr>
          <w:highlight w:val="yellow"/>
        </w:rPr>
        <w:t xml:space="preserve"> biological aging in post-menopausal women using all four composite </w:t>
      </w:r>
      <w:r w:rsidRPr="00DB6B93">
        <w:rPr>
          <w:highlight w:val="yellow"/>
        </w:rPr>
        <w:lastRenderedPageBreak/>
        <w:t xml:space="preserve">measures. This suggests that parity is associated with dysregulation across a broad range of physiological systems in post-menopausal women. Such </w:t>
      </w:r>
      <w:r w:rsidR="003115A3" w:rsidRPr="00DB6B93">
        <w:rPr>
          <w:highlight w:val="yellow"/>
        </w:rPr>
        <w:t>broad</w:t>
      </w:r>
      <w:r w:rsidRPr="00DB6B93">
        <w:rPr>
          <w:highlight w:val="yellow"/>
        </w:rPr>
        <w:t xml:space="preserve"> physiological consequences of parity is consistent with the widespread metabolic, immunological, and endocrinological changes that accompany pregnancy and lactation, as well as the diverse disease risks that are both positively and negatively associated with parity in women </w:t>
      </w:r>
      <w:r w:rsidRPr="00DB6B93">
        <w:rPr>
          <w:highlight w:val="yellow"/>
        </w:rPr>
        <w:fldChar w:fldCharType="begin" w:fldLock="1"/>
      </w:r>
      <w:r w:rsidRPr="00DB6B93">
        <w:rPr>
          <w:highlight w:val="yellow"/>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mendeley":{"formattedCitation":"&lt;sup&gt;26&lt;/sup&gt;","plainTextFormattedCitation":"26","previouslyFormattedCitation":"&lt;sup&gt;26&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26</w:t>
      </w:r>
      <w:r w:rsidRPr="00DB6B93">
        <w:rPr>
          <w:highlight w:val="yellow"/>
        </w:rPr>
        <w:fldChar w:fldCharType="end"/>
      </w:r>
      <w:r w:rsidRPr="00DB6B93">
        <w:rPr>
          <w:highlight w:val="yellow"/>
        </w:rPr>
        <w:t>. Additional research focusing on the effect of parity on the individual clinical markers used in our composite measures will be an important next step in resolving the relative contributions of different physiological processes to parity-induced biological ag</w:t>
      </w:r>
      <w:r w:rsidR="003115A3" w:rsidRPr="00DB6B93">
        <w:rPr>
          <w:highlight w:val="yellow"/>
        </w:rPr>
        <w:t>e acceleration</w:t>
      </w:r>
      <w:r w:rsidRPr="00DB6B93">
        <w:rPr>
          <w:highlight w:val="yellow"/>
        </w:rPr>
        <w:t xml:space="preserve"> in women.</w:t>
      </w:r>
    </w:p>
    <w:p w14:paraId="2F4F34D6" w14:textId="63A48F93" w:rsidR="006F65E2" w:rsidRPr="00DB6B93" w:rsidRDefault="006F65E2" w:rsidP="002533E0">
      <w:pPr>
        <w:shd w:val="clear" w:color="auto" w:fill="FFFFFF"/>
        <w:spacing w:line="480" w:lineRule="auto"/>
        <w:rPr>
          <w:highlight w:val="yellow"/>
        </w:rPr>
      </w:pPr>
    </w:p>
    <w:p w14:paraId="716138C4" w14:textId="4BC4745E" w:rsidR="006F65E2" w:rsidRPr="00DB6B93" w:rsidRDefault="006F65E2" w:rsidP="006F65E2">
      <w:pPr>
        <w:shd w:val="clear" w:color="auto" w:fill="FFFFFF"/>
        <w:spacing w:line="480" w:lineRule="auto"/>
        <w:rPr>
          <w:highlight w:val="yellow"/>
        </w:rPr>
      </w:pPr>
      <w:r w:rsidRPr="00DB6B93">
        <w:rPr>
          <w:highlight w:val="yellow"/>
        </w:rPr>
        <w:t xml:space="preserve">We also found evidence for a non-linear increase in biological age with parity, as evidenced by the quadratic term in our models. This is consistent with several large meta-analyses examining the relationship between parity and cardiovascular disease </w:t>
      </w:r>
      <w:r w:rsidRPr="00DB6B93">
        <w:rPr>
          <w:highlight w:val="yellow"/>
        </w:rPr>
        <w:fldChar w:fldCharType="begin" w:fldLock="1"/>
      </w:r>
      <w:r w:rsidRPr="00DB6B93">
        <w:rPr>
          <w:highlight w:val="yellow"/>
        </w:rPr>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34</w:t>
      </w:r>
      <w:r w:rsidRPr="00DB6B93">
        <w:rPr>
          <w:highlight w:val="yellow"/>
        </w:rPr>
        <w:fldChar w:fldCharType="end"/>
      </w:r>
      <w:r w:rsidRPr="00DB6B93">
        <w:rPr>
          <w:highlight w:val="yellow"/>
        </w:rPr>
        <w:t xml:space="preserve"> and all-cause mortality </w:t>
      </w:r>
      <w:r w:rsidRPr="00DB6B93">
        <w:rPr>
          <w:highlight w:val="yellow"/>
        </w:rPr>
        <w:fldChar w:fldCharType="begin" w:fldLock="1"/>
      </w:r>
      <w:r w:rsidRPr="00DB6B93">
        <w:rPr>
          <w:highlight w:val="yellow"/>
        </w:rPr>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mendeley":{"formattedCitation":"&lt;sup&gt;32&lt;/sup&gt;","plainTextFormattedCitation":"32","previouslyFormattedCitation":"&lt;sup&gt;32&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32</w:t>
      </w:r>
      <w:r w:rsidRPr="00DB6B93">
        <w:rPr>
          <w:highlight w:val="yellow"/>
        </w:rPr>
        <w:fldChar w:fldCharType="end"/>
      </w:r>
      <w:r w:rsidRPr="00DB6B93">
        <w:rPr>
          <w:highlight w:val="yellow"/>
        </w:rPr>
        <w:t xml:space="preserve">. The fact that these and other large studies </w:t>
      </w:r>
      <w:r w:rsidRPr="00DB6B93">
        <w:rPr>
          <w:highlight w:val="yellow"/>
        </w:rPr>
        <w:fldChar w:fldCharType="begin" w:fldLock="1"/>
      </w:r>
      <w:r w:rsidRPr="00DB6B93">
        <w:rPr>
          <w:highlight w:val="yellow"/>
        </w:rPr>
        <w:instrText>ADDIN CSL_CITATION {"citationItems":[{"id":"ITEM-1","itemData":{"DOI":"10.1002/ajhb.20953","author":[{"dropping-particle":"","family":"Grundy","given":"Emily","non-dropping-particle":"","parse-names":false,"suffix":""}],"container-title":"American Journal of Human Biology","id":"ITEM-1","issued":{"date-parts":[["2009"]]},"page":"541-547","title":"Women’s Fertility and Mortality in Late Mid Life: A Comparison of Three Contemporary Populations","type":"article-journal","volume":"547"},"uris":["http://www.mendeley.com/documents/?uuid=e7a33319-0109-4760-a2de-89b48da767e3"]},{"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27,70&lt;/sup&gt;","plainTextFormattedCitation":"27,70","previouslyFormattedCitation":"&lt;sup&gt;27,70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27,70</w:t>
      </w:r>
      <w:r w:rsidRPr="00DB6B93">
        <w:rPr>
          <w:highlight w:val="yellow"/>
        </w:rPr>
        <w:fldChar w:fldCharType="end"/>
      </w:r>
      <w:r w:rsidRPr="00DB6B93">
        <w:rPr>
          <w:highlight w:val="yellow"/>
        </w:rPr>
        <w:t xml:space="preserve"> show clear non-linear curves similar to those reported here gives us confidence in the robustness of our findings. Nevertheless, the reasons for the U-shaped relationship between parity and health and mortality are still unclear. In some cases, higher mortality among nulliparous women may be tied to selection effects whereby women with long-term illnesses or health problems may be less likely to marry or bear children </w:t>
      </w:r>
      <w:r w:rsidRPr="00DB6B93">
        <w:rPr>
          <w:highlight w:val="yellow"/>
        </w:rPr>
        <w:fldChar w:fldCharType="begin" w:fldLock="1"/>
      </w:r>
      <w:r w:rsidRPr="00DB6B93">
        <w:rPr>
          <w:highlight w:val="yellow"/>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w:t>
      </w:r>
      <w:r w:rsidRPr="00DB6B93">
        <w:rPr>
          <w:highlight w:val="yellow"/>
        </w:rPr>
        <w:fldChar w:fldCharType="end"/>
      </w:r>
      <w:r w:rsidRPr="00DB6B93">
        <w:rPr>
          <w:highlight w:val="yellow"/>
        </w:rPr>
        <w:t xml:space="preserve">. Higher mortality among women bearing one child may similarly relate to long-term health issues, including those related to their first pregnancy </w:t>
      </w:r>
      <w:r w:rsidRPr="00DB6B93">
        <w:rPr>
          <w:highlight w:val="yellow"/>
        </w:rPr>
        <w:fldChar w:fldCharType="begin" w:fldLock="1"/>
      </w:r>
      <w:r w:rsidRPr="00DB6B93">
        <w:rPr>
          <w:highlight w:val="yellow"/>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w:t>
      </w:r>
      <w:r w:rsidRPr="00DB6B93">
        <w:rPr>
          <w:highlight w:val="yellow"/>
        </w:rPr>
        <w:fldChar w:fldCharType="end"/>
      </w:r>
      <w:r w:rsidRPr="00DB6B93">
        <w:rPr>
          <w:highlight w:val="yellow"/>
        </w:rPr>
        <w:t xml:space="preserve">. Women with no children or only one child may also experience lower levels of social support </w:t>
      </w:r>
      <w:r w:rsidRPr="00DB6B93">
        <w:rPr>
          <w:highlight w:val="yellow"/>
        </w:rPr>
        <w:fldChar w:fldCharType="begin" w:fldLock="1"/>
      </w:r>
      <w:r w:rsidRPr="00DB6B93">
        <w:rPr>
          <w:highlight w:val="yellow"/>
        </w:rPr>
        <w:instrText>ADDIN CSL_CITATION {"citationItems":[{"id":"ITEM-1","itemData":{"DOI":"10.1093/humrep/del327","ISSN":"14602350","PMID":"16920722","abstract":"Background: Around 4% of all couples remain involuntarily childless. These people often experience insufficient social support, which further aggravates the distress symptoms such as physical health problems, anxiety, depression and complicated grief. This study investigates the association of coping style and the degree of satisfaction regarding social support from primary support groups with distress symptoms of involuntarily childless individuals. Materials and Methods: Subjects inthis cross-sectional study were people who wanted to have children with their partner but were unable to conceive and had acknowledged their involuntary childlessness. The sample consisted of 116 persons (response 88%) with an average age of 39 years (SD = 6.0), with 75% women. The sample group completed a questionnaire consisting of passive and active coping styles from the Utrecht Coping List (UCL), the discrepancy variant of the Social Support List (SSL-D), the short version of the Questionnaire on Experienced Health Complaints (VOEG-21), the Hospital Anxiety and Depression Scale (HADS) and the Inventory of Complicated Grief-Revised (ICG-R), adapted for this study. Results: Women especially experienced more health complaints, more anxiety and depression symptoms and more complicated grief than the general population. Regression analysis shows that when controlled for sex and the duration of involuntary childlessness, the concepts passive coping style and dissatisfaction with social support were positively associated with health complaints, depression, anxiety and complicated grief. The concept active coping style was negatively associated with depression, anxiety and complicated grief. Explained variance of the different distress symptoms varied from 30 to 65%. A moderating association of perceived social support is only found between a passive coping style and health complaints. Conclusions: Psychosocial interventions should be continued after the childlessness has become definite. By teaching couples how to cope actively with their childlessness and how to ask for support, the negative consequences of their childlessness may be decreased. © 2007 Oxford University Press.","author":[{"dropping-particle":"","family":"Lechner","given":"Lilian","non-dropping-particle":"","parse-names":false,"suffix":""},{"dropping-particle":"","family":"Bolman","given":"C.","non-dropping-particle":"","parse-names":false,"suffix":""},{"dropping-particle":"","family":"Dalen","given":"A.","non-dropping-particle":"van","parse-names":false,"suffix":""}],"container-title":"Human Reproduction","id":"ITEM-1","issue":"1","issued":{"date-parts":[["2007"]]},"page":"288-294","title":"Definite involuntary childlessness: Associations between coping, social support and psychological distress","type":"article-journal","volume":"22"},"uris":["http://www.mendeley.com/documents/?uuid=668d7e57-ccfd-46ba-8e0a-814f52ee7520"]}],"mendeley":{"formattedCitation":"&lt;sup&gt;71&lt;/sup&gt;","plainTextFormattedCitation":"71","previouslyFormattedCitation":"&lt;sup&gt;71&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71</w:t>
      </w:r>
      <w:r w:rsidRPr="00DB6B93">
        <w:rPr>
          <w:highlight w:val="yellow"/>
        </w:rPr>
        <w:fldChar w:fldCharType="end"/>
      </w:r>
      <w:r w:rsidRPr="00DB6B93">
        <w:rPr>
          <w:highlight w:val="yellow"/>
        </w:rPr>
        <w:t xml:space="preserve">, which could have negative consequences on health later on in life </w:t>
      </w:r>
      <w:r w:rsidRPr="00DB6B93">
        <w:rPr>
          <w:highlight w:val="yellow"/>
        </w:rPr>
        <w:fldChar w:fldCharType="begin" w:fldLock="1"/>
      </w:r>
      <w:r w:rsidR="005719CF" w:rsidRPr="00DB6B93">
        <w:rPr>
          <w:highlight w:val="yellow"/>
        </w:rPr>
        <w:instrText>ADDIN CSL_CITATION {"citationItems":[{"id":"ITEM-1","itemData":{"DOI":"10.1007/BF00846149","ISSN":"01607715","PMID":"7338894","abstract":"Social support research has been hampered by a lack of clarity both in the definitions of social support and in the conceptualization of its effects on health outcomes. The present study compared social network size and three types of perceived social support-tangible, emotional, and informational -in relation to stressful life events, psychological symptoms and morale, and physical health status in a sample of 100 persons 45-64 years old. Social network size was empirically separable from, though correlated with, perceived social support and had a weaker overall relationship to outcomes than did support. Low tangible support and emotional support, in addition to certain life events, were independently related to depression and negative morale; informational support was associated with positive morale. Neither social support nor stressful life events were associated with physical health. It was concluded that social support research would benefit from attention to the multidimensionality of support and greater specificity in hypotheses about the relationship between types of support and adaptational outcomes. © 1981 Plenum Publishing Corporation.","author":[{"dropping-particle":"","family":"Schaefer","given":"Catherine","non-dropping-particle":"","parse-names":false,"suffix":""},{"dropping-particle":"","family":"Coyne","given":"James C.","non-dropping-particle":"","parse-names":false,"suffix":""},{"dropping-particle":"","family":"Lazarus","given":"Richard S.","non-dropping-particle":"","parse-names":false,"suffix":""}],"container-title":"Journal of Behavioral Medicine","id":"ITEM-1","issue":"4","issued":{"date-parts":[["1981"]]},"page":"381-406","title":"The health-related functions of social support","type":"article-journal","volume":"4"},"uris":["http://www.mendeley.com/documents/?uuid=5849e684-699e-41d0-8511-2148408a65c7"]}],"mendeley":{"formattedCitation":"&lt;sup&gt;72&lt;/sup&gt;","plainTextFormattedCitation":"72","previouslyFormattedCitation":"&lt;sup&gt;72&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72</w:t>
      </w:r>
      <w:r w:rsidRPr="00DB6B93">
        <w:rPr>
          <w:highlight w:val="yellow"/>
        </w:rPr>
        <w:fldChar w:fldCharType="end"/>
      </w:r>
      <w:r w:rsidRPr="00DB6B93">
        <w:rPr>
          <w:highlight w:val="yellow"/>
        </w:rPr>
        <w:t>. Additional work to help disentangle the social and environmental factors that are associated with nulliparity or single parity is warranted.</w:t>
      </w:r>
    </w:p>
    <w:p w14:paraId="3B24DB0F" w14:textId="3A263684" w:rsidR="006F65E2" w:rsidRPr="00DB6B93" w:rsidRDefault="006F65E2" w:rsidP="002533E0">
      <w:pPr>
        <w:shd w:val="clear" w:color="auto" w:fill="FFFFFF"/>
        <w:spacing w:line="480" w:lineRule="auto"/>
        <w:rPr>
          <w:highlight w:val="yellow"/>
        </w:rPr>
      </w:pPr>
    </w:p>
    <w:p w14:paraId="670641D0" w14:textId="7051057E" w:rsidR="006F65E2" w:rsidRPr="00DB6B93" w:rsidRDefault="006F65E2" w:rsidP="002533E0">
      <w:pPr>
        <w:shd w:val="clear" w:color="auto" w:fill="FFFFFF"/>
        <w:spacing w:line="480" w:lineRule="auto"/>
        <w:rPr>
          <w:highlight w:val="yellow"/>
        </w:rPr>
      </w:pPr>
      <w:r w:rsidRPr="00DB6B93">
        <w:rPr>
          <w:highlight w:val="yellow"/>
        </w:rPr>
        <w:t xml:space="preserve">Another explanation for the non-linear relationship between parity and biological age described here may include the interaction of countervailing physiological changes on our measures of biological aging. For example, risk increases with parity for many (i.e. CVD, diabetes, kidney cancer, hypertension, gallbladder cancer), but not all diseases (i.e. respiratory disease, breast, ovarian, </w:t>
      </w:r>
      <w:r w:rsidRPr="00DB6B93">
        <w:rPr>
          <w:highlight w:val="yellow"/>
        </w:rPr>
        <w:lastRenderedPageBreak/>
        <w:t>endometrial cancer)</w:t>
      </w:r>
      <w:r w:rsidR="005719CF" w:rsidRPr="00DB6B93">
        <w:rPr>
          <w:highlight w:val="yellow"/>
        </w:rPr>
        <w:t xml:space="preserve"> </w:t>
      </w:r>
      <w:r w:rsidR="005719CF" w:rsidRPr="00DB6B93">
        <w:rPr>
          <w:highlight w:val="yellow"/>
        </w:rPr>
        <w:fldChar w:fldCharType="begin" w:fldLock="1"/>
      </w:r>
      <w:r w:rsidR="005719CF" w:rsidRPr="00DB6B93">
        <w:rPr>
          <w:highlight w:val="yellow"/>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26,31&lt;/sup&gt;","plainTextFormattedCitation":"26,31","previouslyFormattedCitation":"&lt;sup&gt;26,31&lt;/sup&gt;"},"properties":{"noteIndex":0},"schema":"https://github.com/citation-style-language/schema/raw/master/csl-citation.json"}</w:instrText>
      </w:r>
      <w:r w:rsidR="005719CF" w:rsidRPr="00DB6B93">
        <w:rPr>
          <w:highlight w:val="yellow"/>
        </w:rPr>
        <w:fldChar w:fldCharType="separate"/>
      </w:r>
      <w:r w:rsidR="005719CF" w:rsidRPr="00DB6B93">
        <w:rPr>
          <w:noProof/>
          <w:highlight w:val="yellow"/>
          <w:vertAlign w:val="superscript"/>
        </w:rPr>
        <w:t>26,31</w:t>
      </w:r>
      <w:r w:rsidR="005719CF" w:rsidRPr="00DB6B93">
        <w:rPr>
          <w:highlight w:val="yellow"/>
        </w:rPr>
        <w:fldChar w:fldCharType="end"/>
      </w:r>
      <w:r w:rsidR="005719CF" w:rsidRPr="00DB6B93">
        <w:rPr>
          <w:highlight w:val="yellow"/>
        </w:rPr>
        <w:t>.</w:t>
      </w:r>
      <w:r w:rsidRPr="00DB6B93">
        <w:rPr>
          <w:highlight w:val="yellow"/>
        </w:rPr>
        <w:t xml:space="preserve"> The non-linear relationship we observe between parity and biological age may therefore reflect the cumulative effect of both beneficial and harmful physiological accommodations necessary for reproduction in women, no doubt also mediated by individual risk factors tied to genetic variation, environment, or lifestyle.</w:t>
      </w:r>
    </w:p>
    <w:p w14:paraId="36AE3FAC" w14:textId="77777777" w:rsidR="006F65E2" w:rsidRPr="00DB6B93" w:rsidRDefault="006F65E2" w:rsidP="002533E0">
      <w:pPr>
        <w:shd w:val="clear" w:color="auto" w:fill="FFFFFF"/>
        <w:spacing w:line="480" w:lineRule="auto"/>
        <w:rPr>
          <w:highlight w:val="yellow"/>
        </w:rPr>
      </w:pPr>
    </w:p>
    <w:p w14:paraId="5236A56B" w14:textId="07D3E07C" w:rsidR="005719CF" w:rsidRPr="00DB6B93" w:rsidRDefault="005719CF" w:rsidP="005719CF">
      <w:pPr>
        <w:shd w:val="clear" w:color="auto" w:fill="FFFFFF"/>
        <w:spacing w:line="480" w:lineRule="auto"/>
        <w:rPr>
          <w:highlight w:val="yellow"/>
        </w:rPr>
      </w:pPr>
      <w:bookmarkStart w:id="9" w:name="_Hlk54186540"/>
      <w:r w:rsidRPr="00DB6B93">
        <w:rPr>
          <w:highlight w:val="yellow"/>
        </w:rPr>
        <w:t xml:space="preserve">That parity was not associated with biological age in pre-menopausal women along with the fact that time since last birth did not predict biological age acceleration in either pre- or post-menopausal women supports the argument that the effects of parity are durable, and not simply short-term physiological changes associated with pregnancy and breastfeeding. </w:t>
      </w:r>
      <w:bookmarkEnd w:id="9"/>
      <w:r w:rsidRPr="00DB6B93">
        <w:rPr>
          <w:highlight w:val="yellow"/>
        </w:rPr>
        <w:t xml:space="preserve">The reasons for our findings being limited to post-menopausal women are unclear, but are in accordance with research in both historical populations </w:t>
      </w:r>
      <w:r w:rsidRPr="00DB6B93">
        <w:rPr>
          <w:highlight w:val="yellow"/>
        </w:rPr>
        <w:fldChar w:fldCharType="begin" w:fldLock="1"/>
      </w:r>
      <w:r w:rsidRPr="00DB6B93">
        <w:rPr>
          <w:highlight w:val="yellow"/>
        </w:rPr>
        <w:instrText>ADDIN CSL_CITATION {"citationItems":[{"id":"ITEM-1","itemData":{"DOI":"10.1002/ajhb.20893.Is","author":[{"dropping-particle":"","family":"Gagnon","given":"Alain","non-dropping-particle":"","parse-names":false,"suffix":""},{"dropping-particle":"","family":"Smith","given":"K E N R","non-dropping-particle":"","parse-names":false,"suffix":""},{"dropping-particle":"","family":"Tremblay","given":"Marc","non-dropping-particle":"","parse-names":false,"suffix":""},{"dropping-particle":"","family":"Vézina","given":"Hélène","non-dropping-particle":"","parse-names":false,"suffix":""},{"dropping-particle":"","family":"Paré","given":"Philippe","non-dropping-particle":"","parse-names":false,"suffix":""},{"dropping-particle":"","family":"Desjardins","given":"Bertrand","non-dropping-particle":"","parse-names":false,"suffix":""}],"container-title":"American Journal of Human Biology","id":"ITEM-1","issue":"4","issued":{"date-parts":[["2009"]]},"page":"533-540","title":"Is there a trade-off between fertility and longevity? A comparative study of women from three large historical databses accounting for mortality selection","type":"article-journal","volume":"21"},"uris":["http://www.mendeley.com/documents/?uuid=089261a8-23f3-42f6-8e3e-59f23bd3f1e4"]},{"id":"ITEM-2","itemData":{"author":[{"dropping-particle":"","family":"Westendorp","given":"R. G.","non-dropping-particle":"","parse-names":false,"suffix":""},{"dropping-particle":"","family":"Kirkwood","given":"T.","non-dropping-particle":"","parse-names":false,"suffix":""}],"container-title":"Nature","id":"ITEM-2","issued":{"date-parts":[["1998"]]},"page":"743-746","title":"Human longevity at the cost of reproductive success","type":"article-journal","volume":"396"},"uris":["http://www.mendeley.com/documents/?uuid=4e79cb2b-df63-410e-bf3e-21ac0950a825"]}],"mendeley":{"formattedCitation":"&lt;sup&gt;66,73&lt;/sup&gt;","plainTextFormattedCitation":"66,73","previouslyFormattedCitation":"&lt;sup&gt;66,73&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66,73</w:t>
      </w:r>
      <w:r w:rsidRPr="00DB6B93">
        <w:rPr>
          <w:highlight w:val="yellow"/>
        </w:rPr>
        <w:fldChar w:fldCharType="end"/>
      </w:r>
      <w:r w:rsidRPr="00DB6B93">
        <w:rPr>
          <w:highlight w:val="yellow"/>
        </w:rPr>
        <w:t xml:space="preserve"> and contemporary epidemiological studies, where the relationship between parity and disease risk appears more commonly among older cohorts </w:t>
      </w:r>
      <w:r w:rsidRPr="00DB6B93">
        <w:rPr>
          <w:highlight w:val="yellow"/>
        </w:rPr>
        <w:fldChar w:fldCharType="begin" w:fldLock="1"/>
      </w:r>
      <w:r w:rsidRPr="00DB6B93">
        <w:rPr>
          <w:highlight w:val="yellow"/>
        </w:rPr>
        <w:instrText>ADDIN CSL_CITATION {"citationItems":[{"id":"ITEM-1","itemData":{"DOI":"10.1093/aje/kwm295","ISSN":"00029262","PMID":"18000019","abstract":"There is growing recognition that reproductive patterns may have long-term health implications, although most evidence is restricted to women. The authors used register data to derive fertility histories for all Norwegian men and women born in 1935-1958. Discrete-time hazard modeling was used to analyze later-life mortality by aspects of reproductive history. A total of 63,312 deaths were observed during 14.5 million person-years of follow-up in 1980-2003, when subjects were aged 45-68 years. Models included detailed information on educational qualifications and marital status. Odds of death relative to those for subjects with two children were highest for the childless (women: odds ratio (OR) = 1.50, 95% confidence interval (CI): 1.43, 1.57; men: OR = 1.35, 95% CI: 1.30, 1.40) and next highest for those with only one child (women: OR = 1.31, 95% CI: 1.26, 1.37; men: OR = 1.20, 95% CI: 1.16, 1.24). Results for the parous showed a positive association between earlier parenthood and later mortality, a reverse association with late age at last birth, and an overall negative association between higher parity and mortality. The similarity of results for women and men suggests biosocial pathways underlying associations between reproductive history and health. The lack of any high-parity disadvantage suggests that in the \"family friendly\" Norwegian environment, the health benefits of having several children may outweigh the costs. © The Author 2007. Published by the Johns Hopkins Bloomberg School of Public Health. All rights reserved.","author":[{"dropping-particle":"","family":"Grundy","given":"Emily","non-dropping-particle":"","parse-names":false,"suffix":""},{"dropping-particle":"","family":"Kravdal","given":"Øystein","non-dropping-particle":"","parse-names":false,"suffix":""}],"container-title":"American Journal of Epidemiology","id":"ITEM-1","issue":"3","issued":{"date-parts":[["2008"]]},"page":"271-279","title":"Reproductive history and mortality in late middle age among Norwegian men and women","type":"article-journal","volume":"167"},"uris":["http://www.mendeley.com/documents/?uuid=440ae10b-6c6d-4562-afa4-6b2065ffdbf5"]},{"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70,74&lt;/sup&gt;","plainTextFormattedCitation":"70,74","previouslyFormattedCitation":"&lt;sup&gt;70,74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70,74</w:t>
      </w:r>
      <w:r w:rsidRPr="00DB6B93">
        <w:rPr>
          <w:highlight w:val="yellow"/>
        </w:rPr>
        <w:fldChar w:fldCharType="end"/>
      </w:r>
      <w:r w:rsidRPr="00DB6B93">
        <w:rPr>
          <w:highlight w:val="yellow"/>
        </w:rPr>
        <w:t xml:space="preserve">. </w:t>
      </w:r>
    </w:p>
    <w:p w14:paraId="5A62208F" w14:textId="77777777" w:rsidR="00331E34" w:rsidRPr="00DB6B93" w:rsidRDefault="00331E34" w:rsidP="00331E34">
      <w:pPr>
        <w:shd w:val="clear" w:color="auto" w:fill="FFFFFF"/>
        <w:spacing w:line="480" w:lineRule="auto"/>
        <w:rPr>
          <w:highlight w:val="yellow"/>
        </w:rPr>
      </w:pPr>
    </w:p>
    <w:p w14:paraId="5D92538D" w14:textId="14EFDEF1" w:rsidR="00331E34" w:rsidRPr="00DB6B93" w:rsidRDefault="00252639" w:rsidP="00331E34">
      <w:pPr>
        <w:shd w:val="clear" w:color="auto" w:fill="FFFFFF"/>
        <w:spacing w:line="480" w:lineRule="auto"/>
        <w:rPr>
          <w:highlight w:val="yellow"/>
        </w:rPr>
      </w:pPr>
      <w:r w:rsidRPr="00DB6B93">
        <w:rPr>
          <w:highlight w:val="yellow"/>
        </w:rPr>
        <w:t xml:space="preserve">It remains possible that parity does exert </w:t>
      </w:r>
      <w:r w:rsidR="007B2607" w:rsidRPr="00DB6B93">
        <w:rPr>
          <w:highlight w:val="yellow"/>
        </w:rPr>
        <w:t xml:space="preserve">durable </w:t>
      </w:r>
      <w:r w:rsidRPr="00DB6B93">
        <w:rPr>
          <w:highlight w:val="yellow"/>
        </w:rPr>
        <w:t xml:space="preserve">effects prior to menopause, but these effects are too benign to be detected by clinical based measures of biological aging. </w:t>
      </w:r>
      <w:r w:rsidR="00447C2C" w:rsidRPr="00DB6B93">
        <w:rPr>
          <w:highlight w:val="yellow"/>
        </w:rPr>
        <w:t>Notably</w:t>
      </w:r>
      <w:r w:rsidRPr="00DB6B93">
        <w:rPr>
          <w:highlight w:val="yellow"/>
        </w:rPr>
        <w:t>, o</w:t>
      </w:r>
      <w:r w:rsidR="00331E34" w:rsidRPr="00DB6B93">
        <w:rPr>
          <w:highlight w:val="yellow"/>
        </w:rPr>
        <w:t xml:space="preserve">ur findings in pre-menopausal are in contrast to </w:t>
      </w:r>
      <w:r w:rsidRPr="00DB6B93">
        <w:rPr>
          <w:highlight w:val="yellow"/>
        </w:rPr>
        <w:t>studies</w:t>
      </w:r>
      <w:r w:rsidR="00331E34" w:rsidRPr="00DB6B93">
        <w:rPr>
          <w:highlight w:val="yellow"/>
        </w:rPr>
        <w:t xml:space="preserve"> using measures of cellular aging, such as leukocyte telomere length and epigenetic age, which report evidence for a relationship between parity and accelerated cellular aging even among relatively young women </w:t>
      </w:r>
      <w:r w:rsidR="00331E34" w:rsidRPr="00DB6B93">
        <w:rPr>
          <w:highlight w:val="yellow"/>
        </w:rPr>
        <w:fldChar w:fldCharType="begin" w:fldLock="1"/>
      </w:r>
      <w:r w:rsidR="00331E34" w:rsidRPr="00DB6B93">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Reproduction","id":"ITEM-2","issue":"10","issued":{"date-parts":[["2019"]]},"page":"1965-1973","title":"Reproduction, DNA methylation and biological age","type":"article-journal","volume":"34"},"uris":["http://www.mendeley.com/documents/?uuid=69232213-f8e6-45f8-b70c-b711f3761dd8"]},{"id":"ITEM-3","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ONE","id":"ITEM-3","issue":"1","issued":{"date-parts":[["2016"]]},"page":"1-14","title":"Evidence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14,36,37&lt;/sup&gt;","plainTextFormattedCitation":"14,36,37","previouslyFormattedCitation":"&lt;sup&gt;14,36,37&lt;/sup&gt;"},"properties":{"noteIndex":0},"schema":"https://github.com/citation-style-language/schema/raw/master/csl-citation.json"}</w:instrText>
      </w:r>
      <w:r w:rsidR="00331E34" w:rsidRPr="00DB6B93">
        <w:rPr>
          <w:highlight w:val="yellow"/>
        </w:rPr>
        <w:fldChar w:fldCharType="separate"/>
      </w:r>
      <w:r w:rsidR="00331E34" w:rsidRPr="00DB6B93">
        <w:rPr>
          <w:noProof/>
          <w:highlight w:val="yellow"/>
          <w:vertAlign w:val="superscript"/>
        </w:rPr>
        <w:t>14,36,37</w:t>
      </w:r>
      <w:r w:rsidR="00331E34" w:rsidRPr="00DB6B93">
        <w:rPr>
          <w:highlight w:val="yellow"/>
        </w:rPr>
        <w:fldChar w:fldCharType="end"/>
      </w:r>
      <w:r w:rsidR="00331E34" w:rsidRPr="00DB6B93">
        <w:rPr>
          <w:highlight w:val="yellow"/>
        </w:rPr>
        <w:t xml:space="preserve">. Indeed, Pollack et al. </w:t>
      </w:r>
      <w:r w:rsidR="00331E34" w:rsidRPr="00DB6B93">
        <w:rPr>
          <w:highlight w:val="yellow"/>
        </w:rPr>
        <w:fldChar w:fldCharType="begin" w:fldLock="1"/>
      </w:r>
      <w:r w:rsidR="00331E34" w:rsidRPr="00DB6B93">
        <w:rPr>
          <w:highlight w:val="yellow"/>
        </w:rPr>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mendeley":{"formattedCitation":"&lt;sup&gt;13&lt;/sup&gt;","plainTextFormattedCitation":"13","previouslyFormattedCitation":"&lt;sup&gt;13&lt;/sup&gt;"},"properties":{"noteIndex":0},"schema":"https://github.com/citation-style-language/schema/raw/master/csl-citation.json"}</w:instrText>
      </w:r>
      <w:r w:rsidR="00331E34" w:rsidRPr="00DB6B93">
        <w:rPr>
          <w:highlight w:val="yellow"/>
        </w:rPr>
        <w:fldChar w:fldCharType="separate"/>
      </w:r>
      <w:r w:rsidR="00331E34" w:rsidRPr="00DB6B93">
        <w:rPr>
          <w:noProof/>
          <w:highlight w:val="yellow"/>
          <w:vertAlign w:val="superscript"/>
        </w:rPr>
        <w:t>13</w:t>
      </w:r>
      <w:r w:rsidR="00331E34" w:rsidRPr="00DB6B93">
        <w:rPr>
          <w:highlight w:val="yellow"/>
        </w:rPr>
        <w:fldChar w:fldCharType="end"/>
      </w:r>
      <w:r w:rsidR="00331E34" w:rsidRPr="00DB6B93">
        <w:rPr>
          <w:highlight w:val="yellow"/>
        </w:rPr>
        <w:t xml:space="preserve"> found evidence for accelerated aging in response to parity in the form of shortened leukocyte telomere length in women 20-44 from the same dataset used here. </w:t>
      </w:r>
      <w:r w:rsidR="00447C2C" w:rsidRPr="00DB6B93">
        <w:rPr>
          <w:highlight w:val="yellow"/>
        </w:rPr>
        <w:t>Thus,</w:t>
      </w:r>
      <w:r w:rsidR="00331E34" w:rsidRPr="00DB6B93">
        <w:rPr>
          <w:highlight w:val="yellow"/>
        </w:rPr>
        <w:t xml:space="preserve"> cellular measures may provide early indicators of health impacts of parity that may only be detectable in post-reproductive years using clinical measures. Additional </w:t>
      </w:r>
      <w:r w:rsidRPr="00DB6B93">
        <w:rPr>
          <w:highlight w:val="yellow"/>
        </w:rPr>
        <w:t xml:space="preserve">longitudinal </w:t>
      </w:r>
      <w:r w:rsidR="00331E34" w:rsidRPr="00DB6B93">
        <w:rPr>
          <w:highlight w:val="yellow"/>
        </w:rPr>
        <w:t xml:space="preserve">studies </w:t>
      </w:r>
      <w:r w:rsidRPr="00DB6B93">
        <w:rPr>
          <w:highlight w:val="yellow"/>
        </w:rPr>
        <w:t>investigating</w:t>
      </w:r>
      <w:r w:rsidR="00331E34" w:rsidRPr="00DB6B93">
        <w:rPr>
          <w:highlight w:val="yellow"/>
        </w:rPr>
        <w:t xml:space="preserve"> how these cellular measures of biological aging predict composite measures of biological aging </w:t>
      </w:r>
      <w:r w:rsidRPr="00DB6B93">
        <w:rPr>
          <w:highlight w:val="yellow"/>
        </w:rPr>
        <w:t xml:space="preserve">as individuals age </w:t>
      </w:r>
      <w:r w:rsidR="00331E34" w:rsidRPr="00DB6B93">
        <w:rPr>
          <w:highlight w:val="yellow"/>
        </w:rPr>
        <w:t>are therefore warranted.</w:t>
      </w:r>
    </w:p>
    <w:p w14:paraId="596C45DD" w14:textId="1142FE02" w:rsidR="005719CF" w:rsidRPr="00DB6B93" w:rsidRDefault="005719CF" w:rsidP="005719CF">
      <w:pPr>
        <w:shd w:val="clear" w:color="auto" w:fill="FFFFFF"/>
        <w:spacing w:line="480" w:lineRule="auto"/>
        <w:rPr>
          <w:highlight w:val="yellow"/>
        </w:rPr>
      </w:pPr>
    </w:p>
    <w:p w14:paraId="0269B47F" w14:textId="5F4D6EEE" w:rsidR="005719CF" w:rsidRDefault="005719CF" w:rsidP="005719CF">
      <w:pPr>
        <w:shd w:val="clear" w:color="auto" w:fill="FFFFFF"/>
        <w:spacing w:line="480" w:lineRule="auto"/>
      </w:pPr>
      <w:r w:rsidRPr="00DB6B93">
        <w:rPr>
          <w:highlight w:val="yellow"/>
        </w:rPr>
        <w:t xml:space="preserve">The reproductive-cell cycle theory of aging offers </w:t>
      </w:r>
      <w:r w:rsidR="007B2607" w:rsidRPr="00DB6B93">
        <w:rPr>
          <w:highlight w:val="yellow"/>
        </w:rPr>
        <w:t>a second</w:t>
      </w:r>
      <w:r w:rsidRPr="00DB6B93">
        <w:rPr>
          <w:highlight w:val="yellow"/>
        </w:rPr>
        <w:t xml:space="preserve"> potential explanation for parity-biological age acceleration relationships being present in post-, but not pre-menopausal, women.</w:t>
      </w:r>
      <w:r w:rsidR="00BA4601" w:rsidRPr="00DB6B93">
        <w:rPr>
          <w:highlight w:val="yellow"/>
        </w:rPr>
        <w:t xml:space="preserve"> </w:t>
      </w:r>
      <w:r w:rsidRPr="00DB6B93">
        <w:rPr>
          <w:highlight w:val="yellow"/>
        </w:rPr>
        <w:t xml:space="preserve">According to </w:t>
      </w:r>
      <w:r w:rsidR="003115A3" w:rsidRPr="00DB6B93">
        <w:rPr>
          <w:highlight w:val="yellow"/>
        </w:rPr>
        <w:lastRenderedPageBreak/>
        <w:t>this theory</w:t>
      </w:r>
      <w:r w:rsidRPr="00DB6B93">
        <w:rPr>
          <w:highlight w:val="yellow"/>
        </w:rPr>
        <w:t>, the protective forces acting to ensure survival during the reproductive stage of the lifespan are diminished in the post-menopausal period</w:t>
      </w:r>
      <w:r w:rsidRPr="00DB6B93">
        <w:rPr>
          <w:highlight w:val="yellow"/>
        </w:rPr>
        <w:fldChar w:fldCharType="begin" w:fldLock="1"/>
      </w:r>
      <w:r w:rsidRPr="00DB6B93">
        <w:rPr>
          <w:highlight w:val="yellow"/>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44</w:t>
      </w:r>
      <w:r w:rsidRPr="00DB6B93">
        <w:rPr>
          <w:highlight w:val="yellow"/>
        </w:rPr>
        <w:fldChar w:fldCharType="end"/>
      </w:r>
      <w:r w:rsidRPr="00DB6B93">
        <w:rPr>
          <w:highlight w:val="yellow"/>
        </w:rPr>
        <w:t>. Changes in hypothalamic-pituitary-gonadal (HPG) axis function</w:t>
      </w:r>
      <w:r w:rsidR="006A2E60" w:rsidRPr="00DB6B93">
        <w:rPr>
          <w:highlight w:val="yellow"/>
        </w:rPr>
        <w:t>ing</w:t>
      </w:r>
      <w:r w:rsidRPr="00DB6B93">
        <w:rPr>
          <w:highlight w:val="yellow"/>
        </w:rPr>
        <w:t xml:space="preserve"> associated with menopause are proposed as the proximate cause of the increased physiological dysregulation observed in women in their </w:t>
      </w:r>
      <w:r w:rsidR="006A2E60" w:rsidRPr="00DB6B93">
        <w:rPr>
          <w:highlight w:val="yellow"/>
        </w:rPr>
        <w:t>post</w:t>
      </w:r>
      <w:r w:rsidR="007B2607" w:rsidRPr="00DB6B93">
        <w:rPr>
          <w:highlight w:val="yellow"/>
        </w:rPr>
        <w:t>-</w:t>
      </w:r>
      <w:r w:rsidRPr="00DB6B93">
        <w:rPr>
          <w:highlight w:val="yellow"/>
        </w:rPr>
        <w:t xml:space="preserve">reproductive stage. It is hypothesized that the combination of higher levels of hypothalamic and pituitary hormones, coupled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osteoporosis, and cognitive decline </w:t>
      </w:r>
      <w:r w:rsidRPr="00DB6B93">
        <w:rPr>
          <w:highlight w:val="yellow"/>
        </w:rPr>
        <w:fldChar w:fldCharType="begin" w:fldLock="1"/>
      </w:r>
      <w:r w:rsidRPr="00DB6B93">
        <w:rPr>
          <w:highlight w:val="yellow"/>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75&lt;/sup&gt;","plainTextFormattedCitation":"75","previouslyFormattedCitation":"&lt;sup&gt;75&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75</w:t>
      </w:r>
      <w:r w:rsidRPr="00DB6B93">
        <w:rPr>
          <w:highlight w:val="yellow"/>
        </w:rPr>
        <w:fldChar w:fldCharType="end"/>
      </w:r>
      <w:r w:rsidR="00BA4601" w:rsidRPr="00DB6B93">
        <w:rPr>
          <w:highlight w:val="yellow"/>
        </w:rPr>
        <w:t xml:space="preserve">, and menopausal status independent of age predicts biological age acceleration </w:t>
      </w:r>
      <w:r w:rsidR="00BA4601" w:rsidRPr="00DB6B93">
        <w:rPr>
          <w:highlight w:val="yellow"/>
        </w:rPr>
        <w:fldChar w:fldCharType="begin" w:fldLock="1"/>
      </w:r>
      <w:r w:rsidR="00BA4601" w:rsidRPr="00DB6B93">
        <w:rPr>
          <w:highlight w:val="yellow"/>
        </w:rPr>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76&lt;/sup&gt;","plainTextFormattedCitation":"76","previouslyFormattedCitation":"&lt;sup&gt;76&lt;/sup&gt;"},"properties":{"noteIndex":0},"schema":"https://github.com/citation-style-language/schema/raw/master/csl-citation.json"}</w:instrText>
      </w:r>
      <w:r w:rsidR="00BA4601" w:rsidRPr="00DB6B93">
        <w:rPr>
          <w:highlight w:val="yellow"/>
        </w:rPr>
        <w:fldChar w:fldCharType="separate"/>
      </w:r>
      <w:r w:rsidR="00BA4601" w:rsidRPr="00DB6B93">
        <w:rPr>
          <w:noProof/>
          <w:highlight w:val="yellow"/>
          <w:vertAlign w:val="superscript"/>
        </w:rPr>
        <w:t>76</w:t>
      </w:r>
      <w:r w:rsidR="00BA4601" w:rsidRPr="00DB6B93">
        <w:rPr>
          <w:highlight w:val="yellow"/>
        </w:rPr>
        <w:fldChar w:fldCharType="end"/>
      </w:r>
      <w:r w:rsidR="00BA4601" w:rsidRPr="00DB6B93">
        <w:rPr>
          <w:highlight w:val="yellow"/>
        </w:rPr>
        <w:t>, as was also found in the present study</w:t>
      </w:r>
      <w:r w:rsidRPr="00DB6B93">
        <w:rPr>
          <w:highlight w:val="yellow"/>
        </w:rPr>
        <w:t>. Premenopausal women who undergo an oophorectomy (surgical removal of one or both ovaries) are at higher risk of these same outcomes</w:t>
      </w:r>
      <w:r w:rsidRPr="00DB6B93">
        <w:rPr>
          <w:highlight w:val="yellow"/>
        </w:rPr>
        <w:fldChar w:fldCharType="begin" w:fldLock="1"/>
      </w:r>
      <w:r w:rsidR="00BA4601" w:rsidRPr="00DB6B93">
        <w:rPr>
          <w:highlight w:val="yellow"/>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77,78&lt;/sup&gt;","plainTextFormattedCitation":"77,78","previouslyFormattedCitation":"&lt;sup&gt;77,78&lt;/sup&gt;"},"properties":{"noteIndex":0},"schema":"https://github.com/citation-style-language/schema/raw/master/csl-citation.json"}</w:instrText>
      </w:r>
      <w:r w:rsidRPr="00DB6B93">
        <w:rPr>
          <w:highlight w:val="yellow"/>
        </w:rPr>
        <w:fldChar w:fldCharType="separate"/>
      </w:r>
      <w:r w:rsidR="00BA4601" w:rsidRPr="00DB6B93">
        <w:rPr>
          <w:noProof/>
          <w:highlight w:val="yellow"/>
          <w:vertAlign w:val="superscript"/>
        </w:rPr>
        <w:t>77,78</w:t>
      </w:r>
      <w:r w:rsidRPr="00DB6B93">
        <w:rPr>
          <w:highlight w:val="yellow"/>
        </w:rPr>
        <w:fldChar w:fldCharType="end"/>
      </w:r>
      <w:r w:rsidRPr="00DB6B93">
        <w:rPr>
          <w:highlight w:val="yellow"/>
        </w:rPr>
        <w:t xml:space="preserve">,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 (reviewed in </w:t>
      </w:r>
      <w:r w:rsidRPr="00DB6B93">
        <w:rPr>
          <w:highlight w:val="yellow"/>
        </w:rPr>
        <w:fldChar w:fldCharType="begin" w:fldLock="1"/>
      </w:r>
      <w:r w:rsidRPr="00DB6B93">
        <w:rPr>
          <w:highlight w:val="yellow"/>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DB6B93">
        <w:rPr>
          <w:highlight w:val="yellow"/>
        </w:rPr>
        <w:fldChar w:fldCharType="separate"/>
      </w:r>
      <w:r w:rsidRPr="00DB6B93">
        <w:rPr>
          <w:noProof/>
          <w:highlight w:val="yellow"/>
          <w:vertAlign w:val="superscript"/>
        </w:rPr>
        <w:t>44</w:t>
      </w:r>
      <w:r w:rsidRPr="00DB6B93">
        <w:rPr>
          <w:highlight w:val="yellow"/>
        </w:rPr>
        <w:fldChar w:fldCharType="end"/>
      </w:r>
      <w:r w:rsidRPr="00DB6B93">
        <w:rPr>
          <w:highlight w:val="yellow"/>
        </w:rPr>
        <w:t xml:space="preserve">). </w:t>
      </w:r>
      <w:r w:rsidR="00BA4601" w:rsidRPr="00DB6B93">
        <w:rPr>
          <w:highlight w:val="yellow"/>
        </w:rPr>
        <w:t>However, it remains unclear</w:t>
      </w:r>
      <w:r w:rsidR="003115A3" w:rsidRPr="00DB6B93">
        <w:rPr>
          <w:highlight w:val="yellow"/>
        </w:rPr>
        <w:t xml:space="preserve"> precisely</w:t>
      </w:r>
      <w:r w:rsidR="00BA4601" w:rsidRPr="00DB6B93">
        <w:rPr>
          <w:highlight w:val="yellow"/>
        </w:rPr>
        <w:t xml:space="preserve"> how changes in ovarian hormones associated with menopause contribute to cellular instability and aging.</w:t>
      </w:r>
      <w:r w:rsidR="003115A3" w:rsidRPr="00DB6B93">
        <w:rPr>
          <w:highlight w:val="yellow"/>
        </w:rPr>
        <w:t xml:space="preserve"> Thus, future work should explore different possible compensatory mechanisms buffering pre-menopausal from </w:t>
      </w:r>
      <w:r w:rsidR="007B2607" w:rsidRPr="00DB6B93">
        <w:rPr>
          <w:highlight w:val="yellow"/>
        </w:rPr>
        <w:t xml:space="preserve">putative </w:t>
      </w:r>
      <w:r w:rsidR="003115A3" w:rsidRPr="00DB6B93">
        <w:rPr>
          <w:highlight w:val="yellow"/>
        </w:rPr>
        <w:t xml:space="preserve">accelerated biological aging </w:t>
      </w:r>
      <w:r w:rsidR="00104571" w:rsidRPr="00DB6B93">
        <w:rPr>
          <w:highlight w:val="yellow"/>
        </w:rPr>
        <w:t>induced by parity and reproductive investment.</w:t>
      </w:r>
    </w:p>
    <w:p w14:paraId="2C3E1B31" w14:textId="77777777" w:rsidR="005719CF" w:rsidRDefault="005719CF" w:rsidP="005719CF">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72BC4E3" w14:textId="52B0B2A0" w:rsidR="00BA4601" w:rsidRDefault="008406FB" w:rsidP="008406FB">
      <w:pPr>
        <w:shd w:val="clear" w:color="auto" w:fill="FFFFFF"/>
        <w:spacing w:line="480" w:lineRule="auto"/>
      </w:pPr>
      <w:r>
        <w:t>The fact that NHANES is cross-sectional rather than longitudinal in design contributes to two limitations in our study. First, its cross-sectional nature does not allow us to draw conclusions about causal relationships (or lack thereof)</w:t>
      </w:r>
      <w:r w:rsidR="00BA4601">
        <w:t>. It is possible that accelerated biological aging increases reproductive effort in women, or a third unmeasured variable increases both biological aging and reproductive effort. This does not appear to be the case here, however, since there was no relationship between parity and biological age in pre-menopausal women.</w:t>
      </w:r>
      <w:r w:rsidR="00BA4601" w:rsidRPr="00BA4601">
        <w:rPr>
          <w:highlight w:val="yellow"/>
        </w:rPr>
        <w:t xml:space="preserve"> </w:t>
      </w:r>
      <w:r w:rsidR="00BA4601" w:rsidRPr="004F4AC4">
        <w:rPr>
          <w:highlight w:val="yellow"/>
        </w:rPr>
        <w:t xml:space="preserve">In the absence of </w:t>
      </w:r>
      <w:r w:rsidR="00BA4601">
        <w:rPr>
          <w:highlight w:val="yellow"/>
        </w:rPr>
        <w:t>longitudinal</w:t>
      </w:r>
      <w:r w:rsidR="00BA4601" w:rsidRPr="004F4AC4">
        <w:rPr>
          <w:highlight w:val="yellow"/>
        </w:rPr>
        <w:t xml:space="preserve"> sampling, we </w:t>
      </w:r>
      <w:r w:rsidR="00BA4601">
        <w:rPr>
          <w:highlight w:val="yellow"/>
        </w:rPr>
        <w:t xml:space="preserve">also </w:t>
      </w:r>
      <w:r w:rsidR="00BA4601" w:rsidRPr="004F4AC4">
        <w:rPr>
          <w:highlight w:val="yellow"/>
        </w:rPr>
        <w:t xml:space="preserve">cannot be </w:t>
      </w:r>
      <w:r w:rsidR="00BA4601" w:rsidRPr="004F4AC4">
        <w:rPr>
          <w:highlight w:val="yellow"/>
        </w:rPr>
        <w:lastRenderedPageBreak/>
        <w:t xml:space="preserve">certain that biomarkers measured in this cross-sectional sample are not also representative of </w:t>
      </w:r>
      <w:r w:rsidR="00BA4601">
        <w:rPr>
          <w:highlight w:val="yellow"/>
        </w:rPr>
        <w:t>transient</w:t>
      </w:r>
      <w:r w:rsidR="00BA4601" w:rsidRPr="004F4AC4">
        <w:rPr>
          <w:highlight w:val="yellow"/>
        </w:rPr>
        <w:t xml:space="preserv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p>
    <w:p w14:paraId="33694542" w14:textId="77777777" w:rsidR="00BA4601" w:rsidRDefault="00BA4601" w:rsidP="008406FB">
      <w:pPr>
        <w:shd w:val="clear" w:color="auto" w:fill="FFFFFF"/>
        <w:spacing w:line="480" w:lineRule="auto"/>
      </w:pPr>
    </w:p>
    <w:p w14:paraId="5F2E2FED" w14:textId="78B15828" w:rsidR="00BA4601" w:rsidRDefault="00BA4601" w:rsidP="008406FB">
      <w:pPr>
        <w:shd w:val="clear" w:color="auto" w:fill="FFFFFF"/>
        <w:spacing w:line="480" w:lineRule="auto"/>
      </w:pPr>
      <w:bookmarkStart w:id="10" w:name="_Hlk54186437"/>
      <w:r w:rsidRPr="00BA4601">
        <w:rPr>
          <w:highlight w:val="yellow"/>
        </w:rPr>
        <w:t>Another limitation is our reliance on the relatively crude measures of reproductive effort in women. We were restricted to a measure of life births, but do not have access to data on miscarriages or aborted pregnancies, which could also be associated with costs of reproduction.</w:t>
      </w:r>
      <w:r>
        <w:t xml:space="preserve"> We also lack information on breastfeeding, which is energetically costly in women </w:t>
      </w:r>
      <w:r>
        <w:fldChar w:fldCharType="begin" w:fldLock="1"/>
      </w:r>
      <w:r>
        <w:instrText>ADDIN CSL_CITATION {"citationItems":[{"id":"ITEM-1","itemData":{"author":[{"dropping-particle":"","family":"Prentice","given":"A. M.","non-dropping-particle":"","parse-names":false,"suffix":""},{"dropping-particle":"","family":"Prentice","given":"A.","non-dropping-particle":"","parse-names":false,"suffix":""}],"container-title":"Annual Review of Nutrition","id":"ITEM-1","issue":"1","issued":{"date-parts":[["1988"]]},"page":"63-79","title":"Energy costs of lactation","type":"article-journal","volume":"8"},"uris":["http://www.mendeley.com/documents/?uuid=16700167-3492-4f44-8c2f-fdb866938c69"]}],"mendeley":{"formattedCitation":"&lt;sup&gt;79&lt;/sup&gt;","plainTextFormattedCitation":"79"},"properties":{"noteIndex":0},"schema":"https://github.com/citation-style-language/schema/raw/master/csl-citation.json"}</w:instrText>
      </w:r>
      <w:r>
        <w:fldChar w:fldCharType="separate"/>
      </w:r>
      <w:r w:rsidRPr="00BA4601">
        <w:rPr>
          <w:noProof/>
          <w:vertAlign w:val="superscript"/>
        </w:rPr>
        <w:t>79</w:t>
      </w:r>
      <w:r>
        <w:fldChar w:fldCharType="end"/>
      </w:r>
      <w:r>
        <w:t xml:space="preserve">. </w:t>
      </w:r>
      <w:r w:rsidRPr="00432974">
        <w:rPr>
          <w:highlight w:val="yellow"/>
        </w:rPr>
        <w:t>Nevertheless, the fact that we do detect a strong and robust signal of accelerated biological aging with parity in post-menopausal women implies that parity is adequate to capture important health-related costs in this population</w:t>
      </w:r>
      <w:r w:rsidRPr="00DB6B93">
        <w:rPr>
          <w:highlight w:val="yellow"/>
        </w:rPr>
        <w:t xml:space="preserve">. </w:t>
      </w:r>
      <w:bookmarkEnd w:id="10"/>
      <w:r w:rsidRPr="00DB6B93">
        <w:rPr>
          <w:highlight w:val="yellow"/>
        </w:rPr>
        <w:t xml:space="preserve">Given the importance of hormones like estrogen in both reproduction and women’s health, it may also be important to include current use of oral contraceptives or hormone replacement therapy. Although NHANES collects data on lifetime patterns of hormonal contraceptive and hormone replacement therapy, it does not collect data on </w:t>
      </w:r>
      <w:r w:rsidRPr="00DB6B93">
        <w:rPr>
          <w:i/>
          <w:iCs/>
          <w:highlight w:val="yellow"/>
        </w:rPr>
        <w:t xml:space="preserve">current </w:t>
      </w:r>
      <w:r w:rsidRPr="00DB6B93">
        <w:rPr>
          <w:highlight w:val="yellow"/>
        </w:rPr>
        <w:t>use. Future studies assessing potential impacts of parity on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DAC39AE"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BA4601">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81&lt;/sup&gt;","plainTextFormattedCitation":"81","previouslyFormattedCitation":"&lt;sup&gt;89&lt;/sup&gt;"},"properties":{"noteIndex":0},"schema":"https://github.com/citation-style-language/schema/raw/master/csl-citation.json"}</w:instrText>
      </w:r>
      <w:r w:rsidR="009D7E28">
        <w:fldChar w:fldCharType="separate"/>
      </w:r>
      <w:r w:rsidR="00BA4601" w:rsidRPr="00BA4601">
        <w:rPr>
          <w:noProof/>
          <w:vertAlign w:val="superscript"/>
        </w:rPr>
        <w:t>81</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BA4601">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82&lt;/sup&gt;","plainTextFormattedCitation":"82","previouslyFormattedCitation":"&lt;sup&gt;90&lt;/sup&gt;"},"properties":{"noteIndex":0},"schema":"https://github.com/citation-style-language/schema/raw/master/csl-citation.json"}</w:instrText>
      </w:r>
      <w:r w:rsidR="00F60069">
        <w:fldChar w:fldCharType="separate"/>
      </w:r>
      <w:r w:rsidR="00BA4601" w:rsidRPr="00BA4601">
        <w:rPr>
          <w:noProof/>
          <w:vertAlign w:val="superscript"/>
        </w:rPr>
        <w:t>82</w:t>
      </w:r>
      <w:r w:rsidR="00F60069">
        <w:fldChar w:fldCharType="end"/>
      </w:r>
      <w:r>
        <w:t xml:space="preserve">, all of which could shape costs of reproduction. Whereas some studies have indeed examined links between parity and aging in non-Western settings </w:t>
      </w:r>
      <w:r w:rsidR="009D7E28">
        <w:fldChar w:fldCharType="begin" w:fldLock="1"/>
      </w:r>
      <w:r w:rsidR="00BA4601">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14,84&lt;/sup&gt;","plainTextFormattedCitation":"14,84","previouslyFormattedCitation":"&lt;sup&gt;14,92&lt;/sup&gt;"},"properties":{"noteIndex":0},"schema":"https://github.com/citation-style-language/schema/raw/master/csl-citation.json"}</w:instrText>
      </w:r>
      <w:r w:rsidR="009D7E28">
        <w:fldChar w:fldCharType="separate"/>
      </w:r>
      <w:r w:rsidR="00BA4601" w:rsidRPr="00BA4601">
        <w:rPr>
          <w:noProof/>
          <w:vertAlign w:val="superscript"/>
        </w:rPr>
        <w:t>14,84</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4677C68A" w14:textId="705A71E0" w:rsidR="00AA1BE0" w:rsidRDefault="00AA1BE0" w:rsidP="00AA1BE0">
      <w:pPr>
        <w:shd w:val="clear" w:color="auto" w:fill="FFFFFF"/>
        <w:spacing w:line="480" w:lineRule="auto"/>
      </w:pPr>
      <w:r>
        <w:t xml:space="preserve">We analyzed links between parity and different </w:t>
      </w:r>
      <w:r w:rsidR="007B2607">
        <w:t xml:space="preserve">clinical-based </w:t>
      </w:r>
      <w:r>
        <w:t xml:space="preserve">measures of biological aging using a large, </w:t>
      </w:r>
      <w:proofErr w:type="gramStart"/>
      <w:r>
        <w:t>nationally-representative</w:t>
      </w:r>
      <w:proofErr w:type="gramEnd"/>
      <w:r>
        <w:t xml:space="preserve"> epidemiological sample of pre- and post-menopausal women in the United States. </w:t>
      </w:r>
      <w:r w:rsidRPr="00DB6B93">
        <w:rPr>
          <w:highlight w:val="yellow"/>
        </w:rPr>
        <w:t>Our results are consistent with research in both historical populations and large epidemiological studies</w:t>
      </w:r>
      <w:r w:rsidR="006A2E60" w:rsidRPr="00DB6B93">
        <w:rPr>
          <w:highlight w:val="yellow"/>
        </w:rPr>
        <w:t xml:space="preserve"> suggesting a nonlinear relationship between parity and </w:t>
      </w:r>
      <w:r w:rsidR="007E534F" w:rsidRPr="00DB6B93">
        <w:rPr>
          <w:highlight w:val="yellow"/>
        </w:rPr>
        <w:t>health outcomes</w:t>
      </w:r>
      <w:r w:rsidRPr="00DB6B93">
        <w:rPr>
          <w:highlight w:val="yellow"/>
        </w:rPr>
        <w:t xml:space="preserve">. Furthermore, our findings suggest these effects are only evident after menopause when </w:t>
      </w:r>
      <w:r w:rsidR="007E534F" w:rsidRPr="00DB6B93">
        <w:rPr>
          <w:highlight w:val="yellow"/>
        </w:rPr>
        <w:t xml:space="preserve">indexed </w:t>
      </w:r>
      <w:r w:rsidRPr="00DB6B93">
        <w:rPr>
          <w:highlight w:val="yellow"/>
        </w:rPr>
        <w:t xml:space="preserve">using these composite measures. </w:t>
      </w:r>
      <w:r w:rsidR="00C7766E" w:rsidRPr="00DB6B93">
        <w:rPr>
          <w:highlight w:val="yellow"/>
        </w:rPr>
        <w:t>This</w:t>
      </w:r>
      <w:r w:rsidRPr="00DB6B93">
        <w:rPr>
          <w:highlight w:val="yellow"/>
        </w:rPr>
        <w:t xml:space="preserve"> contrast</w:t>
      </w:r>
      <w:r w:rsidR="00C7766E" w:rsidRPr="00DB6B93">
        <w:rPr>
          <w:highlight w:val="yellow"/>
        </w:rPr>
        <w:t>s</w:t>
      </w:r>
      <w:r w:rsidRPr="00DB6B93">
        <w:rPr>
          <w:highlight w:val="yellow"/>
        </w:rPr>
        <w:t xml:space="preserve"> with measures with cellular aging, which appear to capture costs of reproduction in pre-menopausal women, suggesting </w:t>
      </w:r>
      <w:r w:rsidR="007E534F" w:rsidRPr="00DB6B93">
        <w:rPr>
          <w:highlight w:val="yellow"/>
        </w:rPr>
        <w:t xml:space="preserve">the </w:t>
      </w:r>
      <w:r w:rsidR="006A2E60" w:rsidRPr="00DB6B93">
        <w:rPr>
          <w:highlight w:val="yellow"/>
        </w:rPr>
        <w:t xml:space="preserve">protective forces </w:t>
      </w:r>
      <w:r w:rsidR="007E534F" w:rsidRPr="00DB6B93">
        <w:rPr>
          <w:highlight w:val="yellow"/>
        </w:rPr>
        <w:t xml:space="preserve">that </w:t>
      </w:r>
      <w:r w:rsidR="006A2E60" w:rsidRPr="00DB6B93">
        <w:rPr>
          <w:highlight w:val="yellow"/>
        </w:rPr>
        <w:t>work to prevent</w:t>
      </w:r>
      <w:r w:rsidR="007E534F" w:rsidRPr="00DB6B93">
        <w:rPr>
          <w:highlight w:val="yellow"/>
        </w:rPr>
        <w:t xml:space="preserve"> clinical level dysregulation </w:t>
      </w:r>
      <w:r w:rsidR="00C7766E" w:rsidRPr="00DB6B93">
        <w:rPr>
          <w:highlight w:val="yellow"/>
        </w:rPr>
        <w:t xml:space="preserve">induced by parity </w:t>
      </w:r>
      <w:r w:rsidR="007E534F" w:rsidRPr="00DB6B93">
        <w:rPr>
          <w:highlight w:val="yellow"/>
        </w:rPr>
        <w:t xml:space="preserve">during the reproductive stage </w:t>
      </w:r>
      <w:r w:rsidR="00C7766E" w:rsidRPr="00DB6B93">
        <w:rPr>
          <w:highlight w:val="yellow"/>
        </w:rPr>
        <w:t xml:space="preserve">may </w:t>
      </w:r>
      <w:r w:rsidR="007E534F" w:rsidRPr="00DB6B93">
        <w:rPr>
          <w:highlight w:val="yellow"/>
        </w:rPr>
        <w:t>be insufficient to dampen molecular level changes</w:t>
      </w:r>
      <w:r w:rsidRPr="00DB6B93">
        <w:rPr>
          <w:highlight w:val="yellow"/>
        </w:rPr>
        <w:t>.</w:t>
      </w:r>
      <w:r w:rsidR="00E35A3B" w:rsidRPr="00DB6B93">
        <w:rPr>
          <w:highlight w:val="yellow"/>
        </w:rPr>
        <w:t xml:space="preserve"> </w:t>
      </w:r>
      <w:r w:rsidR="00B97607" w:rsidRPr="00DB6B93">
        <w:rPr>
          <w:highlight w:val="yellow"/>
        </w:rPr>
        <w:t>Longitudinal</w:t>
      </w:r>
      <w:r w:rsidR="007B2607" w:rsidRPr="00DB6B93">
        <w:rPr>
          <w:highlight w:val="yellow"/>
        </w:rPr>
        <w:t xml:space="preserve"> studies are </w:t>
      </w:r>
      <w:r w:rsidR="00B97607" w:rsidRPr="00DB6B93">
        <w:rPr>
          <w:highlight w:val="yellow"/>
        </w:rPr>
        <w:t xml:space="preserve">critically </w:t>
      </w:r>
      <w:r w:rsidR="007B2607" w:rsidRPr="00DB6B93">
        <w:rPr>
          <w:highlight w:val="yellow"/>
        </w:rPr>
        <w:t xml:space="preserve">needed to evaluate </w:t>
      </w:r>
      <w:r w:rsidR="00B97607" w:rsidRPr="00DB6B93">
        <w:rPr>
          <w:highlight w:val="yellow"/>
        </w:rPr>
        <w:t>molecular</w:t>
      </w:r>
      <w:r w:rsidR="007B2607" w:rsidRPr="00DB6B93">
        <w:rPr>
          <w:highlight w:val="yellow"/>
        </w:rPr>
        <w:t xml:space="preserve">-based and clinical-based indices of biological age acceleration </w:t>
      </w:r>
      <w:r w:rsidR="00B97607" w:rsidRPr="00DB6B93">
        <w:rPr>
          <w:highlight w:val="yellow"/>
        </w:rPr>
        <w:t>in tandem to better understand how costs of reproduction in women may manifest over time.</w:t>
      </w:r>
    </w:p>
    <w:p w14:paraId="3672A058" w14:textId="496A9909" w:rsidR="00DE4B0E" w:rsidRDefault="00DE4B0E" w:rsidP="008406FB">
      <w:pPr>
        <w:shd w:val="clear" w:color="auto" w:fill="FFFFFF"/>
        <w:spacing w:line="480" w:lineRule="auto"/>
      </w:pPr>
    </w:p>
    <w:p w14:paraId="6C8E0BC4" w14:textId="0351C19A" w:rsidR="00A222E8" w:rsidRPr="005C1705" w:rsidRDefault="00A222E8" w:rsidP="00A222E8">
      <w:pPr>
        <w:shd w:val="clear" w:color="auto" w:fill="FFFFFF"/>
        <w:spacing w:line="480" w:lineRule="auto"/>
        <w:rPr>
          <w:bCs/>
        </w:rPr>
      </w:pPr>
      <w:r>
        <w:rPr>
          <w:b/>
        </w:rPr>
        <w:t>Data availability</w:t>
      </w:r>
      <w:r>
        <w:rPr>
          <w:b/>
        </w:rPr>
        <w:t xml:space="preserve">: </w:t>
      </w:r>
      <w:r w:rsidRPr="009D2296">
        <w:rPr>
          <w:bCs/>
        </w:rPr>
        <w:t xml:space="preserve">All script and data files that accompany this paper can be found at </w:t>
      </w:r>
      <w:hyperlink r:id="rId9" w:history="1">
        <w:r w:rsidRPr="009D2296">
          <w:rPr>
            <w:rStyle w:val="Hyperlink"/>
          </w:rPr>
          <w:t>https://osf.io/b2jft/</w:t>
        </w:r>
      </w:hyperlink>
      <w:r w:rsidRPr="009D2296">
        <w:t xml:space="preserve"> (DOI: </w:t>
      </w:r>
      <w:r w:rsidRPr="009D2296">
        <w:rPr>
          <w:shd w:val="clear" w:color="auto" w:fill="FFFFFF"/>
        </w:rPr>
        <w:t>10.17605/OSF.IO/B2JFT)</w:t>
      </w:r>
      <w:r w:rsidRPr="009D2296">
        <w:rPr>
          <w:bCs/>
        </w:rPr>
        <w:t xml:space="preserve">. </w:t>
      </w:r>
    </w:p>
    <w:p w14:paraId="197DDAC5" w14:textId="77777777" w:rsidR="00A222E8" w:rsidRDefault="00A222E8"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60F18731" w14:textId="1B16C745" w:rsidR="00BA4601" w:rsidRPr="00BA4601" w:rsidRDefault="00DE4B0E" w:rsidP="00BA4601">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BA4601" w:rsidRPr="00BA4601">
        <w:rPr>
          <w:noProof/>
          <w:szCs w:val="24"/>
        </w:rPr>
        <w:t>1.</w:t>
      </w:r>
      <w:r w:rsidR="00BA4601" w:rsidRPr="00BA4601">
        <w:rPr>
          <w:noProof/>
          <w:szCs w:val="24"/>
        </w:rPr>
        <w:tab/>
        <w:t xml:space="preserve">Kennedy, B. K. </w:t>
      </w:r>
      <w:r w:rsidR="00BA4601" w:rsidRPr="00BA4601">
        <w:rPr>
          <w:i/>
          <w:iCs/>
          <w:noProof/>
          <w:szCs w:val="24"/>
        </w:rPr>
        <w:t>et al.</w:t>
      </w:r>
      <w:r w:rsidR="00BA4601" w:rsidRPr="00BA4601">
        <w:rPr>
          <w:noProof/>
          <w:szCs w:val="24"/>
        </w:rPr>
        <w:t xml:space="preserve"> Geroscience: linking aging to chronic disease. </w:t>
      </w:r>
      <w:r w:rsidR="00BA4601" w:rsidRPr="00BA4601">
        <w:rPr>
          <w:i/>
          <w:iCs/>
          <w:noProof/>
          <w:szCs w:val="24"/>
        </w:rPr>
        <w:t>Cell</w:t>
      </w:r>
      <w:r w:rsidR="00BA4601" w:rsidRPr="00BA4601">
        <w:rPr>
          <w:noProof/>
          <w:szCs w:val="24"/>
        </w:rPr>
        <w:t xml:space="preserve"> </w:t>
      </w:r>
      <w:r w:rsidR="00BA4601" w:rsidRPr="00BA4601">
        <w:rPr>
          <w:b/>
          <w:bCs/>
          <w:noProof/>
          <w:szCs w:val="24"/>
        </w:rPr>
        <w:t>159</w:t>
      </w:r>
      <w:r w:rsidR="00BA4601" w:rsidRPr="00BA4601">
        <w:rPr>
          <w:noProof/>
          <w:szCs w:val="24"/>
        </w:rPr>
        <w:t>, 709–713 (2014).</w:t>
      </w:r>
    </w:p>
    <w:p w14:paraId="2CDC3A0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w:t>
      </w:r>
      <w:r w:rsidRPr="00BA4601">
        <w:rPr>
          <w:noProof/>
          <w:szCs w:val="24"/>
        </w:rPr>
        <w:tab/>
        <w:t xml:space="preserve">Kirkwood, T. B. Understanding the odd science of aging. </w:t>
      </w:r>
      <w:r w:rsidRPr="00BA4601">
        <w:rPr>
          <w:i/>
          <w:iCs/>
          <w:noProof/>
          <w:szCs w:val="24"/>
        </w:rPr>
        <w:t>Cell</w:t>
      </w:r>
      <w:r w:rsidRPr="00BA4601">
        <w:rPr>
          <w:noProof/>
          <w:szCs w:val="24"/>
        </w:rPr>
        <w:t xml:space="preserve"> </w:t>
      </w:r>
      <w:r w:rsidRPr="00BA4601">
        <w:rPr>
          <w:b/>
          <w:bCs/>
          <w:noProof/>
          <w:szCs w:val="24"/>
        </w:rPr>
        <w:t>120</w:t>
      </w:r>
      <w:r w:rsidRPr="00BA4601">
        <w:rPr>
          <w:noProof/>
          <w:szCs w:val="24"/>
        </w:rPr>
        <w:t>, 437–447 (2005).</w:t>
      </w:r>
    </w:p>
    <w:p w14:paraId="17AAAC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w:t>
      </w:r>
      <w:r w:rsidRPr="00BA4601">
        <w:rPr>
          <w:noProof/>
          <w:szCs w:val="24"/>
        </w:rPr>
        <w:tab/>
        <w:t xml:space="preserve">Levine, M. E. &amp; Crimmins, E. M. Is 60 the New 50? Examining Changes in Biological Age Over the Past Two Decades. </w:t>
      </w:r>
      <w:r w:rsidRPr="00BA4601">
        <w:rPr>
          <w:i/>
          <w:iCs/>
          <w:noProof/>
          <w:szCs w:val="24"/>
        </w:rPr>
        <w:t>Demography</w:t>
      </w:r>
      <w:r w:rsidRPr="00BA4601">
        <w:rPr>
          <w:noProof/>
          <w:szCs w:val="24"/>
        </w:rPr>
        <w:t xml:space="preserve"> </w:t>
      </w:r>
      <w:r w:rsidRPr="00BA4601">
        <w:rPr>
          <w:b/>
          <w:bCs/>
          <w:noProof/>
          <w:szCs w:val="24"/>
        </w:rPr>
        <w:t>55</w:t>
      </w:r>
      <w:r w:rsidRPr="00BA4601">
        <w:rPr>
          <w:noProof/>
          <w:szCs w:val="24"/>
        </w:rPr>
        <w:t>, 387–402 (2018).</w:t>
      </w:r>
    </w:p>
    <w:p w14:paraId="09B33BC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w:t>
      </w:r>
      <w:r w:rsidRPr="00BA4601">
        <w:rPr>
          <w:noProof/>
          <w:szCs w:val="24"/>
        </w:rPr>
        <w:tab/>
        <w:t xml:space="preserve">Kaletsky, R. &amp; Murphy, C. T. The role of insulin/IGF-like signaling in C. elegans longevity and aging. </w:t>
      </w:r>
      <w:r w:rsidRPr="00BA4601">
        <w:rPr>
          <w:i/>
          <w:iCs/>
          <w:noProof/>
          <w:szCs w:val="24"/>
        </w:rPr>
        <w:t>DMM Dis. Model. Mech.</w:t>
      </w:r>
      <w:r w:rsidRPr="00BA4601">
        <w:rPr>
          <w:noProof/>
          <w:szCs w:val="24"/>
        </w:rPr>
        <w:t xml:space="preserve"> </w:t>
      </w:r>
      <w:r w:rsidRPr="00BA4601">
        <w:rPr>
          <w:b/>
          <w:bCs/>
          <w:noProof/>
          <w:szCs w:val="24"/>
        </w:rPr>
        <w:t>3</w:t>
      </w:r>
      <w:r w:rsidRPr="00BA4601">
        <w:rPr>
          <w:noProof/>
          <w:szCs w:val="24"/>
        </w:rPr>
        <w:t>, 415–419 (2010).</w:t>
      </w:r>
    </w:p>
    <w:p w14:paraId="3C08902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w:t>
      </w:r>
      <w:r w:rsidRPr="00BA4601">
        <w:rPr>
          <w:noProof/>
          <w:szCs w:val="24"/>
        </w:rPr>
        <w:tab/>
        <w:t xml:space="preserve">Shigenaga, M. K., Hagen, T. M. &amp; Ames, B. N. Oxidative damage and mitochondrial decay in </w:t>
      </w:r>
      <w:r w:rsidRPr="00BA4601">
        <w:rPr>
          <w:noProof/>
          <w:szCs w:val="24"/>
        </w:rPr>
        <w:lastRenderedPageBreak/>
        <w:t xml:space="preserve">aging. </w:t>
      </w:r>
      <w:r w:rsidRPr="00BA4601">
        <w:rPr>
          <w:i/>
          <w:iCs/>
          <w:noProof/>
          <w:szCs w:val="24"/>
        </w:rPr>
        <w:t>Proc. Natl. Acad. Sci. U. S. A.</w:t>
      </w:r>
      <w:r w:rsidRPr="00BA4601">
        <w:rPr>
          <w:noProof/>
          <w:szCs w:val="24"/>
        </w:rPr>
        <w:t xml:space="preserve"> </w:t>
      </w:r>
      <w:r w:rsidRPr="00BA4601">
        <w:rPr>
          <w:b/>
          <w:bCs/>
          <w:noProof/>
          <w:szCs w:val="24"/>
        </w:rPr>
        <w:t>91</w:t>
      </w:r>
      <w:r w:rsidRPr="00BA4601">
        <w:rPr>
          <w:noProof/>
          <w:szCs w:val="24"/>
        </w:rPr>
        <w:t>, 10771–10778 (1994).</w:t>
      </w:r>
    </w:p>
    <w:p w14:paraId="2F8E88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w:t>
      </w:r>
      <w:r w:rsidRPr="00BA4601">
        <w:rPr>
          <w:noProof/>
          <w:szCs w:val="24"/>
        </w:rPr>
        <w:tab/>
        <w:t xml:space="preserve">Franceschi, C. &amp; Campisi, J. Chronic inflammation (Inflammaging) and its potential contribution to age-associated diseases. </w:t>
      </w:r>
      <w:r w:rsidRPr="00BA4601">
        <w:rPr>
          <w:i/>
          <w:iCs/>
          <w:noProof/>
          <w:szCs w:val="24"/>
        </w:rPr>
        <w:t>Journals Gerontol. - Ser. A Biol. Sci. Med. Sci.</w:t>
      </w:r>
      <w:r w:rsidRPr="00BA4601">
        <w:rPr>
          <w:noProof/>
          <w:szCs w:val="24"/>
        </w:rPr>
        <w:t xml:space="preserve"> </w:t>
      </w:r>
      <w:r w:rsidRPr="00BA4601">
        <w:rPr>
          <w:b/>
          <w:bCs/>
          <w:noProof/>
          <w:szCs w:val="24"/>
        </w:rPr>
        <w:t>69</w:t>
      </w:r>
      <w:r w:rsidRPr="00BA4601">
        <w:rPr>
          <w:noProof/>
          <w:szCs w:val="24"/>
        </w:rPr>
        <w:t>, S4–S9 (2014).</w:t>
      </w:r>
    </w:p>
    <w:p w14:paraId="0A27A96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w:t>
      </w:r>
      <w:r w:rsidRPr="00BA4601">
        <w:rPr>
          <w:noProof/>
          <w:szCs w:val="24"/>
        </w:rPr>
        <w:tab/>
        <w:t xml:space="preserve">Horvath, S. &amp; Raj, K. DNA methylation-based biomarkers and the epigenetic clock theory of ageing. </w:t>
      </w:r>
      <w:r w:rsidRPr="00BA4601">
        <w:rPr>
          <w:i/>
          <w:iCs/>
          <w:noProof/>
          <w:szCs w:val="24"/>
        </w:rPr>
        <w:t>Nat Rev Genet</w:t>
      </w:r>
      <w:r w:rsidRPr="00BA4601">
        <w:rPr>
          <w:noProof/>
          <w:szCs w:val="24"/>
        </w:rPr>
        <w:t xml:space="preserve"> </w:t>
      </w:r>
      <w:r w:rsidRPr="00BA4601">
        <w:rPr>
          <w:b/>
          <w:bCs/>
          <w:noProof/>
          <w:szCs w:val="24"/>
        </w:rPr>
        <w:t>19</w:t>
      </w:r>
      <w:r w:rsidRPr="00BA4601">
        <w:rPr>
          <w:noProof/>
          <w:szCs w:val="24"/>
        </w:rPr>
        <w:t>, 371–384 (2018).</w:t>
      </w:r>
    </w:p>
    <w:p w14:paraId="2E9A2B2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w:t>
      </w:r>
      <w:r w:rsidRPr="00BA4601">
        <w:rPr>
          <w:noProof/>
          <w:szCs w:val="24"/>
        </w:rPr>
        <w:tab/>
        <w:t xml:space="preserve">Sanders, J. L. &amp; Newman, A. B. Telomere length in epidemiology: A biomarker of aging, age-related disease, both, or neither?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112–131 (2013).</w:t>
      </w:r>
    </w:p>
    <w:p w14:paraId="6B758DF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9.</w:t>
      </w:r>
      <w:r w:rsidRPr="00BA4601">
        <w:rPr>
          <w:noProof/>
          <w:szCs w:val="24"/>
        </w:rPr>
        <w:tab/>
        <w:t xml:space="preserve">United Nations. </w:t>
      </w:r>
      <w:r w:rsidRPr="00BA4601">
        <w:rPr>
          <w:i/>
          <w:iCs/>
          <w:noProof/>
          <w:szCs w:val="24"/>
        </w:rPr>
        <w:t>World Population Prospects 2019</w:t>
      </w:r>
      <w:r w:rsidRPr="00BA4601">
        <w:rPr>
          <w:noProof/>
          <w:szCs w:val="24"/>
        </w:rPr>
        <w:t xml:space="preserve">. </w:t>
      </w:r>
      <w:r w:rsidRPr="00BA4601">
        <w:rPr>
          <w:i/>
          <w:iCs/>
          <w:noProof/>
          <w:szCs w:val="24"/>
        </w:rPr>
        <w:t>Department of Economic and Social Affairs. World Population Prospects 2019.</w:t>
      </w:r>
      <w:r w:rsidRPr="00BA4601">
        <w:rPr>
          <w:noProof/>
          <w:szCs w:val="24"/>
        </w:rPr>
        <w:t xml:space="preserve"> (2019).</w:t>
      </w:r>
    </w:p>
    <w:p w14:paraId="17D43C0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10.</w:t>
      </w:r>
      <w:r w:rsidRPr="00BA4601">
        <w:rPr>
          <w:noProof/>
          <w:szCs w:val="24"/>
        </w:rPr>
        <w:tab/>
        <w:t xml:space="preserve">Valdes, A, M. </w:t>
      </w:r>
      <w:r w:rsidRPr="00BA4601">
        <w:rPr>
          <w:i/>
          <w:iCs/>
          <w:noProof/>
          <w:szCs w:val="24"/>
        </w:rPr>
        <w:t>et al.</w:t>
      </w:r>
      <w:r w:rsidRPr="00BA4601">
        <w:rPr>
          <w:noProof/>
          <w:szCs w:val="24"/>
        </w:rPr>
        <w:t xml:space="preserve"> Obesity, cigarette smoking, and telomere length in women. </w:t>
      </w:r>
      <w:r w:rsidRPr="00BA4601">
        <w:rPr>
          <w:i/>
          <w:iCs/>
          <w:noProof/>
          <w:szCs w:val="24"/>
        </w:rPr>
        <w:t>Lancet</w:t>
      </w:r>
      <w:r w:rsidRPr="00BA4601">
        <w:rPr>
          <w:noProof/>
          <w:szCs w:val="24"/>
        </w:rPr>
        <w:t xml:space="preserve"> </w:t>
      </w:r>
      <w:r w:rsidRPr="00BA4601">
        <w:rPr>
          <w:b/>
          <w:bCs/>
          <w:noProof/>
          <w:szCs w:val="24"/>
        </w:rPr>
        <w:t>366</w:t>
      </w:r>
      <w:r w:rsidRPr="00BA4601">
        <w:rPr>
          <w:noProof/>
          <w:szCs w:val="24"/>
        </w:rPr>
        <w:t>, 662–664 (2005).</w:t>
      </w:r>
    </w:p>
    <w:p w14:paraId="440FF01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11.</w:t>
      </w:r>
      <w:r w:rsidRPr="00BA4601">
        <w:rPr>
          <w:noProof/>
          <w:szCs w:val="24"/>
        </w:rPr>
        <w:tab/>
        <w:t xml:space="preserve">Hastings, W. J., Shalev, I. &amp; Belsky, D. W. Comparability of biological aging measures in the National Health and Nutrition Examination Study, 1999-2002. </w:t>
      </w:r>
      <w:r w:rsidRPr="00BA4601">
        <w:rPr>
          <w:i/>
          <w:iCs/>
          <w:noProof/>
          <w:szCs w:val="24"/>
        </w:rPr>
        <w:t>Psychoneuroendocrinology</w:t>
      </w:r>
      <w:r w:rsidRPr="00BA4601">
        <w:rPr>
          <w:noProof/>
          <w:szCs w:val="24"/>
        </w:rPr>
        <w:t xml:space="preserve"> </w:t>
      </w:r>
      <w:r w:rsidRPr="00BA4601">
        <w:rPr>
          <w:b/>
          <w:bCs/>
          <w:noProof/>
          <w:szCs w:val="24"/>
        </w:rPr>
        <w:t>106</w:t>
      </w:r>
      <w:r w:rsidRPr="00BA4601">
        <w:rPr>
          <w:noProof/>
          <w:szCs w:val="24"/>
        </w:rPr>
        <w:t>, 171–178 (2019).</w:t>
      </w:r>
    </w:p>
    <w:p w14:paraId="327BC0B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12.</w:t>
      </w:r>
      <w:r w:rsidRPr="00BA4601">
        <w:rPr>
          <w:noProof/>
          <w:szCs w:val="24"/>
        </w:rPr>
        <w:tab/>
        <w:t xml:space="preserve">Epel, E. S. </w:t>
      </w:r>
      <w:r w:rsidRPr="00BA4601">
        <w:rPr>
          <w:i/>
          <w:iCs/>
          <w:noProof/>
          <w:szCs w:val="24"/>
        </w:rPr>
        <w:t>et al.</w:t>
      </w:r>
      <w:r w:rsidRPr="00BA4601">
        <w:rPr>
          <w:noProof/>
          <w:szCs w:val="24"/>
        </w:rPr>
        <w:t xml:space="preserve"> Accelerated telomere shortening in response to life stress. </w:t>
      </w:r>
      <w:r w:rsidRPr="00BA4601">
        <w:rPr>
          <w:i/>
          <w:iCs/>
          <w:noProof/>
          <w:szCs w:val="24"/>
        </w:rPr>
        <w:t>Proc. Natl. Acad. Sci.</w:t>
      </w:r>
      <w:r w:rsidRPr="00BA4601">
        <w:rPr>
          <w:noProof/>
          <w:szCs w:val="24"/>
        </w:rPr>
        <w:t xml:space="preserve"> </w:t>
      </w:r>
      <w:r w:rsidRPr="00BA4601">
        <w:rPr>
          <w:b/>
          <w:bCs/>
          <w:noProof/>
          <w:szCs w:val="24"/>
        </w:rPr>
        <w:t>101</w:t>
      </w:r>
      <w:r w:rsidRPr="00BA4601">
        <w:rPr>
          <w:noProof/>
          <w:szCs w:val="24"/>
        </w:rPr>
        <w:t>, 17312–17315 (2004).</w:t>
      </w:r>
    </w:p>
    <w:p w14:paraId="509CCBB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13.</w:t>
      </w:r>
      <w:r w:rsidRPr="00BA4601">
        <w:rPr>
          <w:noProof/>
          <w:szCs w:val="24"/>
        </w:rPr>
        <w:tab/>
        <w:t xml:space="preserve">Pollack, A. Z., Rivers, K. &amp; Ahrens, K. A. Parity associated with telomere length among US reproductive age women. </w:t>
      </w:r>
      <w:r w:rsidRPr="00BA4601">
        <w:rPr>
          <w:i/>
          <w:iCs/>
          <w:noProof/>
          <w:szCs w:val="24"/>
        </w:rPr>
        <w:t>Hum. Reprod.</w:t>
      </w:r>
      <w:r w:rsidRPr="00BA4601">
        <w:rPr>
          <w:noProof/>
          <w:szCs w:val="24"/>
        </w:rPr>
        <w:t xml:space="preserve"> </w:t>
      </w:r>
      <w:r w:rsidRPr="00BA4601">
        <w:rPr>
          <w:b/>
          <w:bCs/>
          <w:noProof/>
          <w:szCs w:val="24"/>
        </w:rPr>
        <w:t>33</w:t>
      </w:r>
      <w:r w:rsidRPr="00BA4601">
        <w:rPr>
          <w:noProof/>
          <w:szCs w:val="24"/>
        </w:rPr>
        <w:t>, 736–744 (2018).</w:t>
      </w:r>
    </w:p>
    <w:p w14:paraId="2A406E9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14.</w:t>
      </w:r>
      <w:r w:rsidRPr="00BA4601">
        <w:rPr>
          <w:noProof/>
          <w:szCs w:val="24"/>
        </w:rPr>
        <w:tab/>
        <w:t xml:space="preserve">Ryan, C. P. </w:t>
      </w:r>
      <w:r w:rsidRPr="00BA4601">
        <w:rPr>
          <w:i/>
          <w:iCs/>
          <w:noProof/>
          <w:szCs w:val="24"/>
        </w:rPr>
        <w:t>et al.</w:t>
      </w:r>
      <w:r w:rsidRPr="00BA4601">
        <w:rPr>
          <w:noProof/>
          <w:szCs w:val="24"/>
        </w:rPr>
        <w:t xml:space="preserve"> Reproduction predicts shorter telomeres and epigenetic age acceleration among young adult women. </w:t>
      </w:r>
      <w:r w:rsidRPr="00BA4601">
        <w:rPr>
          <w:i/>
          <w:iCs/>
          <w:noProof/>
          <w:szCs w:val="24"/>
        </w:rPr>
        <w:t>Sci. Rep.</w:t>
      </w:r>
      <w:r w:rsidRPr="00BA4601">
        <w:rPr>
          <w:noProof/>
          <w:szCs w:val="24"/>
        </w:rPr>
        <w:t xml:space="preserve"> 1–9 (2018). doi:10.1038/s41598-018-29486-4</w:t>
      </w:r>
    </w:p>
    <w:p w14:paraId="04DF96C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15.</w:t>
      </w:r>
      <w:r w:rsidRPr="00BA4601">
        <w:rPr>
          <w:noProof/>
          <w:szCs w:val="24"/>
        </w:rPr>
        <w:tab/>
        <w:t xml:space="preserve">Tan, E. K. &amp; Tan, E. L. Alterations in physiology and anatomy during pregnancy. </w:t>
      </w:r>
      <w:r w:rsidRPr="00BA4601">
        <w:rPr>
          <w:i/>
          <w:iCs/>
          <w:noProof/>
          <w:szCs w:val="24"/>
        </w:rPr>
        <w:t>Best Pract. Res. Clin. Obstet. Gynaecol.</w:t>
      </w:r>
      <w:r w:rsidRPr="00BA4601">
        <w:rPr>
          <w:noProof/>
          <w:szCs w:val="24"/>
        </w:rPr>
        <w:t xml:space="preserve"> </w:t>
      </w:r>
      <w:r w:rsidRPr="00BA4601">
        <w:rPr>
          <w:b/>
          <w:bCs/>
          <w:noProof/>
          <w:szCs w:val="24"/>
        </w:rPr>
        <w:t>27</w:t>
      </w:r>
      <w:r w:rsidRPr="00BA4601">
        <w:rPr>
          <w:noProof/>
          <w:szCs w:val="24"/>
        </w:rPr>
        <w:t>, 791–802 (2013).</w:t>
      </w:r>
    </w:p>
    <w:p w14:paraId="10A76CA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16.</w:t>
      </w:r>
      <w:r w:rsidRPr="00BA4601">
        <w:rPr>
          <w:noProof/>
          <w:szCs w:val="24"/>
        </w:rPr>
        <w:tab/>
        <w:t xml:space="preserve">Cramer, D. W. &amp; Vitonis, A. F. Signatures of reproductive events on blood counts and biomarkers of inflammation: Implications for chronic disease risk. </w:t>
      </w:r>
      <w:r w:rsidRPr="00BA4601">
        <w:rPr>
          <w:i/>
          <w:iCs/>
          <w:noProof/>
          <w:szCs w:val="24"/>
        </w:rPr>
        <w:t>PLoS One</w:t>
      </w:r>
      <w:r w:rsidRPr="00BA4601">
        <w:rPr>
          <w:noProof/>
          <w:szCs w:val="24"/>
        </w:rPr>
        <w:t xml:space="preserve"> </w:t>
      </w:r>
      <w:r w:rsidRPr="00BA4601">
        <w:rPr>
          <w:b/>
          <w:bCs/>
          <w:noProof/>
          <w:szCs w:val="24"/>
        </w:rPr>
        <w:t>12</w:t>
      </w:r>
      <w:r w:rsidRPr="00BA4601">
        <w:rPr>
          <w:noProof/>
          <w:szCs w:val="24"/>
        </w:rPr>
        <w:t>, 1–19 (2017).</w:t>
      </w:r>
    </w:p>
    <w:p w14:paraId="01FF931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17.</w:t>
      </w:r>
      <w:r w:rsidRPr="00BA4601">
        <w:rPr>
          <w:noProof/>
          <w:szCs w:val="24"/>
        </w:rPr>
        <w:tab/>
        <w:t xml:space="preserve">Lurie, S., Rahamim, E., Piper, I., Golan, A. &amp; Sadan, O. Total and differential leukocyte counts percentiles in normal pregnancy. </w:t>
      </w:r>
      <w:r w:rsidRPr="00BA4601">
        <w:rPr>
          <w:i/>
          <w:iCs/>
          <w:noProof/>
          <w:szCs w:val="24"/>
        </w:rPr>
        <w:t>Eur. J. Obs. Gynecol. Reprod. Biol.</w:t>
      </w:r>
      <w:r w:rsidRPr="00BA4601">
        <w:rPr>
          <w:noProof/>
          <w:szCs w:val="24"/>
        </w:rPr>
        <w:t xml:space="preserve"> </w:t>
      </w:r>
      <w:r w:rsidRPr="00BA4601">
        <w:rPr>
          <w:b/>
          <w:bCs/>
          <w:noProof/>
          <w:szCs w:val="24"/>
        </w:rPr>
        <w:t>136</w:t>
      </w:r>
      <w:r w:rsidRPr="00BA4601">
        <w:rPr>
          <w:noProof/>
          <w:szCs w:val="24"/>
        </w:rPr>
        <w:t>, 16–19 (2008).</w:t>
      </w:r>
    </w:p>
    <w:p w14:paraId="44BAA61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18.</w:t>
      </w:r>
      <w:r w:rsidRPr="00BA4601">
        <w:rPr>
          <w:noProof/>
          <w:szCs w:val="24"/>
        </w:rPr>
        <w:tab/>
        <w:t xml:space="preserve">Faas, M. M., Spaans, F. &amp; De Vos, P. Monocytes and macrophages in pregnancy and pre-eclampsia. </w:t>
      </w:r>
      <w:r w:rsidRPr="00BA4601">
        <w:rPr>
          <w:i/>
          <w:iCs/>
          <w:noProof/>
          <w:szCs w:val="24"/>
        </w:rPr>
        <w:t>Front. Immunol.</w:t>
      </w:r>
      <w:r w:rsidRPr="00BA4601">
        <w:rPr>
          <w:noProof/>
          <w:szCs w:val="24"/>
        </w:rPr>
        <w:t xml:space="preserve"> </w:t>
      </w:r>
      <w:r w:rsidRPr="00BA4601">
        <w:rPr>
          <w:b/>
          <w:bCs/>
          <w:noProof/>
          <w:szCs w:val="24"/>
        </w:rPr>
        <w:t>5</w:t>
      </w:r>
      <w:r w:rsidRPr="00BA4601">
        <w:rPr>
          <w:noProof/>
          <w:szCs w:val="24"/>
        </w:rPr>
        <w:t>, 1–11 (2014).</w:t>
      </w:r>
    </w:p>
    <w:p w14:paraId="47824D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19.</w:t>
      </w:r>
      <w:r w:rsidRPr="00BA4601">
        <w:rPr>
          <w:noProof/>
          <w:szCs w:val="24"/>
        </w:rPr>
        <w:tab/>
        <w:t xml:space="preserve">Soma-Pillay, P., Nelson-piercy, C., Tolppanen, H. &amp; Mebazaa, A. Physiological changes in pregnancy. </w:t>
      </w:r>
      <w:r w:rsidRPr="00BA4601">
        <w:rPr>
          <w:i/>
          <w:iCs/>
          <w:noProof/>
          <w:szCs w:val="24"/>
        </w:rPr>
        <w:t>Cardiovasc. J. Afr.</w:t>
      </w:r>
      <w:r w:rsidRPr="00BA4601">
        <w:rPr>
          <w:noProof/>
          <w:szCs w:val="24"/>
        </w:rPr>
        <w:t xml:space="preserve"> </w:t>
      </w:r>
      <w:r w:rsidRPr="00BA4601">
        <w:rPr>
          <w:b/>
          <w:bCs/>
          <w:noProof/>
          <w:szCs w:val="24"/>
        </w:rPr>
        <w:t>27</w:t>
      </w:r>
      <w:r w:rsidRPr="00BA4601">
        <w:rPr>
          <w:noProof/>
          <w:szCs w:val="24"/>
        </w:rPr>
        <w:t>, 89–94 (2016).</w:t>
      </w:r>
    </w:p>
    <w:p w14:paraId="6CE2DD4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20.</w:t>
      </w:r>
      <w:r w:rsidRPr="00BA4601">
        <w:rPr>
          <w:noProof/>
          <w:szCs w:val="24"/>
        </w:rPr>
        <w:tab/>
        <w:t xml:space="preserve">Fried, R. L., Mayol, N. L., McDade, T. W. &amp; Kuzawa, C. W. Maternal metabolic adaptations to pregnancy among young women in Cebu, Philippines. </w:t>
      </w:r>
      <w:r w:rsidRPr="00BA4601">
        <w:rPr>
          <w:i/>
          <w:iCs/>
          <w:noProof/>
          <w:szCs w:val="24"/>
        </w:rPr>
        <w:t>Am. J. Hum. Biol.</w:t>
      </w:r>
      <w:r w:rsidRPr="00BA4601">
        <w:rPr>
          <w:noProof/>
          <w:szCs w:val="24"/>
        </w:rPr>
        <w:t xml:space="preserve"> </w:t>
      </w:r>
      <w:r w:rsidRPr="00BA4601">
        <w:rPr>
          <w:b/>
          <w:bCs/>
          <w:noProof/>
          <w:szCs w:val="24"/>
        </w:rPr>
        <w:t>29</w:t>
      </w:r>
      <w:r w:rsidRPr="00BA4601">
        <w:rPr>
          <w:noProof/>
          <w:szCs w:val="24"/>
        </w:rPr>
        <w:t>, e23011 (2017).</w:t>
      </w:r>
    </w:p>
    <w:p w14:paraId="564F706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21.</w:t>
      </w:r>
      <w:r w:rsidRPr="00BA4601">
        <w:rPr>
          <w:noProof/>
          <w:szCs w:val="24"/>
        </w:rPr>
        <w:tab/>
        <w:t xml:space="preserve">Sanghavi, M. &amp; Rutherford, J. D. Cardiovascular physiology of pregnancy. </w:t>
      </w:r>
      <w:r w:rsidRPr="00BA4601">
        <w:rPr>
          <w:i/>
          <w:iCs/>
          <w:noProof/>
          <w:szCs w:val="24"/>
        </w:rPr>
        <w:t>Circulation</w:t>
      </w:r>
      <w:r w:rsidRPr="00BA4601">
        <w:rPr>
          <w:noProof/>
          <w:szCs w:val="24"/>
        </w:rPr>
        <w:t xml:space="preserve"> </w:t>
      </w:r>
      <w:r w:rsidRPr="00BA4601">
        <w:rPr>
          <w:b/>
          <w:bCs/>
          <w:noProof/>
          <w:szCs w:val="24"/>
        </w:rPr>
        <w:t>130</w:t>
      </w:r>
      <w:r w:rsidRPr="00BA4601">
        <w:rPr>
          <w:noProof/>
          <w:szCs w:val="24"/>
        </w:rPr>
        <w:t>, 1003–1008 (2014).</w:t>
      </w:r>
    </w:p>
    <w:p w14:paraId="40977B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22.</w:t>
      </w:r>
      <w:r w:rsidRPr="00BA4601">
        <w:rPr>
          <w:noProof/>
          <w:szCs w:val="24"/>
        </w:rPr>
        <w:tab/>
        <w:t xml:space="preserve">Cheung, K. L. &amp; Lafayette, R. A. Renal physiology of pregnancy. </w:t>
      </w:r>
      <w:r w:rsidRPr="00BA4601">
        <w:rPr>
          <w:i/>
          <w:iCs/>
          <w:noProof/>
          <w:szCs w:val="24"/>
        </w:rPr>
        <w:t>Adv. Chronic Kidney Dis.</w:t>
      </w:r>
      <w:r w:rsidRPr="00BA4601">
        <w:rPr>
          <w:noProof/>
          <w:szCs w:val="24"/>
        </w:rPr>
        <w:t xml:space="preserve"> </w:t>
      </w:r>
      <w:r w:rsidRPr="00BA4601">
        <w:rPr>
          <w:b/>
          <w:bCs/>
          <w:noProof/>
          <w:szCs w:val="24"/>
        </w:rPr>
        <w:t>20</w:t>
      </w:r>
      <w:r w:rsidRPr="00BA4601">
        <w:rPr>
          <w:noProof/>
          <w:szCs w:val="24"/>
        </w:rPr>
        <w:t>, 209–214 (2013).</w:t>
      </w:r>
    </w:p>
    <w:p w14:paraId="0E6503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23.</w:t>
      </w:r>
      <w:r w:rsidRPr="00BA4601">
        <w:rPr>
          <w:noProof/>
          <w:szCs w:val="24"/>
        </w:rPr>
        <w:tab/>
        <w:t xml:space="preserve">Kovacs, C. S. &amp; Deal, C. </w:t>
      </w:r>
      <w:r w:rsidRPr="00BA4601">
        <w:rPr>
          <w:i/>
          <w:iCs/>
          <w:noProof/>
          <w:szCs w:val="24"/>
        </w:rPr>
        <w:t>Maternal-Fetal and Neonatal Endocrinology: Physiology, Pathophysiology, and Clinical Management</w:t>
      </w:r>
      <w:r w:rsidRPr="00BA4601">
        <w:rPr>
          <w:noProof/>
          <w:szCs w:val="24"/>
        </w:rPr>
        <w:t>. (Academic Press, 2019).</w:t>
      </w:r>
    </w:p>
    <w:p w14:paraId="545413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24.</w:t>
      </w:r>
      <w:r w:rsidRPr="00BA4601">
        <w:rPr>
          <w:noProof/>
          <w:szCs w:val="24"/>
        </w:rPr>
        <w:tab/>
        <w:t xml:space="preserve">Harshman, L. G. &amp; Zera, A. J. The cost of reproduction: The devil in the details. </w:t>
      </w:r>
      <w:r w:rsidRPr="00BA4601">
        <w:rPr>
          <w:i/>
          <w:iCs/>
          <w:noProof/>
          <w:szCs w:val="24"/>
        </w:rPr>
        <w:t>Trends Ecol. Evol.</w:t>
      </w:r>
      <w:r w:rsidRPr="00BA4601">
        <w:rPr>
          <w:noProof/>
          <w:szCs w:val="24"/>
        </w:rPr>
        <w:t xml:space="preserve"> </w:t>
      </w:r>
      <w:r w:rsidRPr="00BA4601">
        <w:rPr>
          <w:b/>
          <w:bCs/>
          <w:noProof/>
          <w:szCs w:val="24"/>
        </w:rPr>
        <w:t>22</w:t>
      </w:r>
      <w:r w:rsidRPr="00BA4601">
        <w:rPr>
          <w:noProof/>
          <w:szCs w:val="24"/>
        </w:rPr>
        <w:t>, 80–86 (2006).</w:t>
      </w:r>
    </w:p>
    <w:p w14:paraId="3878553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25.</w:t>
      </w:r>
      <w:r w:rsidRPr="00BA4601">
        <w:rPr>
          <w:noProof/>
          <w:szCs w:val="24"/>
        </w:rPr>
        <w:tab/>
        <w:t xml:space="preserve">Jasienska, G. Costs of reproduction and ageing in the human female. </w:t>
      </w:r>
      <w:r w:rsidRPr="00BA4601">
        <w:rPr>
          <w:i/>
          <w:iCs/>
          <w:noProof/>
          <w:szCs w:val="24"/>
        </w:rPr>
        <w:t>Philos. Trans. R. Soc. B Biol. Sci.</w:t>
      </w:r>
      <w:r w:rsidRPr="00BA4601">
        <w:rPr>
          <w:noProof/>
          <w:szCs w:val="24"/>
        </w:rPr>
        <w:t xml:space="preserve"> </w:t>
      </w:r>
      <w:r w:rsidRPr="00BA4601">
        <w:rPr>
          <w:b/>
          <w:bCs/>
          <w:noProof/>
          <w:szCs w:val="24"/>
        </w:rPr>
        <w:t>375</w:t>
      </w:r>
      <w:r w:rsidRPr="00BA4601">
        <w:rPr>
          <w:noProof/>
          <w:szCs w:val="24"/>
        </w:rPr>
        <w:t>, 20190615 (2020).</w:t>
      </w:r>
    </w:p>
    <w:p w14:paraId="7B6AFFA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26.</w:t>
      </w:r>
      <w:r w:rsidRPr="00BA4601">
        <w:rPr>
          <w:noProof/>
          <w:szCs w:val="24"/>
        </w:rPr>
        <w:tab/>
        <w:t xml:space="preserve">Beral, V. &amp; Beral, V. Long term effects of childbearing. </w:t>
      </w:r>
      <w:r w:rsidRPr="00BA4601">
        <w:rPr>
          <w:i/>
          <w:iCs/>
          <w:noProof/>
          <w:szCs w:val="24"/>
        </w:rPr>
        <w:t>J. Epidemiol. Community Health</w:t>
      </w:r>
      <w:r w:rsidRPr="00BA4601">
        <w:rPr>
          <w:noProof/>
          <w:szCs w:val="24"/>
        </w:rPr>
        <w:t xml:space="preserve"> </w:t>
      </w:r>
      <w:r w:rsidRPr="00BA4601">
        <w:rPr>
          <w:b/>
          <w:bCs/>
          <w:noProof/>
          <w:szCs w:val="24"/>
        </w:rPr>
        <w:t>39</w:t>
      </w:r>
      <w:r w:rsidRPr="00BA4601">
        <w:rPr>
          <w:noProof/>
          <w:szCs w:val="24"/>
        </w:rPr>
        <w:t>, 343–346 (1985).</w:t>
      </w:r>
    </w:p>
    <w:p w14:paraId="52DF1C4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27.</w:t>
      </w:r>
      <w:r w:rsidRPr="00BA4601">
        <w:rPr>
          <w:noProof/>
          <w:szCs w:val="24"/>
        </w:rPr>
        <w:tab/>
        <w:t xml:space="preserve">Grundy, E. Women’s Fertility and Mortality in Late Mid Life: A Comparison of Three Contemporary Populations. </w:t>
      </w:r>
      <w:r w:rsidRPr="00BA4601">
        <w:rPr>
          <w:i/>
          <w:iCs/>
          <w:noProof/>
          <w:szCs w:val="24"/>
        </w:rPr>
        <w:t>Am. J. Hum. Biol.</w:t>
      </w:r>
      <w:r w:rsidRPr="00BA4601">
        <w:rPr>
          <w:noProof/>
          <w:szCs w:val="24"/>
        </w:rPr>
        <w:t xml:space="preserve"> </w:t>
      </w:r>
      <w:r w:rsidRPr="00BA4601">
        <w:rPr>
          <w:b/>
          <w:bCs/>
          <w:noProof/>
          <w:szCs w:val="24"/>
        </w:rPr>
        <w:t>547</w:t>
      </w:r>
      <w:r w:rsidRPr="00BA4601">
        <w:rPr>
          <w:noProof/>
          <w:szCs w:val="24"/>
        </w:rPr>
        <w:t>, 541–547 (2009).</w:t>
      </w:r>
    </w:p>
    <w:p w14:paraId="544CFC5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28.</w:t>
      </w:r>
      <w:r w:rsidRPr="00BA4601">
        <w:rPr>
          <w:noProof/>
          <w:szCs w:val="24"/>
        </w:rPr>
        <w:tab/>
        <w:t xml:space="preserve">Lund, E. Number of children and death from hormone-dependent cancers. </w:t>
      </w:r>
      <w:r w:rsidRPr="00BA4601">
        <w:rPr>
          <w:i/>
          <w:iCs/>
          <w:noProof/>
          <w:szCs w:val="24"/>
        </w:rPr>
        <w:t>Int. J. Cancer</w:t>
      </w:r>
      <w:r w:rsidRPr="00BA4601">
        <w:rPr>
          <w:noProof/>
          <w:szCs w:val="24"/>
        </w:rPr>
        <w:t xml:space="preserve"> </w:t>
      </w:r>
      <w:r w:rsidRPr="00BA4601">
        <w:rPr>
          <w:b/>
          <w:bCs/>
          <w:noProof/>
          <w:szCs w:val="24"/>
        </w:rPr>
        <w:t>46</w:t>
      </w:r>
      <w:r w:rsidRPr="00BA4601">
        <w:rPr>
          <w:noProof/>
          <w:szCs w:val="24"/>
        </w:rPr>
        <w:t>, 998–1000 (1990).</w:t>
      </w:r>
    </w:p>
    <w:p w14:paraId="2879EEC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29.</w:t>
      </w:r>
      <w:r w:rsidRPr="00BA4601">
        <w:rPr>
          <w:noProof/>
          <w:szCs w:val="24"/>
        </w:rPr>
        <w:tab/>
        <w:t xml:space="preserve">Hurt, L. S. </w:t>
      </w:r>
      <w:r w:rsidRPr="00BA4601">
        <w:rPr>
          <w:i/>
          <w:iCs/>
          <w:noProof/>
          <w:szCs w:val="24"/>
        </w:rPr>
        <w:t>et al.</w:t>
      </w:r>
      <w:r w:rsidRPr="00BA4601">
        <w:rPr>
          <w:noProof/>
          <w:szCs w:val="24"/>
        </w:rPr>
        <w:t xml:space="preserve"> The effect of number of births on women’s mortality: Systematic review of the evidence for women who have completed their childbearing. </w:t>
      </w:r>
      <w:r w:rsidRPr="00BA4601">
        <w:rPr>
          <w:i/>
          <w:iCs/>
          <w:noProof/>
          <w:szCs w:val="24"/>
        </w:rPr>
        <w:t>Popul. Stud. (NY).</w:t>
      </w:r>
      <w:r w:rsidRPr="00BA4601">
        <w:rPr>
          <w:noProof/>
          <w:szCs w:val="24"/>
        </w:rPr>
        <w:t xml:space="preserve"> </w:t>
      </w:r>
      <w:r w:rsidRPr="00BA4601">
        <w:rPr>
          <w:b/>
          <w:bCs/>
          <w:noProof/>
          <w:szCs w:val="24"/>
        </w:rPr>
        <w:t>60</w:t>
      </w:r>
      <w:r w:rsidRPr="00BA4601">
        <w:rPr>
          <w:noProof/>
          <w:szCs w:val="24"/>
        </w:rPr>
        <w:t>, 55–71 (2006).</w:t>
      </w:r>
    </w:p>
    <w:p w14:paraId="68C8FE5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30.</w:t>
      </w:r>
      <w:r w:rsidRPr="00BA4601">
        <w:rPr>
          <w:noProof/>
          <w:szCs w:val="24"/>
        </w:rPr>
        <w:tab/>
        <w:t xml:space="preserve">Lawlor, D. A. </w:t>
      </w:r>
      <w:r w:rsidRPr="00BA4601">
        <w:rPr>
          <w:i/>
          <w:iCs/>
          <w:noProof/>
          <w:szCs w:val="24"/>
        </w:rPr>
        <w:t>et al.</w:t>
      </w:r>
      <w:r w:rsidRPr="00BA4601">
        <w:rPr>
          <w:noProof/>
          <w:szCs w:val="24"/>
        </w:rPr>
        <w:t xml:space="preserve"> Is the association between parity and coronary heart disease due to biological </w:t>
      </w:r>
      <w:r w:rsidRPr="00BA4601">
        <w:rPr>
          <w:noProof/>
          <w:szCs w:val="24"/>
        </w:rPr>
        <w:lastRenderedPageBreak/>
        <w:t xml:space="preserve">effects of pregnancy or adverse lifestyle risk factors associated with child-rearing? Findings from the British Women’s Heart and Health Study and the British Regional Heart St. </w:t>
      </w:r>
      <w:r w:rsidRPr="00BA4601">
        <w:rPr>
          <w:i/>
          <w:iCs/>
          <w:noProof/>
          <w:szCs w:val="24"/>
        </w:rPr>
        <w:t>Circulation</w:t>
      </w:r>
      <w:r w:rsidRPr="00BA4601">
        <w:rPr>
          <w:noProof/>
          <w:szCs w:val="24"/>
        </w:rPr>
        <w:t xml:space="preserve"> </w:t>
      </w:r>
      <w:r w:rsidRPr="00BA4601">
        <w:rPr>
          <w:b/>
          <w:bCs/>
          <w:noProof/>
          <w:szCs w:val="24"/>
        </w:rPr>
        <w:t>107</w:t>
      </w:r>
      <w:r w:rsidRPr="00BA4601">
        <w:rPr>
          <w:noProof/>
          <w:szCs w:val="24"/>
        </w:rPr>
        <w:t>, 1260–1264 (2003).</w:t>
      </w:r>
    </w:p>
    <w:p w14:paraId="01D2FB9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31.</w:t>
      </w:r>
      <w:r w:rsidRPr="00BA4601">
        <w:rPr>
          <w:noProof/>
          <w:szCs w:val="24"/>
        </w:rPr>
        <w:tab/>
        <w:t xml:space="preserve">Simons, L. A., Simons, J., Friedlander, Y. &amp; McCallum, J. Childbearing history and late-life mortality: The Dubbo study of Australian elderly. </w:t>
      </w:r>
      <w:r w:rsidRPr="00BA4601">
        <w:rPr>
          <w:i/>
          <w:iCs/>
          <w:noProof/>
          <w:szCs w:val="24"/>
        </w:rPr>
        <w:t>Age Ageing</w:t>
      </w:r>
      <w:r w:rsidRPr="00BA4601">
        <w:rPr>
          <w:noProof/>
          <w:szCs w:val="24"/>
        </w:rPr>
        <w:t xml:space="preserve"> </w:t>
      </w:r>
      <w:r w:rsidRPr="00BA4601">
        <w:rPr>
          <w:b/>
          <w:bCs/>
          <w:noProof/>
          <w:szCs w:val="24"/>
        </w:rPr>
        <w:t>41</w:t>
      </w:r>
      <w:r w:rsidRPr="00BA4601">
        <w:rPr>
          <w:noProof/>
          <w:szCs w:val="24"/>
        </w:rPr>
        <w:t>, 523–528 (2012).</w:t>
      </w:r>
    </w:p>
    <w:p w14:paraId="160BC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32.</w:t>
      </w:r>
      <w:r w:rsidRPr="00BA4601">
        <w:rPr>
          <w:noProof/>
          <w:szCs w:val="24"/>
        </w:rPr>
        <w:tab/>
        <w:t xml:space="preserve">Zeng, Y. </w:t>
      </w:r>
      <w:r w:rsidRPr="00BA4601">
        <w:rPr>
          <w:i/>
          <w:iCs/>
          <w:noProof/>
          <w:szCs w:val="24"/>
        </w:rPr>
        <w:t>et al.</w:t>
      </w:r>
      <w:r w:rsidRPr="00BA4601">
        <w:rPr>
          <w:noProof/>
          <w:szCs w:val="24"/>
        </w:rPr>
        <w:t xml:space="preserve"> Parity and All-cause Mortality in Women and Men: A Dose-Response Meta-Analysis of Cohort Studies. </w:t>
      </w:r>
      <w:r w:rsidRPr="00BA4601">
        <w:rPr>
          <w:i/>
          <w:iCs/>
          <w:noProof/>
          <w:szCs w:val="24"/>
        </w:rPr>
        <w:t>Sci. Rep.</w:t>
      </w:r>
      <w:r w:rsidRPr="00BA4601">
        <w:rPr>
          <w:noProof/>
          <w:szCs w:val="24"/>
        </w:rPr>
        <w:t xml:space="preserve"> </w:t>
      </w:r>
      <w:r w:rsidRPr="00BA4601">
        <w:rPr>
          <w:b/>
          <w:bCs/>
          <w:noProof/>
          <w:szCs w:val="24"/>
        </w:rPr>
        <w:t>6:19351</w:t>
      </w:r>
      <w:r w:rsidRPr="00BA4601">
        <w:rPr>
          <w:noProof/>
          <w:szCs w:val="24"/>
        </w:rPr>
        <w:t>, 1–11 (2016).</w:t>
      </w:r>
    </w:p>
    <w:p w14:paraId="5C0480B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33.</w:t>
      </w:r>
      <w:r w:rsidRPr="00BA4601">
        <w:rPr>
          <w:noProof/>
          <w:szCs w:val="24"/>
        </w:rPr>
        <w:tab/>
        <w:t xml:space="preserve">Dior, U. P. </w:t>
      </w:r>
      <w:r w:rsidRPr="00BA4601">
        <w:rPr>
          <w:i/>
          <w:iCs/>
          <w:noProof/>
          <w:szCs w:val="24"/>
        </w:rPr>
        <w:t>et al.</w:t>
      </w:r>
      <w:r w:rsidRPr="00BA4601">
        <w:rPr>
          <w:noProof/>
          <w:szCs w:val="24"/>
        </w:rPr>
        <w:t xml:space="preserve"> Association between number of children and mortality of mothers: Results of a 37-year follow-up study. </w:t>
      </w:r>
      <w:r w:rsidRPr="00BA4601">
        <w:rPr>
          <w:i/>
          <w:iCs/>
          <w:noProof/>
          <w:szCs w:val="24"/>
        </w:rPr>
        <w:t>Ann. Epidemiol.</w:t>
      </w:r>
      <w:r w:rsidRPr="00BA4601">
        <w:rPr>
          <w:noProof/>
          <w:szCs w:val="24"/>
        </w:rPr>
        <w:t xml:space="preserve"> </w:t>
      </w:r>
      <w:r w:rsidRPr="00BA4601">
        <w:rPr>
          <w:b/>
          <w:bCs/>
          <w:noProof/>
          <w:szCs w:val="24"/>
        </w:rPr>
        <w:t>23</w:t>
      </w:r>
      <w:r w:rsidRPr="00BA4601">
        <w:rPr>
          <w:noProof/>
          <w:szCs w:val="24"/>
        </w:rPr>
        <w:t>, 13–18 (2013).</w:t>
      </w:r>
    </w:p>
    <w:p w14:paraId="33C9FA9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34.</w:t>
      </w:r>
      <w:r w:rsidRPr="00BA4601">
        <w:rPr>
          <w:noProof/>
          <w:szCs w:val="24"/>
        </w:rPr>
        <w:tab/>
        <w:t xml:space="preserve">Lv, H., Wu, H., Yin, J., Qian, J. &amp; Ge, J. Parity and Cardiovascular Disease Mortality: a Dose-Response Meta- Analysis of Cohort Studies. </w:t>
      </w:r>
      <w:r w:rsidRPr="00BA4601">
        <w:rPr>
          <w:i/>
          <w:iCs/>
          <w:noProof/>
          <w:szCs w:val="24"/>
        </w:rPr>
        <w:t>Sci. Rep.</w:t>
      </w:r>
      <w:r w:rsidRPr="00BA4601">
        <w:rPr>
          <w:noProof/>
          <w:szCs w:val="24"/>
        </w:rPr>
        <w:t xml:space="preserve"> </w:t>
      </w:r>
      <w:r w:rsidRPr="00BA4601">
        <w:rPr>
          <w:b/>
          <w:bCs/>
          <w:noProof/>
          <w:szCs w:val="24"/>
        </w:rPr>
        <w:t>5:13411</w:t>
      </w:r>
      <w:r w:rsidRPr="00BA4601">
        <w:rPr>
          <w:noProof/>
          <w:szCs w:val="24"/>
        </w:rPr>
        <w:t>, 1–9 (2015).</w:t>
      </w:r>
    </w:p>
    <w:p w14:paraId="669F491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35.</w:t>
      </w:r>
      <w:r w:rsidRPr="00BA4601">
        <w:rPr>
          <w:noProof/>
          <w:szCs w:val="24"/>
        </w:rPr>
        <w:tab/>
        <w:t xml:space="preserve">Guan, H., Wu, Q. &amp; Gong, T. Parity and Kidney Cancer Risk: Evidence from Epidemiologic Studies. </w:t>
      </w:r>
      <w:r w:rsidRPr="00BA4601">
        <w:rPr>
          <w:i/>
          <w:iCs/>
          <w:noProof/>
          <w:szCs w:val="24"/>
        </w:rPr>
        <w:t>Cancer Epidemiol. Biomarkers Prev.</w:t>
      </w:r>
      <w:r w:rsidRPr="00BA4601">
        <w:rPr>
          <w:noProof/>
          <w:szCs w:val="24"/>
        </w:rPr>
        <w:t xml:space="preserve"> </w:t>
      </w:r>
      <w:r w:rsidRPr="00BA4601">
        <w:rPr>
          <w:b/>
          <w:bCs/>
          <w:noProof/>
          <w:szCs w:val="24"/>
        </w:rPr>
        <w:t>22</w:t>
      </w:r>
      <w:r w:rsidRPr="00BA4601">
        <w:rPr>
          <w:noProof/>
          <w:szCs w:val="24"/>
        </w:rPr>
        <w:t>, 2345–2354 (2013).</w:t>
      </w:r>
    </w:p>
    <w:p w14:paraId="07C420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36.</w:t>
      </w:r>
      <w:r w:rsidRPr="00BA4601">
        <w:rPr>
          <w:noProof/>
          <w:szCs w:val="24"/>
        </w:rPr>
        <w:tab/>
        <w:t xml:space="preserve">Ziomkiewicz, A., Sancilio, A., Galbarczyk, A. &amp; Klimek, M. Evidence for the cost of reproduction in humans: High lifetime reproductive effort is associated with greater oxidative stress in post-menopausal women. </w:t>
      </w:r>
      <w:r w:rsidRPr="00BA4601">
        <w:rPr>
          <w:i/>
          <w:iCs/>
          <w:noProof/>
          <w:szCs w:val="24"/>
        </w:rPr>
        <w:t>PLoS One</w:t>
      </w:r>
      <w:r w:rsidRPr="00BA4601">
        <w:rPr>
          <w:noProof/>
          <w:szCs w:val="24"/>
        </w:rPr>
        <w:t xml:space="preserve"> </w:t>
      </w:r>
      <w:r w:rsidRPr="00BA4601">
        <w:rPr>
          <w:b/>
          <w:bCs/>
          <w:noProof/>
          <w:szCs w:val="24"/>
        </w:rPr>
        <w:t>11</w:t>
      </w:r>
      <w:r w:rsidRPr="00BA4601">
        <w:rPr>
          <w:noProof/>
          <w:szCs w:val="24"/>
        </w:rPr>
        <w:t>, 1–14 (2016).</w:t>
      </w:r>
    </w:p>
    <w:p w14:paraId="0A2153E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37.</w:t>
      </w:r>
      <w:r w:rsidRPr="00BA4601">
        <w:rPr>
          <w:noProof/>
          <w:szCs w:val="24"/>
        </w:rPr>
        <w:tab/>
        <w:t xml:space="preserve">Kresovich, J. K. </w:t>
      </w:r>
      <w:r w:rsidRPr="00BA4601">
        <w:rPr>
          <w:i/>
          <w:iCs/>
          <w:noProof/>
          <w:szCs w:val="24"/>
        </w:rPr>
        <w:t>et al.</w:t>
      </w:r>
      <w:r w:rsidRPr="00BA4601">
        <w:rPr>
          <w:noProof/>
          <w:szCs w:val="24"/>
        </w:rPr>
        <w:t xml:space="preserve"> Reproduction, DNA methylation and biological age. </w:t>
      </w:r>
      <w:r w:rsidRPr="00BA4601">
        <w:rPr>
          <w:i/>
          <w:iCs/>
          <w:noProof/>
          <w:szCs w:val="24"/>
        </w:rPr>
        <w:t>Hum. Reprod.</w:t>
      </w:r>
      <w:r w:rsidRPr="00BA4601">
        <w:rPr>
          <w:noProof/>
          <w:szCs w:val="24"/>
        </w:rPr>
        <w:t xml:space="preserve"> </w:t>
      </w:r>
      <w:r w:rsidRPr="00BA4601">
        <w:rPr>
          <w:b/>
          <w:bCs/>
          <w:noProof/>
          <w:szCs w:val="24"/>
        </w:rPr>
        <w:t>34</w:t>
      </w:r>
      <w:r w:rsidRPr="00BA4601">
        <w:rPr>
          <w:noProof/>
          <w:szCs w:val="24"/>
        </w:rPr>
        <w:t>, 1965–1973 (2019).</w:t>
      </w:r>
    </w:p>
    <w:p w14:paraId="3B9BC15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38.</w:t>
      </w:r>
      <w:r w:rsidRPr="00BA4601">
        <w:rPr>
          <w:noProof/>
          <w:szCs w:val="24"/>
        </w:rPr>
        <w:tab/>
        <w:t xml:space="preserve">Harley, C. B., Vaziri, H., Counter, C. M. &amp; Allsopp, R. C. The telomere hypothesis of cellular aging. </w:t>
      </w:r>
      <w:r w:rsidRPr="00BA4601">
        <w:rPr>
          <w:i/>
          <w:iCs/>
          <w:noProof/>
          <w:szCs w:val="24"/>
        </w:rPr>
        <w:t>Exp Gerontol</w:t>
      </w:r>
      <w:r w:rsidRPr="00BA4601">
        <w:rPr>
          <w:noProof/>
          <w:szCs w:val="24"/>
        </w:rPr>
        <w:t xml:space="preserve"> </w:t>
      </w:r>
      <w:r w:rsidRPr="00BA4601">
        <w:rPr>
          <w:b/>
          <w:bCs/>
          <w:noProof/>
          <w:szCs w:val="24"/>
        </w:rPr>
        <w:t>27</w:t>
      </w:r>
      <w:r w:rsidRPr="00BA4601">
        <w:rPr>
          <w:noProof/>
          <w:szCs w:val="24"/>
        </w:rPr>
        <w:t>, 375–382 (1992).</w:t>
      </w:r>
    </w:p>
    <w:p w14:paraId="6155284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39.</w:t>
      </w:r>
      <w:r w:rsidRPr="00BA4601">
        <w:rPr>
          <w:noProof/>
          <w:szCs w:val="24"/>
        </w:rPr>
        <w:tab/>
        <w:t xml:space="preserve">Marioni, R. E. </w:t>
      </w:r>
      <w:r w:rsidRPr="00BA4601">
        <w:rPr>
          <w:i/>
          <w:iCs/>
          <w:noProof/>
          <w:szCs w:val="24"/>
        </w:rPr>
        <w:t>et al.</w:t>
      </w:r>
      <w:r w:rsidRPr="00BA4601">
        <w:rPr>
          <w:noProof/>
          <w:szCs w:val="24"/>
        </w:rPr>
        <w:t xml:space="preserve"> The epigenetic clock and telomere length are independently associated with chronological age and mortality. </w:t>
      </w:r>
      <w:r w:rsidRPr="00BA4601">
        <w:rPr>
          <w:i/>
          <w:iCs/>
          <w:noProof/>
          <w:szCs w:val="24"/>
        </w:rPr>
        <w:t>Int J Epidemiol</w:t>
      </w:r>
      <w:r w:rsidRPr="00BA4601">
        <w:rPr>
          <w:noProof/>
          <w:szCs w:val="24"/>
        </w:rPr>
        <w:t xml:space="preserve"> (2016). doi:10.1093/ije/dyw041</w:t>
      </w:r>
    </w:p>
    <w:p w14:paraId="1AF8224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40.</w:t>
      </w:r>
      <w:r w:rsidRPr="00BA4601">
        <w:rPr>
          <w:noProof/>
          <w:szCs w:val="24"/>
        </w:rPr>
        <w:tab/>
        <w:t xml:space="preserve">McCrory, C. </w:t>
      </w:r>
      <w:r w:rsidRPr="00BA4601">
        <w:rPr>
          <w:i/>
          <w:iCs/>
          <w:noProof/>
          <w:szCs w:val="24"/>
        </w:rPr>
        <w:t>et al.</w:t>
      </w:r>
      <w:r w:rsidRPr="00BA4601">
        <w:rPr>
          <w:noProof/>
          <w:szCs w:val="24"/>
        </w:rPr>
        <w:t xml:space="preserve"> Association of 4 epigenetic clocks with measures of functional health, cognition, and all-cause mortality in The Irish Longitudinal Study on Ageing (TILDA). </w:t>
      </w:r>
      <w:r w:rsidRPr="00BA4601">
        <w:rPr>
          <w:i/>
          <w:iCs/>
          <w:noProof/>
          <w:szCs w:val="24"/>
        </w:rPr>
        <w:t>bioRxiv</w:t>
      </w:r>
      <w:r w:rsidRPr="00BA4601">
        <w:rPr>
          <w:noProof/>
          <w:szCs w:val="24"/>
        </w:rPr>
        <w:t xml:space="preserve"> 2020.04.27.063164 (2020). doi:10.1101/2020.04.27.063164</w:t>
      </w:r>
    </w:p>
    <w:p w14:paraId="3C481E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41.</w:t>
      </w:r>
      <w:r w:rsidRPr="00BA4601">
        <w:rPr>
          <w:noProof/>
          <w:szCs w:val="24"/>
        </w:rPr>
        <w:tab/>
        <w:t xml:space="preserve">Ahrens, K. A., Rossen, L. M. &amp; Simon, A. E. Relationship Between Mean Leucocyte Telomere </w:t>
      </w:r>
      <w:r w:rsidRPr="00BA4601">
        <w:rPr>
          <w:noProof/>
          <w:szCs w:val="24"/>
        </w:rPr>
        <w:lastRenderedPageBreak/>
        <w:t xml:space="preserve">Length and Measures of Allostatic Load in US Reproductive-Aged Women, NHANES 1999–2002. </w:t>
      </w:r>
      <w:r w:rsidRPr="00BA4601">
        <w:rPr>
          <w:i/>
          <w:iCs/>
          <w:noProof/>
          <w:szCs w:val="24"/>
        </w:rPr>
        <w:t>Paediatr. Perinat. Epidemiol.</w:t>
      </w:r>
      <w:r w:rsidRPr="00BA4601">
        <w:rPr>
          <w:noProof/>
          <w:szCs w:val="24"/>
        </w:rPr>
        <w:t xml:space="preserve"> </w:t>
      </w:r>
      <w:r w:rsidRPr="00BA4601">
        <w:rPr>
          <w:b/>
          <w:bCs/>
          <w:noProof/>
          <w:szCs w:val="24"/>
        </w:rPr>
        <w:t>30</w:t>
      </w:r>
      <w:r w:rsidRPr="00BA4601">
        <w:rPr>
          <w:noProof/>
          <w:szCs w:val="24"/>
        </w:rPr>
        <w:t>, 325–335 (2016).</w:t>
      </w:r>
    </w:p>
    <w:p w14:paraId="35BBF9B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42.</w:t>
      </w:r>
      <w:r w:rsidRPr="00BA4601">
        <w:rPr>
          <w:noProof/>
          <w:szCs w:val="24"/>
        </w:rPr>
        <w:tab/>
        <w:t xml:space="preserve">Belsky, D. W. </w:t>
      </w:r>
      <w:r w:rsidRPr="00BA4601">
        <w:rPr>
          <w:i/>
          <w:iCs/>
          <w:noProof/>
          <w:szCs w:val="24"/>
        </w:rPr>
        <w:t>et al.</w:t>
      </w:r>
      <w:r w:rsidRPr="00BA4601">
        <w:rPr>
          <w:noProof/>
          <w:szCs w:val="24"/>
        </w:rPr>
        <w:t xml:space="preserve"> Eleven Telomere, Epigenetic Clock, and Biomarker-Composite Quantifications of Biological Aging: Do They Measure the Same Thing? </w:t>
      </w:r>
      <w:r w:rsidRPr="00BA4601">
        <w:rPr>
          <w:i/>
          <w:iCs/>
          <w:noProof/>
          <w:szCs w:val="24"/>
        </w:rPr>
        <w:t>Am J Epidemiol</w:t>
      </w:r>
      <w:r w:rsidRPr="00BA4601">
        <w:rPr>
          <w:noProof/>
          <w:szCs w:val="24"/>
        </w:rPr>
        <w:t xml:space="preserve"> </w:t>
      </w:r>
      <w:r w:rsidRPr="00BA4601">
        <w:rPr>
          <w:b/>
          <w:bCs/>
          <w:noProof/>
          <w:szCs w:val="24"/>
        </w:rPr>
        <w:t>187</w:t>
      </w:r>
      <w:r w:rsidRPr="00BA4601">
        <w:rPr>
          <w:noProof/>
          <w:szCs w:val="24"/>
        </w:rPr>
        <w:t>, 1220–1230 (2017).</w:t>
      </w:r>
    </w:p>
    <w:p w14:paraId="07671A1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43.</w:t>
      </w:r>
      <w:r w:rsidRPr="00BA4601">
        <w:rPr>
          <w:noProof/>
          <w:szCs w:val="24"/>
        </w:rPr>
        <w:tab/>
        <w:t xml:space="preserve">Marioni, R. E. </w:t>
      </w:r>
      <w:r w:rsidRPr="00BA4601">
        <w:rPr>
          <w:i/>
          <w:iCs/>
          <w:noProof/>
          <w:szCs w:val="24"/>
        </w:rPr>
        <w:t>et al.</w:t>
      </w:r>
      <w:r w:rsidRPr="00BA4601">
        <w:rPr>
          <w:noProof/>
          <w:szCs w:val="24"/>
        </w:rPr>
        <w:t xml:space="preserve"> The epigenetic clock is correlated with physical and cognitive fitness in the Lothian Birth Cohort 1936. </w:t>
      </w:r>
      <w:r w:rsidRPr="00BA4601">
        <w:rPr>
          <w:i/>
          <w:iCs/>
          <w:noProof/>
          <w:szCs w:val="24"/>
        </w:rPr>
        <w:t>Int. J. Epidemiol.</w:t>
      </w:r>
      <w:r w:rsidRPr="00BA4601">
        <w:rPr>
          <w:noProof/>
          <w:szCs w:val="24"/>
        </w:rPr>
        <w:t xml:space="preserve"> </w:t>
      </w:r>
      <w:r w:rsidRPr="00BA4601">
        <w:rPr>
          <w:b/>
          <w:bCs/>
          <w:noProof/>
          <w:szCs w:val="24"/>
        </w:rPr>
        <w:t>44</w:t>
      </w:r>
      <w:r w:rsidRPr="00BA4601">
        <w:rPr>
          <w:noProof/>
          <w:szCs w:val="24"/>
        </w:rPr>
        <w:t>, 1388–1396 (2015).</w:t>
      </w:r>
    </w:p>
    <w:p w14:paraId="196020C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44.</w:t>
      </w:r>
      <w:r w:rsidRPr="00BA4601">
        <w:rPr>
          <w:noProof/>
          <w:szCs w:val="24"/>
        </w:rPr>
        <w:tab/>
        <w:t xml:space="preserve">Atwood, C. S. &amp; Bowen, R. L. The reproductive-cell cycle theory of aging: An update. </w:t>
      </w:r>
      <w:r w:rsidRPr="00BA4601">
        <w:rPr>
          <w:i/>
          <w:iCs/>
          <w:noProof/>
          <w:szCs w:val="24"/>
        </w:rPr>
        <w:t>Exp. Gerontol.</w:t>
      </w:r>
      <w:r w:rsidRPr="00BA4601">
        <w:rPr>
          <w:noProof/>
          <w:szCs w:val="24"/>
        </w:rPr>
        <w:t xml:space="preserve"> </w:t>
      </w:r>
      <w:r w:rsidRPr="00BA4601">
        <w:rPr>
          <w:b/>
          <w:bCs/>
          <w:noProof/>
          <w:szCs w:val="24"/>
        </w:rPr>
        <w:t>46</w:t>
      </w:r>
      <w:r w:rsidRPr="00BA4601">
        <w:rPr>
          <w:noProof/>
          <w:szCs w:val="24"/>
        </w:rPr>
        <w:t>, 100–107 (2011).</w:t>
      </w:r>
    </w:p>
    <w:p w14:paraId="17D6058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45.</w:t>
      </w:r>
      <w:r w:rsidRPr="00BA4601">
        <w:rPr>
          <w:noProof/>
          <w:szCs w:val="24"/>
        </w:rPr>
        <w:tab/>
        <w:t xml:space="preserve">Cohen, A. A. </w:t>
      </w:r>
      <w:r w:rsidRPr="00BA4601">
        <w:rPr>
          <w:i/>
          <w:iCs/>
          <w:noProof/>
          <w:szCs w:val="24"/>
        </w:rPr>
        <w:t>et al.</w:t>
      </w:r>
      <w:r w:rsidRPr="00BA4601">
        <w:rPr>
          <w:noProof/>
          <w:szCs w:val="24"/>
        </w:rPr>
        <w:t xml:space="preserve"> A novel statistical approach shows evidence for multi-system physiological dysregulation during aging. </w:t>
      </w:r>
      <w:r w:rsidRPr="00BA4601">
        <w:rPr>
          <w:i/>
          <w:iCs/>
          <w:noProof/>
          <w:szCs w:val="24"/>
        </w:rPr>
        <w:t>Mech. Ageing Dev.</w:t>
      </w:r>
      <w:r w:rsidRPr="00BA4601">
        <w:rPr>
          <w:noProof/>
          <w:szCs w:val="24"/>
        </w:rPr>
        <w:t xml:space="preserve"> </w:t>
      </w:r>
      <w:r w:rsidRPr="00BA4601">
        <w:rPr>
          <w:b/>
          <w:bCs/>
          <w:noProof/>
          <w:szCs w:val="24"/>
        </w:rPr>
        <w:t>134</w:t>
      </w:r>
      <w:r w:rsidRPr="00BA4601">
        <w:rPr>
          <w:noProof/>
          <w:szCs w:val="24"/>
        </w:rPr>
        <w:t>, 110–117 (2013).</w:t>
      </w:r>
    </w:p>
    <w:p w14:paraId="089FBFD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46.</w:t>
      </w:r>
      <w:r w:rsidRPr="00BA4601">
        <w:rPr>
          <w:noProof/>
          <w:szCs w:val="24"/>
        </w:rPr>
        <w:tab/>
        <w:t xml:space="preserve">Levine, M. E. Modeling the Rate of Senescence: Can Estimated Biological Age Predict Mortality More Accurately Than Chronological Age? </w:t>
      </w:r>
      <w:r w:rsidRPr="00BA4601">
        <w:rPr>
          <w:i/>
          <w:iCs/>
          <w:noProof/>
          <w:szCs w:val="24"/>
        </w:rPr>
        <w:t>Journals Gerontol. Ser. a-Biological Sci. Med. Sci.</w:t>
      </w:r>
      <w:r w:rsidRPr="00BA4601">
        <w:rPr>
          <w:noProof/>
          <w:szCs w:val="24"/>
        </w:rPr>
        <w:t xml:space="preserve"> </w:t>
      </w:r>
      <w:r w:rsidRPr="00BA4601">
        <w:rPr>
          <w:b/>
          <w:bCs/>
          <w:noProof/>
          <w:szCs w:val="24"/>
        </w:rPr>
        <w:t>68</w:t>
      </w:r>
      <w:r w:rsidRPr="00BA4601">
        <w:rPr>
          <w:noProof/>
          <w:szCs w:val="24"/>
        </w:rPr>
        <w:t>, 667–674 (2013).</w:t>
      </w:r>
    </w:p>
    <w:p w14:paraId="738FC89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47.</w:t>
      </w:r>
      <w:r w:rsidRPr="00BA4601">
        <w:rPr>
          <w:noProof/>
          <w:szCs w:val="24"/>
        </w:rPr>
        <w:tab/>
        <w:t xml:space="preserve">Liu, Z. </w:t>
      </w:r>
      <w:r w:rsidRPr="00BA4601">
        <w:rPr>
          <w:i/>
          <w:iCs/>
          <w:noProof/>
          <w:szCs w:val="24"/>
        </w:rPr>
        <w:t>et al.</w:t>
      </w:r>
      <w:r w:rsidRPr="00BA4601">
        <w:rPr>
          <w:noProof/>
          <w:szCs w:val="24"/>
        </w:rPr>
        <w:t xml:space="preserve"> A new aging measure captures morbidity and mortality risk across diverse subpopulations from NHANES IV: A cohort study. </w:t>
      </w:r>
      <w:r w:rsidRPr="00BA4601">
        <w:rPr>
          <w:i/>
          <w:iCs/>
          <w:noProof/>
          <w:szCs w:val="24"/>
        </w:rPr>
        <w:t>PLoS Med</w:t>
      </w:r>
      <w:r w:rsidRPr="00BA4601">
        <w:rPr>
          <w:noProof/>
          <w:szCs w:val="24"/>
        </w:rPr>
        <w:t xml:space="preserve"> </w:t>
      </w:r>
      <w:r w:rsidRPr="00BA4601">
        <w:rPr>
          <w:b/>
          <w:bCs/>
          <w:noProof/>
          <w:szCs w:val="24"/>
        </w:rPr>
        <w:t>15</w:t>
      </w:r>
      <w:r w:rsidRPr="00BA4601">
        <w:rPr>
          <w:noProof/>
          <w:szCs w:val="24"/>
        </w:rPr>
        <w:t>, e1002718 (2018).</w:t>
      </w:r>
    </w:p>
    <w:p w14:paraId="6E0E294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48.</w:t>
      </w:r>
      <w:r w:rsidRPr="00BA4601">
        <w:rPr>
          <w:noProof/>
          <w:szCs w:val="24"/>
        </w:rPr>
        <w:tab/>
        <w:t xml:space="preserve">Klemera, P. &amp; Doubal, S. A new approach to the concept and computation of biological age. </w:t>
      </w:r>
      <w:r w:rsidRPr="00BA4601">
        <w:rPr>
          <w:i/>
          <w:iCs/>
          <w:noProof/>
          <w:szCs w:val="24"/>
        </w:rPr>
        <w:t>Mech. Ageing Dev.</w:t>
      </w:r>
      <w:r w:rsidRPr="00BA4601">
        <w:rPr>
          <w:noProof/>
          <w:szCs w:val="24"/>
        </w:rPr>
        <w:t xml:space="preserve"> </w:t>
      </w:r>
      <w:r w:rsidRPr="00BA4601">
        <w:rPr>
          <w:b/>
          <w:bCs/>
          <w:noProof/>
          <w:szCs w:val="24"/>
        </w:rPr>
        <w:t>127</w:t>
      </w:r>
      <w:r w:rsidRPr="00BA4601">
        <w:rPr>
          <w:noProof/>
          <w:szCs w:val="24"/>
        </w:rPr>
        <w:t>, 240–248 (2006).</w:t>
      </w:r>
    </w:p>
    <w:p w14:paraId="3051A70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49.</w:t>
      </w:r>
      <w:r w:rsidRPr="00BA4601">
        <w:rPr>
          <w:noProof/>
          <w:szCs w:val="24"/>
        </w:rPr>
        <w:tab/>
        <w:t xml:space="preserve">McEwen, B. S. Stress, adaptation and disease: Allostatis and allostatic load. </w:t>
      </w:r>
      <w:r w:rsidRPr="00BA4601">
        <w:rPr>
          <w:i/>
          <w:iCs/>
          <w:noProof/>
          <w:szCs w:val="24"/>
        </w:rPr>
        <w:t>Ann. N. Y. Acad. Sci.</w:t>
      </w:r>
      <w:r w:rsidRPr="00BA4601">
        <w:rPr>
          <w:noProof/>
          <w:szCs w:val="24"/>
        </w:rPr>
        <w:t xml:space="preserve"> </w:t>
      </w:r>
      <w:r w:rsidRPr="00BA4601">
        <w:rPr>
          <w:b/>
          <w:bCs/>
          <w:noProof/>
          <w:szCs w:val="24"/>
        </w:rPr>
        <w:t>840</w:t>
      </w:r>
      <w:r w:rsidRPr="00BA4601">
        <w:rPr>
          <w:noProof/>
          <w:szCs w:val="24"/>
        </w:rPr>
        <w:t>, 33–44 (1998).</w:t>
      </w:r>
    </w:p>
    <w:p w14:paraId="4780F66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50.</w:t>
      </w:r>
      <w:r w:rsidRPr="00BA4601">
        <w:rPr>
          <w:noProof/>
          <w:szCs w:val="24"/>
        </w:rPr>
        <w:tab/>
        <w:t xml:space="preserve">Santos-Lozada, A. R. &amp; Howard, J. T. Using allostatic load to validate self-rated health for racial/ethnic groups in the United States. </w:t>
      </w:r>
      <w:r w:rsidRPr="00BA4601">
        <w:rPr>
          <w:i/>
          <w:iCs/>
          <w:noProof/>
          <w:szCs w:val="24"/>
        </w:rPr>
        <w:t>Biodemography Soc. Biol.</w:t>
      </w:r>
      <w:r w:rsidRPr="00BA4601">
        <w:rPr>
          <w:noProof/>
          <w:szCs w:val="24"/>
        </w:rPr>
        <w:t xml:space="preserve"> </w:t>
      </w:r>
      <w:r w:rsidRPr="00BA4601">
        <w:rPr>
          <w:b/>
          <w:bCs/>
          <w:noProof/>
          <w:szCs w:val="24"/>
        </w:rPr>
        <w:t>64</w:t>
      </w:r>
      <w:r w:rsidRPr="00BA4601">
        <w:rPr>
          <w:noProof/>
          <w:szCs w:val="24"/>
        </w:rPr>
        <w:t>, 1–14 (2018).</w:t>
      </w:r>
    </w:p>
    <w:p w14:paraId="397AB9B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51.</w:t>
      </w:r>
      <w:r w:rsidRPr="00BA4601">
        <w:rPr>
          <w:noProof/>
          <w:szCs w:val="24"/>
        </w:rPr>
        <w:tab/>
        <w:t xml:space="preserve">Hastings, W. J., Shalev, I. &amp; Almeida, D. M. Allostatic load and biological aging in the MIDUS National Survey. in </w:t>
      </w:r>
      <w:r w:rsidRPr="00BA4601">
        <w:rPr>
          <w:i/>
          <w:iCs/>
          <w:noProof/>
          <w:szCs w:val="24"/>
        </w:rPr>
        <w:t>GSA 2020 Annual Scientific Meeting</w:t>
      </w:r>
      <w:r w:rsidRPr="00BA4601">
        <w:rPr>
          <w:noProof/>
          <w:szCs w:val="24"/>
        </w:rPr>
        <w:t xml:space="preserve"> (2020).</w:t>
      </w:r>
    </w:p>
    <w:p w14:paraId="3433A6E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52.</w:t>
      </w:r>
      <w:r w:rsidRPr="00BA4601">
        <w:rPr>
          <w:noProof/>
          <w:szCs w:val="24"/>
        </w:rPr>
        <w:tab/>
        <w:t>Centers for Disease Control and Prevention, N. C. for H. S. (NCHS). National Health and Nutrition Examination Survey Data. (2018).</w:t>
      </w:r>
    </w:p>
    <w:p w14:paraId="3C97BF3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53.</w:t>
      </w:r>
      <w:r w:rsidRPr="00BA4601">
        <w:rPr>
          <w:noProof/>
          <w:szCs w:val="24"/>
        </w:rPr>
        <w:tab/>
        <w:t xml:space="preserve">Wilcox, A. J. </w:t>
      </w:r>
      <w:r w:rsidRPr="00BA4601">
        <w:rPr>
          <w:i/>
          <w:iCs/>
          <w:noProof/>
          <w:szCs w:val="24"/>
        </w:rPr>
        <w:t>et al.</w:t>
      </w:r>
      <w:r w:rsidRPr="00BA4601">
        <w:rPr>
          <w:noProof/>
          <w:szCs w:val="24"/>
        </w:rPr>
        <w:t xml:space="preserve"> Incidence of Early Loss of Pregnancy. </w:t>
      </w:r>
      <w:r w:rsidRPr="00BA4601">
        <w:rPr>
          <w:i/>
          <w:iCs/>
          <w:noProof/>
          <w:szCs w:val="24"/>
        </w:rPr>
        <w:t>N. Engl. J. Med.</w:t>
      </w:r>
      <w:r w:rsidRPr="00BA4601">
        <w:rPr>
          <w:noProof/>
          <w:szCs w:val="24"/>
        </w:rPr>
        <w:t xml:space="preserve"> </w:t>
      </w:r>
      <w:r w:rsidRPr="00BA4601">
        <w:rPr>
          <w:b/>
          <w:bCs/>
          <w:noProof/>
          <w:szCs w:val="24"/>
        </w:rPr>
        <w:t>319</w:t>
      </w:r>
      <w:r w:rsidRPr="00BA4601">
        <w:rPr>
          <w:noProof/>
          <w:szCs w:val="24"/>
        </w:rPr>
        <w:t>, 189–194 (1988).</w:t>
      </w:r>
    </w:p>
    <w:p w14:paraId="248EA6A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54.</w:t>
      </w:r>
      <w:r w:rsidRPr="00BA4601">
        <w:rPr>
          <w:noProof/>
          <w:szCs w:val="24"/>
        </w:rPr>
        <w:tab/>
        <w:t xml:space="preserve">Lobo, R. A. </w:t>
      </w:r>
      <w:r w:rsidRPr="00BA4601">
        <w:rPr>
          <w:i/>
          <w:iCs/>
          <w:noProof/>
          <w:szCs w:val="24"/>
        </w:rPr>
        <w:t>Menopause and Aging</w:t>
      </w:r>
      <w:r w:rsidRPr="00BA4601">
        <w:rPr>
          <w:noProof/>
          <w:szCs w:val="24"/>
        </w:rPr>
        <w:t xml:space="preserve">. </w:t>
      </w:r>
      <w:r w:rsidRPr="00BA4601">
        <w:rPr>
          <w:i/>
          <w:iCs/>
          <w:noProof/>
          <w:szCs w:val="24"/>
        </w:rPr>
        <w:t>Yen and Jaffe’s Reproductive Endocrinology: Seventh Edition</w:t>
      </w:r>
      <w:r w:rsidRPr="00BA4601">
        <w:rPr>
          <w:noProof/>
          <w:szCs w:val="24"/>
        </w:rPr>
        <w:t xml:space="preserve"> (Elsevier, 2013). doi:10.1016/B978-1-4557-2758-2.00015-9</w:t>
      </w:r>
    </w:p>
    <w:p w14:paraId="0F9B0A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55.</w:t>
      </w:r>
      <w:r w:rsidRPr="00BA4601">
        <w:rPr>
          <w:noProof/>
          <w:szCs w:val="24"/>
        </w:rPr>
        <w:tab/>
        <w:t xml:space="preserve">Selvin, E. </w:t>
      </w:r>
      <w:r w:rsidRPr="00BA4601">
        <w:rPr>
          <w:i/>
          <w:iCs/>
          <w:noProof/>
          <w:szCs w:val="24"/>
        </w:rPr>
        <w:t>et al.</w:t>
      </w:r>
      <w:r w:rsidRPr="00BA4601">
        <w:rPr>
          <w:noProof/>
          <w:szCs w:val="24"/>
        </w:rPr>
        <w:t xml:space="preserve"> Calibration of serum creatinine in the National Health and Nutrition Examination Surveys (NHANES) 1988-1994, 1999-2004. </w:t>
      </w:r>
      <w:r w:rsidRPr="00BA4601">
        <w:rPr>
          <w:i/>
          <w:iCs/>
          <w:noProof/>
          <w:szCs w:val="24"/>
        </w:rPr>
        <w:t>Am. J. Kidney Dis.</w:t>
      </w:r>
      <w:r w:rsidRPr="00BA4601">
        <w:rPr>
          <w:noProof/>
          <w:szCs w:val="24"/>
        </w:rPr>
        <w:t xml:space="preserve"> </w:t>
      </w:r>
      <w:r w:rsidRPr="00BA4601">
        <w:rPr>
          <w:b/>
          <w:bCs/>
          <w:noProof/>
          <w:szCs w:val="24"/>
        </w:rPr>
        <w:t>50</w:t>
      </w:r>
      <w:r w:rsidRPr="00BA4601">
        <w:rPr>
          <w:noProof/>
          <w:szCs w:val="24"/>
        </w:rPr>
        <w:t>, 918–926 (2007).</w:t>
      </w:r>
    </w:p>
    <w:p w14:paraId="49E39B6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56.</w:t>
      </w:r>
      <w:r w:rsidRPr="00BA4601">
        <w:rPr>
          <w:noProof/>
          <w:szCs w:val="24"/>
        </w:rPr>
        <w:tab/>
        <w:t xml:space="preserve">Mahalanobis, P. C. Mahalanobis distance. </w:t>
      </w:r>
      <w:r w:rsidRPr="00BA4601">
        <w:rPr>
          <w:i/>
          <w:iCs/>
          <w:noProof/>
          <w:szCs w:val="24"/>
        </w:rPr>
        <w:t>Proc. Natl. Inst. Sci. India</w:t>
      </w:r>
      <w:r w:rsidRPr="00BA4601">
        <w:rPr>
          <w:noProof/>
          <w:szCs w:val="24"/>
        </w:rPr>
        <w:t xml:space="preserve"> </w:t>
      </w:r>
      <w:r w:rsidRPr="00BA4601">
        <w:rPr>
          <w:b/>
          <w:bCs/>
          <w:noProof/>
          <w:szCs w:val="24"/>
        </w:rPr>
        <w:t>49</w:t>
      </w:r>
      <w:r w:rsidRPr="00BA4601">
        <w:rPr>
          <w:noProof/>
          <w:szCs w:val="24"/>
        </w:rPr>
        <w:t>, 234–256 (1936).</w:t>
      </w:r>
    </w:p>
    <w:p w14:paraId="3BCD73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57.</w:t>
      </w:r>
      <w:r w:rsidRPr="00BA4601">
        <w:rPr>
          <w:noProof/>
          <w:szCs w:val="24"/>
        </w:rPr>
        <w:tab/>
        <w:t xml:space="preserve">Duong, M. T., Bingham, B. A., Aldana, P. C., Chung, S. T. &amp; Sumner, A. E. Variation in the calculation of allostatic load score: 21 examples from NHANES. </w:t>
      </w:r>
      <w:r w:rsidRPr="00BA4601">
        <w:rPr>
          <w:i/>
          <w:iCs/>
          <w:noProof/>
          <w:szCs w:val="24"/>
        </w:rPr>
        <w:t>J. Racial Ethn. Heal. Disparities</w:t>
      </w:r>
      <w:r w:rsidRPr="00BA4601">
        <w:rPr>
          <w:noProof/>
          <w:szCs w:val="24"/>
        </w:rPr>
        <w:t xml:space="preserve"> </w:t>
      </w:r>
      <w:r w:rsidRPr="00BA4601">
        <w:rPr>
          <w:b/>
          <w:bCs/>
          <w:noProof/>
          <w:szCs w:val="24"/>
        </w:rPr>
        <w:t>4</w:t>
      </w:r>
      <w:r w:rsidRPr="00BA4601">
        <w:rPr>
          <w:noProof/>
          <w:szCs w:val="24"/>
        </w:rPr>
        <w:t>, 455–461 (2017).</w:t>
      </w:r>
    </w:p>
    <w:p w14:paraId="53D38D2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58.</w:t>
      </w:r>
      <w:r w:rsidRPr="00BA4601">
        <w:rPr>
          <w:noProof/>
          <w:szCs w:val="24"/>
        </w:rPr>
        <w:tab/>
        <w:t xml:space="preserve">Levine, M. E. &amp; Crimmins, E. M. Evidence of accelerated aging among African Americans and its implications for mortality. </w:t>
      </w:r>
      <w:r w:rsidRPr="00BA4601">
        <w:rPr>
          <w:i/>
          <w:iCs/>
          <w:noProof/>
          <w:szCs w:val="24"/>
        </w:rPr>
        <w:t>Soc. Sci. Med.</w:t>
      </w:r>
      <w:r w:rsidRPr="00BA4601">
        <w:rPr>
          <w:noProof/>
          <w:szCs w:val="24"/>
        </w:rPr>
        <w:t xml:space="preserve"> </w:t>
      </w:r>
      <w:r w:rsidRPr="00BA4601">
        <w:rPr>
          <w:b/>
          <w:bCs/>
          <w:noProof/>
          <w:szCs w:val="24"/>
        </w:rPr>
        <w:t>118</w:t>
      </w:r>
      <w:r w:rsidRPr="00BA4601">
        <w:rPr>
          <w:noProof/>
          <w:szCs w:val="24"/>
        </w:rPr>
        <w:t>, 27–32 (2014).</w:t>
      </w:r>
    </w:p>
    <w:p w14:paraId="75DABA6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59.</w:t>
      </w:r>
      <w:r w:rsidRPr="00BA4601">
        <w:rPr>
          <w:noProof/>
          <w:szCs w:val="24"/>
        </w:rPr>
        <w:tab/>
        <w:t xml:space="preserve">Steptoe, A. </w:t>
      </w:r>
      <w:r w:rsidRPr="00BA4601">
        <w:rPr>
          <w:i/>
          <w:iCs/>
          <w:noProof/>
          <w:szCs w:val="24"/>
        </w:rPr>
        <w:t>et al.</w:t>
      </w:r>
      <w:r w:rsidRPr="00BA4601">
        <w:rPr>
          <w:noProof/>
          <w:szCs w:val="24"/>
        </w:rPr>
        <w:t xml:space="preserve"> Educational attainment but not measures of current socioeconomic circumstances are associated with leukocyte telomere length in healthy older men and women. </w:t>
      </w:r>
      <w:r w:rsidRPr="00BA4601">
        <w:rPr>
          <w:i/>
          <w:iCs/>
          <w:noProof/>
          <w:szCs w:val="24"/>
        </w:rPr>
        <w:t>Brain. Behav. Immun.</w:t>
      </w:r>
      <w:r w:rsidRPr="00BA4601">
        <w:rPr>
          <w:noProof/>
          <w:szCs w:val="24"/>
        </w:rPr>
        <w:t xml:space="preserve"> </w:t>
      </w:r>
      <w:r w:rsidRPr="00BA4601">
        <w:rPr>
          <w:b/>
          <w:bCs/>
          <w:noProof/>
          <w:szCs w:val="24"/>
        </w:rPr>
        <w:t>25</w:t>
      </w:r>
      <w:r w:rsidRPr="00BA4601">
        <w:rPr>
          <w:noProof/>
          <w:szCs w:val="24"/>
        </w:rPr>
        <w:t>, 1292–1298 (2011).</w:t>
      </w:r>
    </w:p>
    <w:p w14:paraId="632CF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60.</w:t>
      </w:r>
      <w:r w:rsidRPr="00BA4601">
        <w:rPr>
          <w:noProof/>
          <w:szCs w:val="24"/>
        </w:rPr>
        <w:tab/>
        <w:t xml:space="preserve">Robertson, T. </w:t>
      </w:r>
      <w:r w:rsidRPr="00BA4601">
        <w:rPr>
          <w:i/>
          <w:iCs/>
          <w:noProof/>
          <w:szCs w:val="24"/>
        </w:rPr>
        <w:t>et al.</w:t>
      </w:r>
      <w:r w:rsidRPr="00BA4601">
        <w:rPr>
          <w:noProof/>
          <w:szCs w:val="24"/>
        </w:rPr>
        <w:t xml:space="preserve"> Is socioeconomic status associated with biological aging as measured by telomere length?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98–111 (2013).</w:t>
      </w:r>
    </w:p>
    <w:p w14:paraId="4E33187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61.</w:t>
      </w:r>
      <w:r w:rsidRPr="00BA4601">
        <w:rPr>
          <w:noProof/>
          <w:szCs w:val="24"/>
        </w:rPr>
        <w:tab/>
        <w:t xml:space="preserve">Lewis, C. E. </w:t>
      </w:r>
      <w:r w:rsidRPr="00BA4601">
        <w:rPr>
          <w:i/>
          <w:iCs/>
          <w:noProof/>
          <w:szCs w:val="24"/>
        </w:rPr>
        <w:t>et al.</w:t>
      </w:r>
      <w:r w:rsidRPr="00BA4601">
        <w:rPr>
          <w:noProof/>
          <w:szCs w:val="24"/>
        </w:rPr>
        <w:t xml:space="preserve"> Mortality, health outcomes, and body mass index in the overweight range. </w:t>
      </w:r>
      <w:r w:rsidRPr="00BA4601">
        <w:rPr>
          <w:i/>
          <w:iCs/>
          <w:noProof/>
          <w:szCs w:val="24"/>
        </w:rPr>
        <w:t>Circulation</w:t>
      </w:r>
      <w:r w:rsidRPr="00BA4601">
        <w:rPr>
          <w:noProof/>
          <w:szCs w:val="24"/>
        </w:rPr>
        <w:t xml:space="preserve"> </w:t>
      </w:r>
      <w:r w:rsidRPr="00BA4601">
        <w:rPr>
          <w:b/>
          <w:bCs/>
          <w:noProof/>
          <w:szCs w:val="24"/>
        </w:rPr>
        <w:t>119</w:t>
      </w:r>
      <w:r w:rsidRPr="00BA4601">
        <w:rPr>
          <w:noProof/>
          <w:szCs w:val="24"/>
        </w:rPr>
        <w:t>, 3263–3271 (2009).</w:t>
      </w:r>
    </w:p>
    <w:p w14:paraId="193EEE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62.</w:t>
      </w:r>
      <w:r w:rsidRPr="00BA4601">
        <w:rPr>
          <w:noProof/>
          <w:szCs w:val="24"/>
        </w:rPr>
        <w:tab/>
        <w:t>National Center for Health Statistics. NHANES survey methods and analytic guidelines. (2018). Available at: https://wwwn.cdc.gov/nchs/nhanes/AnalyticGuidelines.aspx. (Accessed: 4th February 2020)</w:t>
      </w:r>
    </w:p>
    <w:p w14:paraId="1E6064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63.</w:t>
      </w:r>
      <w:r w:rsidRPr="00BA4601">
        <w:rPr>
          <w:noProof/>
          <w:szCs w:val="24"/>
        </w:rPr>
        <w:tab/>
        <w:t xml:space="preserve">Korn, E. L. &amp; Graubard, B. I. </w:t>
      </w:r>
      <w:r w:rsidRPr="00BA4601">
        <w:rPr>
          <w:i/>
          <w:iCs/>
          <w:noProof/>
          <w:szCs w:val="24"/>
        </w:rPr>
        <w:t>Analysis of health surveys</w:t>
      </w:r>
      <w:r w:rsidRPr="00BA4601">
        <w:rPr>
          <w:noProof/>
          <w:szCs w:val="24"/>
        </w:rPr>
        <w:t>. (John Wiley &amp; Sons, 1999).</w:t>
      </w:r>
    </w:p>
    <w:p w14:paraId="7305AFC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64.</w:t>
      </w:r>
      <w:r w:rsidRPr="00BA4601">
        <w:rPr>
          <w:noProof/>
          <w:szCs w:val="24"/>
        </w:rPr>
        <w:tab/>
        <w:t xml:space="preserve">Rosinger, A. Y. &amp; Ice, G. Secondary data analysis to answer questions in human biology. </w:t>
      </w:r>
      <w:r w:rsidRPr="00BA4601">
        <w:rPr>
          <w:i/>
          <w:iCs/>
          <w:noProof/>
          <w:szCs w:val="24"/>
        </w:rPr>
        <w:t>Am. J. Hum. Biol.</w:t>
      </w:r>
      <w:r w:rsidRPr="00BA4601">
        <w:rPr>
          <w:noProof/>
          <w:szCs w:val="24"/>
        </w:rPr>
        <w:t xml:space="preserve"> </w:t>
      </w:r>
      <w:r w:rsidRPr="00BA4601">
        <w:rPr>
          <w:b/>
          <w:bCs/>
          <w:noProof/>
          <w:szCs w:val="24"/>
        </w:rPr>
        <w:t>31</w:t>
      </w:r>
      <w:r w:rsidRPr="00BA4601">
        <w:rPr>
          <w:noProof/>
          <w:szCs w:val="24"/>
        </w:rPr>
        <w:t>, 1–19 (2019).</w:t>
      </w:r>
    </w:p>
    <w:p w14:paraId="3C354E9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65.</w:t>
      </w:r>
      <w:r w:rsidRPr="00BA4601">
        <w:rPr>
          <w:noProof/>
          <w:szCs w:val="24"/>
        </w:rPr>
        <w:tab/>
        <w:t xml:space="preserve">Abdi, H. The Bonferonni and Šidák Corrections for Multiple Comparisons. in </w:t>
      </w:r>
      <w:r w:rsidRPr="00BA4601">
        <w:rPr>
          <w:i/>
          <w:iCs/>
          <w:noProof/>
          <w:szCs w:val="24"/>
        </w:rPr>
        <w:t>Encyclopedia of Measurement and Statistics</w:t>
      </w:r>
      <w:r w:rsidRPr="00BA4601">
        <w:rPr>
          <w:noProof/>
          <w:szCs w:val="24"/>
        </w:rPr>
        <w:t xml:space="preserve"> (ed. Salkind, N.) 1–9 (Sage, 2007). doi:10.4135/9781412952644</w:t>
      </w:r>
    </w:p>
    <w:p w14:paraId="6413F27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66.</w:t>
      </w:r>
      <w:r w:rsidRPr="00BA4601">
        <w:rPr>
          <w:noProof/>
          <w:szCs w:val="24"/>
        </w:rPr>
        <w:tab/>
        <w:t xml:space="preserve">Westendorp, R. G. &amp; Kirkwood, T. Human longevity at the cost of reproductive success. </w:t>
      </w:r>
      <w:r w:rsidRPr="00BA4601">
        <w:rPr>
          <w:i/>
          <w:iCs/>
          <w:noProof/>
          <w:szCs w:val="24"/>
        </w:rPr>
        <w:t>Nature</w:t>
      </w:r>
      <w:r w:rsidRPr="00BA4601">
        <w:rPr>
          <w:noProof/>
          <w:szCs w:val="24"/>
        </w:rPr>
        <w:t xml:space="preserve"> </w:t>
      </w:r>
      <w:r w:rsidRPr="00BA4601">
        <w:rPr>
          <w:b/>
          <w:bCs/>
          <w:noProof/>
          <w:szCs w:val="24"/>
        </w:rPr>
        <w:t>396</w:t>
      </w:r>
      <w:r w:rsidRPr="00BA4601">
        <w:rPr>
          <w:noProof/>
          <w:szCs w:val="24"/>
        </w:rPr>
        <w:t>, 743–746 (1998).</w:t>
      </w:r>
    </w:p>
    <w:p w14:paraId="6C494DE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67.</w:t>
      </w:r>
      <w:r w:rsidRPr="00BA4601">
        <w:rPr>
          <w:noProof/>
          <w:szCs w:val="24"/>
        </w:rPr>
        <w:tab/>
        <w:t xml:space="preserve">Graubard, B. I. &amp; Korn, E. L. Predictive margins with survey data. </w:t>
      </w:r>
      <w:r w:rsidRPr="00BA4601">
        <w:rPr>
          <w:i/>
          <w:iCs/>
          <w:noProof/>
          <w:szCs w:val="24"/>
        </w:rPr>
        <w:t>Biometrics</w:t>
      </w:r>
      <w:r w:rsidRPr="00BA4601">
        <w:rPr>
          <w:noProof/>
          <w:szCs w:val="24"/>
        </w:rPr>
        <w:t xml:space="preserve"> </w:t>
      </w:r>
      <w:r w:rsidRPr="00BA4601">
        <w:rPr>
          <w:b/>
          <w:bCs/>
          <w:noProof/>
          <w:szCs w:val="24"/>
        </w:rPr>
        <w:t>55</w:t>
      </w:r>
      <w:r w:rsidRPr="00BA4601">
        <w:rPr>
          <w:noProof/>
          <w:szCs w:val="24"/>
        </w:rPr>
        <w:t>, 652–659 (1999).</w:t>
      </w:r>
    </w:p>
    <w:p w14:paraId="533EFA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68.</w:t>
      </w:r>
      <w:r w:rsidRPr="00BA4601">
        <w:rPr>
          <w:noProof/>
          <w:szCs w:val="24"/>
        </w:rPr>
        <w:tab/>
        <w:t xml:space="preserve">Kirkwood, T. Evolution of ageing. </w:t>
      </w:r>
      <w:r w:rsidRPr="00BA4601">
        <w:rPr>
          <w:i/>
          <w:iCs/>
          <w:noProof/>
          <w:szCs w:val="24"/>
        </w:rPr>
        <w:t>Nature</w:t>
      </w:r>
      <w:r w:rsidRPr="00BA4601">
        <w:rPr>
          <w:noProof/>
          <w:szCs w:val="24"/>
        </w:rPr>
        <w:t xml:space="preserve"> </w:t>
      </w:r>
      <w:r w:rsidRPr="00BA4601">
        <w:rPr>
          <w:b/>
          <w:bCs/>
          <w:noProof/>
          <w:szCs w:val="24"/>
        </w:rPr>
        <w:t>5635</w:t>
      </w:r>
      <w:r w:rsidRPr="00BA4601">
        <w:rPr>
          <w:noProof/>
          <w:szCs w:val="24"/>
        </w:rPr>
        <w:t>, 301–304 (1977).</w:t>
      </w:r>
    </w:p>
    <w:p w14:paraId="322D25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69.</w:t>
      </w:r>
      <w:r w:rsidRPr="00BA4601">
        <w:rPr>
          <w:noProof/>
          <w:szCs w:val="24"/>
        </w:rPr>
        <w:tab/>
        <w:t xml:space="preserve">Lv, B. </w:t>
      </w:r>
      <w:r w:rsidRPr="00BA4601">
        <w:rPr>
          <w:i/>
          <w:iCs/>
          <w:noProof/>
          <w:szCs w:val="24"/>
        </w:rPr>
        <w:t>et al.</w:t>
      </w:r>
      <w:r w:rsidRPr="00BA4601">
        <w:rPr>
          <w:noProof/>
          <w:szCs w:val="24"/>
        </w:rPr>
        <w:t xml:space="preserve"> NeuroImage Gender consistency and difference in healthy adults revealed by cortical thickness. </w:t>
      </w:r>
      <w:r w:rsidRPr="00BA4601">
        <w:rPr>
          <w:i/>
          <w:iCs/>
          <w:noProof/>
          <w:szCs w:val="24"/>
        </w:rPr>
        <w:t>Neuroimage</w:t>
      </w:r>
      <w:r w:rsidRPr="00BA4601">
        <w:rPr>
          <w:noProof/>
          <w:szCs w:val="24"/>
        </w:rPr>
        <w:t xml:space="preserve"> </w:t>
      </w:r>
      <w:r w:rsidRPr="00BA4601">
        <w:rPr>
          <w:b/>
          <w:bCs/>
          <w:noProof/>
          <w:szCs w:val="24"/>
        </w:rPr>
        <w:t>53</w:t>
      </w:r>
      <w:r w:rsidRPr="00BA4601">
        <w:rPr>
          <w:noProof/>
          <w:szCs w:val="24"/>
        </w:rPr>
        <w:t>, 373–382 (2010).</w:t>
      </w:r>
    </w:p>
    <w:p w14:paraId="090DED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70.</w:t>
      </w:r>
      <w:r w:rsidRPr="00BA4601">
        <w:rPr>
          <w:noProof/>
          <w:szCs w:val="24"/>
        </w:rPr>
        <w:tab/>
        <w:t xml:space="preserve">Grundy, E. &amp; Tomassini, C. Fertility history and health in later life: a record linkage study in England and Wales. </w:t>
      </w:r>
      <w:r w:rsidRPr="00BA4601">
        <w:rPr>
          <w:i/>
          <w:iCs/>
          <w:noProof/>
          <w:szCs w:val="24"/>
        </w:rPr>
        <w:t>Soc. Sci. Med.</w:t>
      </w:r>
      <w:r w:rsidRPr="00BA4601">
        <w:rPr>
          <w:noProof/>
          <w:szCs w:val="24"/>
        </w:rPr>
        <w:t xml:space="preserve"> </w:t>
      </w:r>
      <w:r w:rsidRPr="00BA4601">
        <w:rPr>
          <w:b/>
          <w:bCs/>
          <w:noProof/>
          <w:szCs w:val="24"/>
        </w:rPr>
        <w:t>61</w:t>
      </w:r>
      <w:r w:rsidRPr="00BA4601">
        <w:rPr>
          <w:noProof/>
          <w:szCs w:val="24"/>
        </w:rPr>
        <w:t>, 217–228 (2005).</w:t>
      </w:r>
    </w:p>
    <w:p w14:paraId="765B1F2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71.</w:t>
      </w:r>
      <w:r w:rsidRPr="00BA4601">
        <w:rPr>
          <w:noProof/>
          <w:szCs w:val="24"/>
        </w:rPr>
        <w:tab/>
        <w:t xml:space="preserve">Lechner, L., Bolman, C. &amp; van Dalen, A. Definite involuntary childlessness: Associations between coping, social support and psychological distress. </w:t>
      </w:r>
      <w:r w:rsidRPr="00BA4601">
        <w:rPr>
          <w:i/>
          <w:iCs/>
          <w:noProof/>
          <w:szCs w:val="24"/>
        </w:rPr>
        <w:t>Hum. Reprod.</w:t>
      </w:r>
      <w:r w:rsidRPr="00BA4601">
        <w:rPr>
          <w:noProof/>
          <w:szCs w:val="24"/>
        </w:rPr>
        <w:t xml:space="preserve"> </w:t>
      </w:r>
      <w:r w:rsidRPr="00BA4601">
        <w:rPr>
          <w:b/>
          <w:bCs/>
          <w:noProof/>
          <w:szCs w:val="24"/>
        </w:rPr>
        <w:t>22</w:t>
      </w:r>
      <w:r w:rsidRPr="00BA4601">
        <w:rPr>
          <w:noProof/>
          <w:szCs w:val="24"/>
        </w:rPr>
        <w:t>, 288–294 (2007).</w:t>
      </w:r>
    </w:p>
    <w:p w14:paraId="20C80FB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72.</w:t>
      </w:r>
      <w:r w:rsidRPr="00BA4601">
        <w:rPr>
          <w:noProof/>
          <w:szCs w:val="24"/>
        </w:rPr>
        <w:tab/>
        <w:t xml:space="preserve">Schaefer, C., Coyne, J. C. &amp; Lazarus, R. S. The health-related functions of social support. </w:t>
      </w:r>
      <w:r w:rsidRPr="00BA4601">
        <w:rPr>
          <w:i/>
          <w:iCs/>
          <w:noProof/>
          <w:szCs w:val="24"/>
        </w:rPr>
        <w:t>J. Behav. Med.</w:t>
      </w:r>
      <w:r w:rsidRPr="00BA4601">
        <w:rPr>
          <w:noProof/>
          <w:szCs w:val="24"/>
        </w:rPr>
        <w:t xml:space="preserve"> </w:t>
      </w:r>
      <w:r w:rsidRPr="00BA4601">
        <w:rPr>
          <w:b/>
          <w:bCs/>
          <w:noProof/>
          <w:szCs w:val="24"/>
        </w:rPr>
        <w:t>4</w:t>
      </w:r>
      <w:r w:rsidRPr="00BA4601">
        <w:rPr>
          <w:noProof/>
          <w:szCs w:val="24"/>
        </w:rPr>
        <w:t>, 381–406 (1981).</w:t>
      </w:r>
    </w:p>
    <w:p w14:paraId="360F97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73.</w:t>
      </w:r>
      <w:r w:rsidRPr="00BA4601">
        <w:rPr>
          <w:noProof/>
          <w:szCs w:val="24"/>
        </w:rPr>
        <w:tab/>
        <w:t xml:space="preserve">Gagnon, A. </w:t>
      </w:r>
      <w:r w:rsidRPr="00BA4601">
        <w:rPr>
          <w:i/>
          <w:iCs/>
          <w:noProof/>
          <w:szCs w:val="24"/>
        </w:rPr>
        <w:t>et al.</w:t>
      </w:r>
      <w:r w:rsidRPr="00BA4601">
        <w:rPr>
          <w:noProof/>
          <w:szCs w:val="24"/>
        </w:rPr>
        <w:t xml:space="preserve"> Is there a trade-off between fertility and longevity? A comparative study of women from three large historical databses accounting for mortality selection. </w:t>
      </w:r>
      <w:r w:rsidRPr="00BA4601">
        <w:rPr>
          <w:i/>
          <w:iCs/>
          <w:noProof/>
          <w:szCs w:val="24"/>
        </w:rPr>
        <w:t>Am. J. Hum. Biol.</w:t>
      </w:r>
      <w:r w:rsidRPr="00BA4601">
        <w:rPr>
          <w:noProof/>
          <w:szCs w:val="24"/>
        </w:rPr>
        <w:t xml:space="preserve"> </w:t>
      </w:r>
      <w:r w:rsidRPr="00BA4601">
        <w:rPr>
          <w:b/>
          <w:bCs/>
          <w:noProof/>
          <w:szCs w:val="24"/>
        </w:rPr>
        <w:t>21</w:t>
      </w:r>
      <w:r w:rsidRPr="00BA4601">
        <w:rPr>
          <w:noProof/>
          <w:szCs w:val="24"/>
        </w:rPr>
        <w:t>, 533–540 (2009).</w:t>
      </w:r>
    </w:p>
    <w:p w14:paraId="0F320A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74.</w:t>
      </w:r>
      <w:r w:rsidRPr="00BA4601">
        <w:rPr>
          <w:noProof/>
          <w:szCs w:val="24"/>
        </w:rPr>
        <w:tab/>
        <w:t xml:space="preserve">Grundy, E. &amp; Kravdal, Ø. Reproductive history and mortality in late middle age among Norwegian men and women. </w:t>
      </w:r>
      <w:r w:rsidRPr="00BA4601">
        <w:rPr>
          <w:i/>
          <w:iCs/>
          <w:noProof/>
          <w:szCs w:val="24"/>
        </w:rPr>
        <w:t>Am. J. Epidemiol.</w:t>
      </w:r>
      <w:r w:rsidRPr="00BA4601">
        <w:rPr>
          <w:noProof/>
          <w:szCs w:val="24"/>
        </w:rPr>
        <w:t xml:space="preserve"> </w:t>
      </w:r>
      <w:r w:rsidRPr="00BA4601">
        <w:rPr>
          <w:b/>
          <w:bCs/>
          <w:noProof/>
          <w:szCs w:val="24"/>
        </w:rPr>
        <w:t>167</w:t>
      </w:r>
      <w:r w:rsidRPr="00BA4601">
        <w:rPr>
          <w:noProof/>
          <w:szCs w:val="24"/>
        </w:rPr>
        <w:t>, 271–279 (2008).</w:t>
      </w:r>
    </w:p>
    <w:p w14:paraId="0DD9A1A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75.</w:t>
      </w:r>
      <w:r w:rsidRPr="00BA4601">
        <w:rPr>
          <w:noProof/>
          <w:szCs w:val="24"/>
        </w:rPr>
        <w:tab/>
        <w:t xml:space="preserve">Ossewaarde, M. E. </w:t>
      </w:r>
      <w:r w:rsidRPr="00BA4601">
        <w:rPr>
          <w:i/>
          <w:iCs/>
          <w:noProof/>
          <w:szCs w:val="24"/>
        </w:rPr>
        <w:t>et al.</w:t>
      </w:r>
      <w:r w:rsidRPr="00BA4601">
        <w:rPr>
          <w:noProof/>
          <w:szCs w:val="24"/>
        </w:rPr>
        <w:t xml:space="preserve"> Age at menopause, cause-specific mortality and total life expectancy. </w:t>
      </w:r>
      <w:r w:rsidRPr="00BA4601">
        <w:rPr>
          <w:i/>
          <w:iCs/>
          <w:noProof/>
          <w:szCs w:val="24"/>
        </w:rPr>
        <w:t>Epidemiology</w:t>
      </w:r>
      <w:r w:rsidRPr="00BA4601">
        <w:rPr>
          <w:noProof/>
          <w:szCs w:val="24"/>
        </w:rPr>
        <w:t xml:space="preserve"> </w:t>
      </w:r>
      <w:r w:rsidRPr="00BA4601">
        <w:rPr>
          <w:b/>
          <w:bCs/>
          <w:noProof/>
          <w:szCs w:val="24"/>
        </w:rPr>
        <w:t>16</w:t>
      </w:r>
      <w:r w:rsidRPr="00BA4601">
        <w:rPr>
          <w:noProof/>
          <w:szCs w:val="24"/>
        </w:rPr>
        <w:t>, 556–562 (2005).</w:t>
      </w:r>
    </w:p>
    <w:p w14:paraId="711C4E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76.</w:t>
      </w:r>
      <w:r w:rsidRPr="00BA4601">
        <w:rPr>
          <w:noProof/>
          <w:szCs w:val="24"/>
        </w:rPr>
        <w:tab/>
        <w:t xml:space="preserve">Levine, M. E. </w:t>
      </w:r>
      <w:r w:rsidRPr="00BA4601">
        <w:rPr>
          <w:i/>
          <w:iCs/>
          <w:noProof/>
          <w:szCs w:val="24"/>
        </w:rPr>
        <w:t>et al.</w:t>
      </w:r>
      <w:r w:rsidRPr="00BA4601">
        <w:rPr>
          <w:noProof/>
          <w:szCs w:val="24"/>
        </w:rPr>
        <w:t xml:space="preserve"> Menopause accelerates biological aging. </w:t>
      </w:r>
      <w:r w:rsidRPr="00BA4601">
        <w:rPr>
          <w:i/>
          <w:iCs/>
          <w:noProof/>
          <w:szCs w:val="24"/>
        </w:rPr>
        <w:t>Proc. Natl. Acad. Sci. U. S. A.</w:t>
      </w:r>
      <w:r w:rsidRPr="00BA4601">
        <w:rPr>
          <w:noProof/>
          <w:szCs w:val="24"/>
        </w:rPr>
        <w:t xml:space="preserve"> </w:t>
      </w:r>
      <w:r w:rsidRPr="00BA4601">
        <w:rPr>
          <w:b/>
          <w:bCs/>
          <w:noProof/>
          <w:szCs w:val="24"/>
        </w:rPr>
        <w:t>113</w:t>
      </w:r>
      <w:r w:rsidRPr="00BA4601">
        <w:rPr>
          <w:noProof/>
          <w:szCs w:val="24"/>
        </w:rPr>
        <w:t>, 9327–9332 (2016).</w:t>
      </w:r>
    </w:p>
    <w:p w14:paraId="65FE55D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77.</w:t>
      </w:r>
      <w:r w:rsidRPr="00BA4601">
        <w:rPr>
          <w:noProof/>
          <w:szCs w:val="24"/>
        </w:rPr>
        <w:tab/>
        <w:t xml:space="preserve">Gleason, C. E., Cholerton, B., Carlsson, C. M., Johnson, S. C. &amp; Asthana, S. Neuroprotective effects of female sex steroids in humans: Current controversies and future directions. </w:t>
      </w:r>
      <w:r w:rsidRPr="00BA4601">
        <w:rPr>
          <w:i/>
          <w:iCs/>
          <w:noProof/>
          <w:szCs w:val="24"/>
        </w:rPr>
        <w:t>Cell. Mol. Life Sci.</w:t>
      </w:r>
      <w:r w:rsidRPr="00BA4601">
        <w:rPr>
          <w:noProof/>
          <w:szCs w:val="24"/>
        </w:rPr>
        <w:t xml:space="preserve"> </w:t>
      </w:r>
      <w:r w:rsidRPr="00BA4601">
        <w:rPr>
          <w:b/>
          <w:bCs/>
          <w:noProof/>
          <w:szCs w:val="24"/>
        </w:rPr>
        <w:t>62</w:t>
      </w:r>
      <w:r w:rsidRPr="00BA4601">
        <w:rPr>
          <w:noProof/>
          <w:szCs w:val="24"/>
        </w:rPr>
        <w:t>, 299–312 (2005).</w:t>
      </w:r>
    </w:p>
    <w:p w14:paraId="69309C4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78.</w:t>
      </w:r>
      <w:r w:rsidRPr="00BA4601">
        <w:rPr>
          <w:noProof/>
          <w:szCs w:val="24"/>
        </w:rPr>
        <w:tab/>
        <w:t xml:space="preserve">Parker, W. H. </w:t>
      </w:r>
      <w:r w:rsidRPr="00BA4601">
        <w:rPr>
          <w:i/>
          <w:iCs/>
          <w:noProof/>
          <w:szCs w:val="24"/>
        </w:rPr>
        <w:t>et al.</w:t>
      </w:r>
      <w:r w:rsidRPr="00BA4601">
        <w:rPr>
          <w:noProof/>
          <w:szCs w:val="24"/>
        </w:rPr>
        <w:t xml:space="preserve"> Ovarian conservation at the time of hysterectomy and long-term health </w:t>
      </w:r>
      <w:r w:rsidRPr="00BA4601">
        <w:rPr>
          <w:noProof/>
          <w:szCs w:val="24"/>
        </w:rPr>
        <w:lastRenderedPageBreak/>
        <w:t xml:space="preserve">outcomes in the Nurses’ Health study. </w:t>
      </w:r>
      <w:r w:rsidRPr="00BA4601">
        <w:rPr>
          <w:i/>
          <w:iCs/>
          <w:noProof/>
          <w:szCs w:val="24"/>
        </w:rPr>
        <w:t>Obstet. Gynecol.</w:t>
      </w:r>
      <w:r w:rsidRPr="00BA4601">
        <w:rPr>
          <w:noProof/>
          <w:szCs w:val="24"/>
        </w:rPr>
        <w:t xml:space="preserve"> </w:t>
      </w:r>
      <w:r w:rsidRPr="00BA4601">
        <w:rPr>
          <w:b/>
          <w:bCs/>
          <w:noProof/>
          <w:szCs w:val="24"/>
        </w:rPr>
        <w:t>113</w:t>
      </w:r>
      <w:r w:rsidRPr="00BA4601">
        <w:rPr>
          <w:noProof/>
          <w:szCs w:val="24"/>
        </w:rPr>
        <w:t>, 1027–1037 (2009).</w:t>
      </w:r>
    </w:p>
    <w:p w14:paraId="08E85B5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79.</w:t>
      </w:r>
      <w:r w:rsidRPr="00BA4601">
        <w:rPr>
          <w:noProof/>
          <w:szCs w:val="24"/>
        </w:rPr>
        <w:tab/>
        <w:t xml:space="preserve">Prentice, A. M. &amp; Prentice, A. Energy costs of lactation. </w:t>
      </w:r>
      <w:r w:rsidRPr="00BA4601">
        <w:rPr>
          <w:i/>
          <w:iCs/>
          <w:noProof/>
          <w:szCs w:val="24"/>
        </w:rPr>
        <w:t>Annu. Rev. Nutr.</w:t>
      </w:r>
      <w:r w:rsidRPr="00BA4601">
        <w:rPr>
          <w:noProof/>
          <w:szCs w:val="24"/>
        </w:rPr>
        <w:t xml:space="preserve"> </w:t>
      </w:r>
      <w:r w:rsidRPr="00BA4601">
        <w:rPr>
          <w:b/>
          <w:bCs/>
          <w:noProof/>
          <w:szCs w:val="24"/>
        </w:rPr>
        <w:t>8</w:t>
      </w:r>
      <w:r w:rsidRPr="00BA4601">
        <w:rPr>
          <w:noProof/>
          <w:szCs w:val="24"/>
        </w:rPr>
        <w:t>, 63–79 (1988).</w:t>
      </w:r>
    </w:p>
    <w:p w14:paraId="5503C7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80.</w:t>
      </w:r>
      <w:r w:rsidRPr="00BA4601">
        <w:rPr>
          <w:noProof/>
          <w:szCs w:val="24"/>
        </w:rPr>
        <w:tab/>
        <w:t xml:space="preserve">Lee, D. C., Im, J. A., Kim, J. H., Lee, H. R. &amp; Shim, J. Y. Effect of long-term hormone therapy on telomere length in postmenopausal women. </w:t>
      </w:r>
      <w:r w:rsidRPr="00BA4601">
        <w:rPr>
          <w:i/>
          <w:iCs/>
          <w:noProof/>
          <w:szCs w:val="24"/>
        </w:rPr>
        <w:t>Yonsei Med. J.</w:t>
      </w:r>
      <w:r w:rsidRPr="00BA4601">
        <w:rPr>
          <w:noProof/>
          <w:szCs w:val="24"/>
        </w:rPr>
        <w:t xml:space="preserve"> </w:t>
      </w:r>
      <w:r w:rsidRPr="00BA4601">
        <w:rPr>
          <w:b/>
          <w:bCs/>
          <w:noProof/>
          <w:szCs w:val="24"/>
        </w:rPr>
        <w:t>46</w:t>
      </w:r>
      <w:r w:rsidRPr="00BA4601">
        <w:rPr>
          <w:noProof/>
          <w:szCs w:val="24"/>
        </w:rPr>
        <w:t>, 471–479 (2005).</w:t>
      </w:r>
    </w:p>
    <w:p w14:paraId="0D14149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81.</w:t>
      </w:r>
      <w:r w:rsidRPr="00BA4601">
        <w:rPr>
          <w:noProof/>
          <w:szCs w:val="24"/>
        </w:rPr>
        <w:tab/>
        <w:t xml:space="preserve">Henrich, J., Heine, S. J. &amp; Norenzayan, A. The weirdest people in the world? </w:t>
      </w:r>
      <w:r w:rsidRPr="00BA4601">
        <w:rPr>
          <w:i/>
          <w:iCs/>
          <w:noProof/>
          <w:szCs w:val="24"/>
        </w:rPr>
        <w:t>Behav. Brain Sci.</w:t>
      </w:r>
      <w:r w:rsidRPr="00BA4601">
        <w:rPr>
          <w:noProof/>
          <w:szCs w:val="24"/>
        </w:rPr>
        <w:t xml:space="preserve"> </w:t>
      </w:r>
      <w:r w:rsidRPr="00BA4601">
        <w:rPr>
          <w:b/>
          <w:bCs/>
          <w:noProof/>
          <w:szCs w:val="24"/>
        </w:rPr>
        <w:t>33</w:t>
      </w:r>
      <w:r w:rsidRPr="00BA4601">
        <w:rPr>
          <w:noProof/>
          <w:szCs w:val="24"/>
        </w:rPr>
        <w:t>, 61–135 (2010).</w:t>
      </w:r>
    </w:p>
    <w:p w14:paraId="5666523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82.</w:t>
      </w:r>
      <w:r w:rsidRPr="00BA4601">
        <w:rPr>
          <w:noProof/>
          <w:szCs w:val="24"/>
        </w:rPr>
        <w:tab/>
        <w:t xml:space="preserve">Gurven, M. D. &amp; Lieberman, D. E. WEIRD bodies: mismatch, medicine and missing diversity. </w:t>
      </w:r>
      <w:r w:rsidRPr="00BA4601">
        <w:rPr>
          <w:i/>
          <w:iCs/>
          <w:noProof/>
          <w:szCs w:val="24"/>
        </w:rPr>
        <w:t>Evol. Hum. Behav.</w:t>
      </w:r>
      <w:r w:rsidRPr="00BA4601">
        <w:rPr>
          <w:noProof/>
          <w:szCs w:val="24"/>
        </w:rPr>
        <w:t xml:space="preserve"> 0–1 (2020). doi:10.1016/j.evolhumbehav.2020.04.001</w:t>
      </w:r>
    </w:p>
    <w:p w14:paraId="2E6C3F9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83.</w:t>
      </w:r>
      <w:r w:rsidRPr="00BA4601">
        <w:rPr>
          <w:noProof/>
          <w:szCs w:val="24"/>
        </w:rPr>
        <w:tab/>
        <w:t xml:space="preserve">Sear, R., Lawson, D. W., Kaplan, H. &amp; Shenk, M. K. Understanding variation in human fertility: What can we learn from evolutionary demography? </w:t>
      </w:r>
      <w:r w:rsidRPr="00BA4601">
        <w:rPr>
          <w:i/>
          <w:iCs/>
          <w:noProof/>
          <w:szCs w:val="24"/>
        </w:rPr>
        <w:t>Philos. Trans. R. Soc. B Biol. Sci.</w:t>
      </w:r>
      <w:r w:rsidRPr="00BA4601">
        <w:rPr>
          <w:noProof/>
          <w:szCs w:val="24"/>
        </w:rPr>
        <w:t xml:space="preserve"> </w:t>
      </w:r>
      <w:r w:rsidRPr="00BA4601">
        <w:rPr>
          <w:b/>
          <w:bCs/>
          <w:noProof/>
          <w:szCs w:val="24"/>
        </w:rPr>
        <w:t>371</w:t>
      </w:r>
      <w:r w:rsidRPr="00BA4601">
        <w:rPr>
          <w:noProof/>
          <w:szCs w:val="24"/>
        </w:rPr>
        <w:t>, (2016).</w:t>
      </w:r>
    </w:p>
    <w:p w14:paraId="09D0BEF4" w14:textId="77777777" w:rsidR="00BA4601" w:rsidRPr="00BA4601" w:rsidRDefault="00BA4601" w:rsidP="00BA4601">
      <w:pPr>
        <w:widowControl w:val="0"/>
        <w:autoSpaceDE w:val="0"/>
        <w:autoSpaceDN w:val="0"/>
        <w:adjustRightInd w:val="0"/>
        <w:spacing w:line="480" w:lineRule="auto"/>
        <w:ind w:left="640" w:hanging="640"/>
        <w:rPr>
          <w:noProof/>
        </w:rPr>
      </w:pPr>
      <w:r w:rsidRPr="00BA4601">
        <w:rPr>
          <w:noProof/>
          <w:szCs w:val="24"/>
        </w:rPr>
        <w:t>84.</w:t>
      </w:r>
      <w:r w:rsidRPr="00BA4601">
        <w:rPr>
          <w:noProof/>
          <w:szCs w:val="24"/>
        </w:rPr>
        <w:tab/>
        <w:t xml:space="preserve">Gurven, M. </w:t>
      </w:r>
      <w:r w:rsidRPr="00BA4601">
        <w:rPr>
          <w:i/>
          <w:iCs/>
          <w:noProof/>
          <w:szCs w:val="24"/>
        </w:rPr>
        <w:t>et al.</w:t>
      </w:r>
      <w:r w:rsidRPr="00BA4601">
        <w:rPr>
          <w:noProof/>
          <w:szCs w:val="24"/>
        </w:rPr>
        <w:t xml:space="preserve"> Health costs of reproduction are minimal despite high fertility, mortality and subsistence lifestyle. </w:t>
      </w:r>
      <w:r w:rsidRPr="00BA4601">
        <w:rPr>
          <w:i/>
          <w:iCs/>
          <w:noProof/>
          <w:szCs w:val="24"/>
        </w:rPr>
        <w:t>Sci. Rep.</w:t>
      </w:r>
      <w:r w:rsidRPr="00BA4601">
        <w:rPr>
          <w:noProof/>
          <w:szCs w:val="24"/>
        </w:rPr>
        <w:t xml:space="preserve"> </w:t>
      </w:r>
      <w:r w:rsidRPr="00BA4601">
        <w:rPr>
          <w:b/>
          <w:bCs/>
          <w:noProof/>
          <w:szCs w:val="24"/>
        </w:rPr>
        <w:t>6</w:t>
      </w:r>
      <w:r w:rsidRPr="00BA4601">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0F1E308C" w14:textId="644B2D43" w:rsidR="005C1705" w:rsidRDefault="005C1705" w:rsidP="008406FB">
      <w:pPr>
        <w:shd w:val="clear" w:color="auto" w:fill="FFFFFF"/>
        <w:spacing w:line="480" w:lineRule="auto"/>
        <w:rPr>
          <w:b/>
        </w:rPr>
      </w:pPr>
    </w:p>
    <w:p w14:paraId="4BCF38FC" w14:textId="77777777" w:rsidR="005C1705" w:rsidRDefault="005C1705" w:rsidP="008406FB">
      <w:pPr>
        <w:shd w:val="clear" w:color="auto" w:fill="FFFFFF"/>
        <w:spacing w:line="480" w:lineRule="auto"/>
        <w:rPr>
          <w:b/>
          <w:bCs/>
        </w:rPr>
      </w:pPr>
      <w:r>
        <w:rPr>
          <w:b/>
          <w:bCs/>
        </w:rPr>
        <w:lastRenderedPageBreak/>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14385EC4"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w:t>
      </w:r>
      <w:r w:rsidR="002533E0">
        <w:rPr>
          <w:color w:val="000000"/>
        </w:rPr>
        <w:t>-</w:t>
      </w:r>
      <w:r>
        <w:rPr>
          <w:color w:val="000000"/>
        </w:rPr>
        <w:t>menopausal (black bars;</w:t>
      </w:r>
      <w:r>
        <w:rPr>
          <w:i/>
          <w:iCs/>
          <w:color w:val="000000"/>
        </w:rPr>
        <w:t xml:space="preserve"> n</w:t>
      </w:r>
      <w:r>
        <w:rPr>
          <w:color w:val="000000"/>
        </w:rPr>
        <w:t xml:space="preserve"> = 2,1</w:t>
      </w:r>
      <w:r w:rsidR="00595A1F">
        <w:rPr>
          <w:color w:val="000000"/>
        </w:rPr>
        <w:t>66</w:t>
      </w:r>
      <w:r>
        <w:rPr>
          <w:color w:val="000000"/>
        </w:rPr>
        <w:t>) and post</w:t>
      </w:r>
      <w:r w:rsidR="002533E0">
        <w:rPr>
          <w:color w:val="000000"/>
        </w:rPr>
        <w:t>-</w:t>
      </w:r>
      <w:r>
        <w:rPr>
          <w:color w:val="000000"/>
        </w:rPr>
        <w:t xml:space="preserve">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4FF8A065" w:rsidR="005C1705" w:rsidRPr="00DE4B0E" w:rsidRDefault="005C1705" w:rsidP="008406FB">
      <w:pPr>
        <w:shd w:val="clear" w:color="auto" w:fill="FFFFFF"/>
        <w:spacing w:line="480" w:lineRule="auto"/>
        <w:rPr>
          <w:b/>
          <w:bCs/>
        </w:rPr>
        <w:sectPr w:rsidR="005C1705" w:rsidRPr="00DE4B0E" w:rsidSect="008406FB">
          <w:footerReference w:type="default" r:id="rId10"/>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w:t>
      </w:r>
      <w:r w:rsidR="002533E0">
        <w:rPr>
          <w:color w:val="000000"/>
        </w:rPr>
        <w:t>-</w:t>
      </w:r>
      <w:r>
        <w:rPr>
          <w:color w:val="000000"/>
        </w:rPr>
        <w:t>menopausal women (black line</w:t>
      </w:r>
      <w:r w:rsidR="00D835D4">
        <w:rPr>
          <w:color w:val="000000"/>
        </w:rPr>
        <w:t>s</w:t>
      </w:r>
      <w:r>
        <w:rPr>
          <w:color w:val="000000"/>
        </w:rPr>
        <w:t>) and post</w:t>
      </w:r>
      <w:r w:rsidR="002533E0">
        <w:rPr>
          <w:color w:val="000000"/>
        </w:rPr>
        <w:t>-</w:t>
      </w:r>
      <w:r>
        <w:rPr>
          <w:color w:val="000000"/>
        </w:rPr>
        <w: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2DFD35" w14:textId="76BAEF49" w:rsidR="007520D9" w:rsidRPr="007B2EA2" w:rsidRDefault="00ED4070" w:rsidP="007B2EA2">
      <w:pPr>
        <w:rPr>
          <w:b/>
          <w:bCs/>
        </w:rPr>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 xml:space="preserve">Means, standard errors (SE), and percentages represent </w:t>
      </w:r>
      <w:proofErr w:type="gramStart"/>
      <w:r w:rsidRPr="00595A1F">
        <w:rPr>
          <w:highlight w:val="yellow"/>
        </w:rPr>
        <w:t>nationally-representative</w:t>
      </w:r>
      <w:proofErr w:type="gramEnd"/>
      <w:r w:rsidRPr="00595A1F">
        <w:rPr>
          <w:highlight w:val="yellow"/>
        </w:rPr>
        <w:t xml:space="preser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5CB1E345" w:rsidR="007520D9" w:rsidRPr="00021165" w:rsidRDefault="007520D9" w:rsidP="00B95B54">
            <w:pPr>
              <w:jc w:val="center"/>
              <w:rPr>
                <w:rFonts w:ascii="Arial" w:hAnsi="Arial" w:cs="Arial"/>
                <w:sz w:val="16"/>
                <w:szCs w:val="16"/>
              </w:rPr>
            </w:pPr>
            <w:r w:rsidRPr="00021165">
              <w:rPr>
                <w:rFonts w:ascii="Arial" w:hAnsi="Arial" w:cs="Arial"/>
                <w:sz w:val="16"/>
                <w:szCs w:val="16"/>
              </w:rPr>
              <w:t>Pre</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sidRPr="00380182">
              <w:rPr>
                <w:rFonts w:ascii="Arial" w:hAnsi="Arial" w:cs="Arial"/>
                <w:i/>
                <w:iCs/>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2F68A49C" w:rsidR="007520D9" w:rsidRPr="00021165" w:rsidRDefault="007520D9" w:rsidP="00B95B54">
            <w:pPr>
              <w:jc w:val="center"/>
              <w:rPr>
                <w:rFonts w:ascii="Arial" w:hAnsi="Arial" w:cs="Arial"/>
                <w:sz w:val="16"/>
                <w:szCs w:val="16"/>
              </w:rPr>
            </w:pPr>
            <w:r w:rsidRPr="00021165">
              <w:rPr>
                <w:rFonts w:ascii="Arial" w:hAnsi="Arial" w:cs="Arial"/>
                <w:sz w:val="16"/>
                <w:szCs w:val="16"/>
              </w:rPr>
              <w:t>Post</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0B802530" w:rsidR="007520D9" w:rsidRPr="00021165" w:rsidRDefault="007520D9" w:rsidP="00B95B54">
            <w:pPr>
              <w:jc w:val="center"/>
              <w:rPr>
                <w:rFonts w:ascii="Arial" w:hAnsi="Arial" w:cs="Arial"/>
                <w:sz w:val="16"/>
                <w:szCs w:val="16"/>
              </w:rPr>
            </w:pPr>
            <w:r w:rsidRPr="00021165">
              <w:rPr>
                <w:rFonts w:ascii="Arial" w:hAnsi="Arial" w:cs="Arial"/>
                <w:sz w:val="16"/>
                <w:szCs w:val="16"/>
              </w:rPr>
              <w:t>34.</w:t>
            </w:r>
            <w:r w:rsidR="0038620E">
              <w:rPr>
                <w:rFonts w:ascii="Arial" w:hAnsi="Arial" w:cs="Arial"/>
                <w:sz w:val="16"/>
                <w:szCs w:val="16"/>
              </w:rPr>
              <w:t>92</w:t>
            </w:r>
            <w:r w:rsidRPr="00021165">
              <w:rPr>
                <w:rFonts w:ascii="Arial" w:hAnsi="Arial" w:cs="Arial"/>
                <w:sz w:val="16"/>
                <w:szCs w:val="16"/>
              </w:rPr>
              <w:t xml:space="preserve"> (0.</w:t>
            </w:r>
            <w:r w:rsidR="00AB3F8F">
              <w:rPr>
                <w:rFonts w:ascii="Arial" w:hAnsi="Arial" w:cs="Arial"/>
                <w:sz w:val="16"/>
                <w:szCs w:val="16"/>
              </w:rPr>
              <w:t>26</w:t>
            </w:r>
            <w:r w:rsidRPr="00021165">
              <w:rPr>
                <w:rFonts w:ascii="Arial" w:hAnsi="Arial" w:cs="Arial"/>
                <w:sz w:val="16"/>
                <w:szCs w:val="16"/>
              </w:rPr>
              <w:t>, 20-61)</w:t>
            </w:r>
          </w:p>
        </w:tc>
        <w:tc>
          <w:tcPr>
            <w:tcW w:w="2610" w:type="dxa"/>
            <w:tcBorders>
              <w:top w:val="single" w:sz="4" w:space="0" w:color="auto"/>
              <w:left w:val="single" w:sz="4" w:space="0" w:color="auto"/>
            </w:tcBorders>
          </w:tcPr>
          <w:p w14:paraId="2982C9E2" w14:textId="0620E21C" w:rsidR="007520D9" w:rsidRPr="00021165" w:rsidRDefault="007520D9" w:rsidP="00B95B54">
            <w:pPr>
              <w:jc w:val="center"/>
              <w:rPr>
                <w:rFonts w:ascii="Arial" w:hAnsi="Arial" w:cs="Arial"/>
                <w:sz w:val="16"/>
                <w:szCs w:val="16"/>
              </w:rPr>
            </w:pPr>
            <w:r w:rsidRPr="00021165">
              <w:rPr>
                <w:rFonts w:ascii="Arial" w:hAnsi="Arial" w:cs="Arial"/>
                <w:sz w:val="16"/>
                <w:szCs w:val="16"/>
              </w:rPr>
              <w:t>6</w:t>
            </w:r>
            <w:r w:rsidR="00AB3F8F">
              <w:rPr>
                <w:rFonts w:ascii="Arial" w:hAnsi="Arial" w:cs="Arial"/>
                <w:sz w:val="16"/>
                <w:szCs w:val="16"/>
              </w:rPr>
              <w:t>3.50</w:t>
            </w:r>
            <w:r w:rsidRPr="00021165">
              <w:rPr>
                <w:rFonts w:ascii="Arial" w:hAnsi="Arial" w:cs="Arial"/>
                <w:sz w:val="16"/>
                <w:szCs w:val="16"/>
              </w:rPr>
              <w:t xml:space="preserve"> (0.</w:t>
            </w:r>
            <w:r w:rsidR="00F474A4">
              <w:rPr>
                <w:rFonts w:ascii="Arial" w:hAnsi="Arial" w:cs="Arial"/>
                <w:sz w:val="16"/>
                <w:szCs w:val="16"/>
              </w:rPr>
              <w:t>30</w:t>
            </w:r>
            <w:r w:rsidRPr="00021165">
              <w:rPr>
                <w:rFonts w:ascii="Arial" w:hAnsi="Arial" w:cs="Arial"/>
                <w:sz w:val="16"/>
                <w:szCs w:val="16"/>
              </w:rPr>
              <w:t>,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6053638E" w:rsidR="007520D9" w:rsidRPr="00021165" w:rsidRDefault="007520D9" w:rsidP="00B95B54">
            <w:pPr>
              <w:jc w:val="center"/>
              <w:rPr>
                <w:rFonts w:ascii="Arial" w:hAnsi="Arial" w:cs="Arial"/>
                <w:sz w:val="16"/>
                <w:szCs w:val="16"/>
              </w:rPr>
            </w:pPr>
            <w:r w:rsidRPr="00021165">
              <w:rPr>
                <w:rFonts w:ascii="Arial" w:hAnsi="Arial" w:cs="Arial"/>
                <w:sz w:val="16"/>
                <w:szCs w:val="16"/>
              </w:rPr>
              <w:t>28.</w:t>
            </w:r>
            <w:r w:rsidR="00AB3F8F">
              <w:rPr>
                <w:rFonts w:ascii="Arial" w:hAnsi="Arial" w:cs="Arial"/>
                <w:sz w:val="16"/>
                <w:szCs w:val="16"/>
              </w:rPr>
              <w:t>18</w:t>
            </w:r>
            <w:r w:rsidRPr="00021165">
              <w:rPr>
                <w:rFonts w:ascii="Arial" w:hAnsi="Arial" w:cs="Arial"/>
                <w:sz w:val="16"/>
                <w:szCs w:val="16"/>
              </w:rPr>
              <w:t xml:space="preserve"> (0.1</w:t>
            </w:r>
            <w:r w:rsidR="00AB3F8F">
              <w:rPr>
                <w:rFonts w:ascii="Arial" w:hAnsi="Arial" w:cs="Arial"/>
                <w:sz w:val="16"/>
                <w:szCs w:val="16"/>
              </w:rPr>
              <w:t>8</w:t>
            </w:r>
            <w:r w:rsidRPr="00021165">
              <w:rPr>
                <w:rFonts w:ascii="Arial" w:hAnsi="Arial" w:cs="Arial"/>
                <w:sz w:val="16"/>
                <w:szCs w:val="16"/>
              </w:rPr>
              <w:t>, 15.6-71.3)</w:t>
            </w:r>
          </w:p>
        </w:tc>
        <w:tc>
          <w:tcPr>
            <w:tcW w:w="2610" w:type="dxa"/>
            <w:tcBorders>
              <w:left w:val="single" w:sz="4" w:space="0" w:color="auto"/>
            </w:tcBorders>
          </w:tcPr>
          <w:p w14:paraId="1540ADDA" w14:textId="3D0188C9" w:rsidR="007520D9" w:rsidRPr="00021165" w:rsidRDefault="007520D9" w:rsidP="00B95B54">
            <w:pPr>
              <w:jc w:val="center"/>
              <w:rPr>
                <w:rFonts w:ascii="Arial" w:hAnsi="Arial" w:cs="Arial"/>
                <w:sz w:val="16"/>
                <w:szCs w:val="16"/>
              </w:rPr>
            </w:pPr>
            <w:r w:rsidRPr="00021165">
              <w:rPr>
                <w:rFonts w:ascii="Arial" w:hAnsi="Arial" w:cs="Arial"/>
                <w:sz w:val="16"/>
                <w:szCs w:val="16"/>
              </w:rPr>
              <w:t>29.</w:t>
            </w:r>
            <w:r w:rsidR="00F474A4">
              <w:rPr>
                <w:rFonts w:ascii="Arial" w:hAnsi="Arial" w:cs="Arial"/>
                <w:sz w:val="16"/>
                <w:szCs w:val="16"/>
              </w:rPr>
              <w:t>04</w:t>
            </w:r>
            <w:r w:rsidRPr="00021165">
              <w:rPr>
                <w:rFonts w:ascii="Arial" w:hAnsi="Arial" w:cs="Arial"/>
                <w:sz w:val="16"/>
                <w:szCs w:val="16"/>
              </w:rPr>
              <w:t xml:space="preserve"> (0.1</w:t>
            </w:r>
            <w:r w:rsidR="00F474A4">
              <w:rPr>
                <w:rFonts w:ascii="Arial" w:hAnsi="Arial" w:cs="Arial"/>
                <w:sz w:val="16"/>
                <w:szCs w:val="16"/>
              </w:rPr>
              <w:t>6</w:t>
            </w:r>
            <w:r w:rsidRPr="00021165">
              <w:rPr>
                <w:rFonts w:ascii="Arial" w:hAnsi="Arial" w:cs="Arial"/>
                <w:sz w:val="16"/>
                <w:szCs w:val="16"/>
              </w:rPr>
              <w:t>, 14.7-57.6)</w:t>
            </w:r>
          </w:p>
        </w:tc>
        <w:tc>
          <w:tcPr>
            <w:tcW w:w="1260" w:type="dxa"/>
          </w:tcPr>
          <w:p w14:paraId="6D5A45AE" w14:textId="23CBA7EF" w:rsidR="007520D9" w:rsidRPr="00021165" w:rsidRDefault="0038620E" w:rsidP="00B95B54">
            <w:pPr>
              <w:jc w:val="center"/>
              <w:rPr>
                <w:rFonts w:ascii="Arial" w:hAnsi="Arial" w:cs="Arial"/>
                <w:sz w:val="16"/>
                <w:szCs w:val="16"/>
              </w:rPr>
            </w:pPr>
            <w:r>
              <w:rPr>
                <w:rFonts w:ascii="Arial" w:hAnsi="Arial" w:cs="Arial"/>
                <w:sz w:val="16"/>
                <w:szCs w:val="16"/>
              </w:rPr>
              <w:t>&lt;0.001</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2B163597"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AB3F8F">
              <w:rPr>
                <w:rFonts w:ascii="Arial" w:hAnsi="Arial" w:cs="Arial"/>
                <w:sz w:val="16"/>
                <w:szCs w:val="16"/>
              </w:rPr>
              <w:t>86</w:t>
            </w:r>
            <w:r w:rsidRPr="00021165">
              <w:rPr>
                <w:rFonts w:ascii="Arial" w:hAnsi="Arial" w:cs="Arial"/>
                <w:sz w:val="16"/>
                <w:szCs w:val="16"/>
              </w:rPr>
              <w:t xml:space="preserve"> (0.0</w:t>
            </w:r>
            <w:r w:rsidR="00AB3F8F">
              <w:rPr>
                <w:rFonts w:ascii="Arial" w:hAnsi="Arial" w:cs="Arial"/>
                <w:sz w:val="16"/>
                <w:szCs w:val="16"/>
              </w:rPr>
              <w:t>5</w:t>
            </w:r>
            <w:r w:rsidRPr="00021165">
              <w:rPr>
                <w:rFonts w:ascii="Arial" w:hAnsi="Arial" w:cs="Arial"/>
                <w:sz w:val="16"/>
                <w:szCs w:val="16"/>
              </w:rPr>
              <w:t>, 0-5)</w:t>
            </w:r>
          </w:p>
        </w:tc>
        <w:tc>
          <w:tcPr>
            <w:tcW w:w="2610" w:type="dxa"/>
            <w:tcBorders>
              <w:left w:val="single" w:sz="4" w:space="0" w:color="auto"/>
            </w:tcBorders>
          </w:tcPr>
          <w:p w14:paraId="64A5B203" w14:textId="30FC8A06" w:rsidR="007520D9" w:rsidRPr="00021165" w:rsidRDefault="00F474A4" w:rsidP="00B95B54">
            <w:pPr>
              <w:jc w:val="center"/>
              <w:rPr>
                <w:rFonts w:ascii="Arial" w:hAnsi="Arial" w:cs="Arial"/>
                <w:sz w:val="16"/>
                <w:szCs w:val="16"/>
              </w:rPr>
            </w:pPr>
            <w:r>
              <w:rPr>
                <w:rFonts w:ascii="Arial" w:hAnsi="Arial" w:cs="Arial"/>
                <w:sz w:val="16"/>
                <w:szCs w:val="16"/>
              </w:rPr>
              <w:t>3.03</w:t>
            </w:r>
            <w:r w:rsidR="007520D9" w:rsidRPr="00021165">
              <w:rPr>
                <w:rFonts w:ascii="Arial" w:hAnsi="Arial" w:cs="Arial"/>
                <w:sz w:val="16"/>
                <w:szCs w:val="16"/>
              </w:rPr>
              <w:t xml:space="preserve"> (0.0</w:t>
            </w:r>
            <w:r>
              <w:rPr>
                <w:rFonts w:ascii="Arial" w:hAnsi="Arial" w:cs="Arial"/>
                <w:sz w:val="16"/>
                <w:szCs w:val="16"/>
              </w:rPr>
              <w:t>5</w:t>
            </w:r>
            <w:r w:rsidR="007520D9" w:rsidRPr="00021165">
              <w:rPr>
                <w:rFonts w:ascii="Arial" w:hAnsi="Arial" w:cs="Arial"/>
                <w:sz w:val="16"/>
                <w:szCs w:val="16"/>
              </w:rPr>
              <w:t>,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5964C0BB"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 xml:space="preserve">367 </w:t>
            </w:r>
            <w:r w:rsidR="00AB3F8F">
              <w:rPr>
                <w:rFonts w:ascii="Arial" w:hAnsi="Arial" w:cs="Arial"/>
                <w:sz w:val="16"/>
                <w:szCs w:val="16"/>
              </w:rPr>
              <w:t>(59.2</w:t>
            </w:r>
            <w:r w:rsidRPr="00021165">
              <w:rPr>
                <w:rFonts w:ascii="Arial" w:hAnsi="Arial" w:cs="Arial"/>
                <w:sz w:val="16"/>
                <w:szCs w:val="16"/>
              </w:rPr>
              <w:t>%)</w:t>
            </w:r>
          </w:p>
        </w:tc>
        <w:tc>
          <w:tcPr>
            <w:tcW w:w="2610" w:type="dxa"/>
            <w:tcBorders>
              <w:left w:val="single" w:sz="4" w:space="0" w:color="auto"/>
            </w:tcBorders>
          </w:tcPr>
          <w:p w14:paraId="04CEADC2" w14:textId="172BFE5E"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278 (5</w:t>
            </w:r>
            <w:r w:rsidR="00F474A4">
              <w:rPr>
                <w:rFonts w:ascii="Arial" w:hAnsi="Arial" w:cs="Arial"/>
                <w:sz w:val="16"/>
                <w:szCs w:val="16"/>
              </w:rPr>
              <w:t>2</w:t>
            </w:r>
            <w:r w:rsidRPr="00021165">
              <w:rPr>
                <w:rFonts w:ascii="Arial" w:hAnsi="Arial" w:cs="Arial"/>
                <w:sz w:val="16"/>
                <w:szCs w:val="16"/>
              </w:rPr>
              <w:t>.</w:t>
            </w:r>
            <w:r w:rsidR="00F474A4">
              <w:rPr>
                <w:rFonts w:ascii="Arial" w:hAnsi="Arial" w:cs="Arial"/>
                <w:sz w:val="16"/>
                <w:szCs w:val="16"/>
              </w:rPr>
              <w:t>6</w:t>
            </w:r>
            <w:r w:rsidRPr="00021165">
              <w:rPr>
                <w:rFonts w:ascii="Arial" w:hAnsi="Arial" w:cs="Arial"/>
                <w:sz w:val="16"/>
                <w:szCs w:val="16"/>
              </w:rPr>
              <w:t>%</w:t>
            </w:r>
            <w:r w:rsidR="00F474A4">
              <w:rPr>
                <w:rFonts w:ascii="Arial" w:hAnsi="Arial" w:cs="Arial"/>
                <w:sz w:val="16"/>
                <w:szCs w:val="16"/>
              </w:rPr>
              <w:t>)</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38620E">
        <w:trPr>
          <w:trHeight w:val="139"/>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093697" w:rsidR="007520D9" w:rsidRPr="00021165" w:rsidRDefault="007520D9" w:rsidP="00B95B54">
            <w:pPr>
              <w:jc w:val="center"/>
              <w:rPr>
                <w:rFonts w:ascii="Arial" w:hAnsi="Arial" w:cs="Arial"/>
                <w:sz w:val="16"/>
                <w:szCs w:val="16"/>
              </w:rPr>
            </w:pPr>
            <w:r w:rsidRPr="00021165">
              <w:rPr>
                <w:rFonts w:ascii="Arial" w:hAnsi="Arial" w:cs="Arial"/>
                <w:sz w:val="16"/>
                <w:szCs w:val="16"/>
              </w:rPr>
              <w:t>290 (1</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72D6E766" w14:textId="0E6B1CE9" w:rsidR="007520D9" w:rsidRPr="00021165" w:rsidRDefault="007520D9" w:rsidP="00B95B54">
            <w:pPr>
              <w:jc w:val="center"/>
              <w:rPr>
                <w:rFonts w:ascii="Arial" w:hAnsi="Arial" w:cs="Arial"/>
                <w:sz w:val="16"/>
                <w:szCs w:val="16"/>
              </w:rPr>
            </w:pPr>
            <w:r w:rsidRPr="00021165">
              <w:rPr>
                <w:rFonts w:ascii="Arial" w:hAnsi="Arial" w:cs="Arial"/>
                <w:sz w:val="16"/>
                <w:szCs w:val="16"/>
              </w:rPr>
              <w:t>659 (</w:t>
            </w:r>
            <w:r w:rsidR="00F474A4">
              <w:rPr>
                <w:rFonts w:ascii="Arial" w:hAnsi="Arial" w:cs="Arial"/>
                <w:sz w:val="16"/>
                <w:szCs w:val="16"/>
              </w:rPr>
              <w:t>31.1</w:t>
            </w:r>
            <w:r w:rsidRPr="00021165">
              <w:rPr>
                <w:rFonts w:ascii="Arial" w:hAnsi="Arial" w:cs="Arial"/>
                <w:sz w:val="16"/>
                <w:szCs w:val="16"/>
              </w:rPr>
              <w:t>%)</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378034A5" w:rsidR="007520D9" w:rsidRPr="00021165" w:rsidRDefault="007520D9" w:rsidP="00B95B54">
            <w:pPr>
              <w:jc w:val="center"/>
              <w:rPr>
                <w:rFonts w:ascii="Arial" w:hAnsi="Arial" w:cs="Arial"/>
                <w:sz w:val="16"/>
                <w:szCs w:val="16"/>
              </w:rPr>
            </w:pPr>
            <w:r w:rsidRPr="00021165">
              <w:rPr>
                <w:rFonts w:ascii="Arial" w:hAnsi="Arial" w:cs="Arial"/>
                <w:sz w:val="16"/>
                <w:szCs w:val="16"/>
              </w:rPr>
              <w:t>509 (</w:t>
            </w:r>
            <w:r w:rsidR="00AB3F8F">
              <w:rPr>
                <w:rFonts w:ascii="Arial" w:hAnsi="Arial" w:cs="Arial"/>
                <w:sz w:val="16"/>
                <w:szCs w:val="16"/>
              </w:rPr>
              <w:t>24.4</w:t>
            </w:r>
            <w:r w:rsidRPr="00021165">
              <w:rPr>
                <w:rFonts w:ascii="Arial" w:hAnsi="Arial" w:cs="Arial"/>
                <w:sz w:val="16"/>
                <w:szCs w:val="16"/>
              </w:rPr>
              <w:t>%)</w:t>
            </w:r>
          </w:p>
        </w:tc>
        <w:tc>
          <w:tcPr>
            <w:tcW w:w="2610" w:type="dxa"/>
            <w:tcBorders>
              <w:left w:val="single" w:sz="4" w:space="0" w:color="auto"/>
            </w:tcBorders>
          </w:tcPr>
          <w:p w14:paraId="016F0AE4" w14:textId="24160B54" w:rsidR="007520D9" w:rsidRPr="00021165" w:rsidRDefault="007520D9" w:rsidP="00B95B54">
            <w:pPr>
              <w:jc w:val="center"/>
              <w:rPr>
                <w:rFonts w:ascii="Arial" w:hAnsi="Arial" w:cs="Arial"/>
                <w:sz w:val="16"/>
                <w:szCs w:val="16"/>
              </w:rPr>
            </w:pPr>
            <w:r w:rsidRPr="00021165">
              <w:rPr>
                <w:rFonts w:ascii="Arial" w:hAnsi="Arial" w:cs="Arial"/>
                <w:sz w:val="16"/>
                <w:szCs w:val="16"/>
              </w:rPr>
              <w:t>315 (</w:t>
            </w:r>
            <w:r w:rsidR="00F474A4">
              <w:rPr>
                <w:rFonts w:ascii="Arial" w:hAnsi="Arial" w:cs="Arial"/>
                <w:sz w:val="16"/>
                <w:szCs w:val="16"/>
              </w:rPr>
              <w:t>16.3</w:t>
            </w:r>
            <w:r w:rsidRPr="00021165">
              <w:rPr>
                <w:rFonts w:ascii="Arial" w:hAnsi="Arial" w:cs="Arial"/>
                <w:sz w:val="16"/>
                <w:szCs w:val="16"/>
              </w:rPr>
              <w:t>%)</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0ABE7CBE" w:rsidR="007520D9" w:rsidRPr="00021165" w:rsidRDefault="007520D9" w:rsidP="00B95B54">
            <w:pPr>
              <w:jc w:val="center"/>
              <w:rPr>
                <w:rFonts w:ascii="Arial" w:hAnsi="Arial" w:cs="Arial"/>
                <w:sz w:val="16"/>
                <w:szCs w:val="16"/>
              </w:rPr>
            </w:pPr>
            <w:r w:rsidRPr="00021165">
              <w:rPr>
                <w:rFonts w:ascii="Arial" w:hAnsi="Arial" w:cs="Arial"/>
                <w:sz w:val="16"/>
                <w:szCs w:val="16"/>
              </w:rPr>
              <w:t>682 (</w:t>
            </w:r>
            <w:r w:rsidR="00F474A4">
              <w:rPr>
                <w:rFonts w:ascii="Arial" w:hAnsi="Arial" w:cs="Arial"/>
                <w:sz w:val="16"/>
                <w:szCs w:val="16"/>
              </w:rPr>
              <w:t>20.8</w:t>
            </w:r>
            <w:r w:rsidRPr="00021165">
              <w:rPr>
                <w:rFonts w:ascii="Arial" w:hAnsi="Arial" w:cs="Arial"/>
                <w:sz w:val="16"/>
                <w:szCs w:val="16"/>
              </w:rPr>
              <w:t>%)</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452DE1DB" w:rsidR="007520D9" w:rsidRPr="00021165" w:rsidRDefault="007520D9" w:rsidP="00B95B54">
            <w:pPr>
              <w:jc w:val="center"/>
              <w:rPr>
                <w:rFonts w:ascii="Arial" w:hAnsi="Arial" w:cs="Arial"/>
                <w:sz w:val="16"/>
                <w:szCs w:val="16"/>
              </w:rPr>
            </w:pPr>
            <w:r w:rsidRPr="00021165">
              <w:rPr>
                <w:rFonts w:ascii="Arial" w:hAnsi="Arial" w:cs="Arial"/>
                <w:sz w:val="16"/>
                <w:szCs w:val="16"/>
              </w:rPr>
              <w:t>465 (21.</w:t>
            </w:r>
            <w:r w:rsidR="00AB3F8F">
              <w:rPr>
                <w:rFonts w:ascii="Arial" w:hAnsi="Arial" w:cs="Arial"/>
                <w:sz w:val="16"/>
                <w:szCs w:val="16"/>
              </w:rPr>
              <w:t>9</w:t>
            </w:r>
            <w:r w:rsidRPr="00021165">
              <w:rPr>
                <w:rFonts w:ascii="Arial" w:hAnsi="Arial" w:cs="Arial"/>
                <w:sz w:val="16"/>
                <w:szCs w:val="16"/>
              </w:rPr>
              <w:t>%)</w:t>
            </w:r>
          </w:p>
        </w:tc>
        <w:tc>
          <w:tcPr>
            <w:tcW w:w="2610" w:type="dxa"/>
            <w:tcBorders>
              <w:left w:val="single" w:sz="4" w:space="0" w:color="auto"/>
            </w:tcBorders>
          </w:tcPr>
          <w:p w14:paraId="4BA4B0CC" w14:textId="1B23B631" w:rsidR="007520D9" w:rsidRPr="00021165" w:rsidRDefault="007520D9" w:rsidP="00B95B54">
            <w:pPr>
              <w:jc w:val="center"/>
              <w:rPr>
                <w:rFonts w:ascii="Arial" w:hAnsi="Arial" w:cs="Arial"/>
                <w:sz w:val="16"/>
                <w:szCs w:val="16"/>
              </w:rPr>
            </w:pPr>
            <w:r w:rsidRPr="00021165">
              <w:rPr>
                <w:rFonts w:ascii="Arial" w:hAnsi="Arial" w:cs="Arial"/>
                <w:sz w:val="16"/>
                <w:szCs w:val="16"/>
              </w:rPr>
              <w:t>617 (</w:t>
            </w:r>
            <w:r w:rsidR="00F474A4">
              <w:rPr>
                <w:rFonts w:ascii="Arial" w:hAnsi="Arial" w:cs="Arial"/>
                <w:sz w:val="16"/>
                <w:szCs w:val="16"/>
              </w:rPr>
              <w:t>29.9%</w:t>
            </w:r>
            <w:r w:rsidRPr="00021165">
              <w:rPr>
                <w:rFonts w:ascii="Arial" w:hAnsi="Arial" w:cs="Arial"/>
                <w:sz w:val="16"/>
                <w:szCs w:val="16"/>
              </w:rPr>
              <w:t>)</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652E8840" w:rsidR="007520D9" w:rsidRPr="00021165" w:rsidRDefault="007520D9" w:rsidP="00B95B54">
            <w:pPr>
              <w:jc w:val="center"/>
              <w:rPr>
                <w:rFonts w:ascii="Arial" w:hAnsi="Arial" w:cs="Arial"/>
                <w:sz w:val="16"/>
                <w:szCs w:val="16"/>
              </w:rPr>
            </w:pPr>
            <w:r w:rsidRPr="00021165">
              <w:rPr>
                <w:rFonts w:ascii="Arial" w:hAnsi="Arial" w:cs="Arial"/>
                <w:sz w:val="16"/>
                <w:szCs w:val="16"/>
              </w:rPr>
              <w:t>744 (3</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5ED71D99" w14:textId="685AE009" w:rsidR="007520D9" w:rsidRPr="00021165" w:rsidRDefault="007520D9" w:rsidP="00B95B54">
            <w:pPr>
              <w:jc w:val="center"/>
              <w:rPr>
                <w:rFonts w:ascii="Arial" w:hAnsi="Arial" w:cs="Arial"/>
                <w:sz w:val="16"/>
                <w:szCs w:val="16"/>
              </w:rPr>
            </w:pPr>
            <w:r w:rsidRPr="00021165">
              <w:rPr>
                <w:rFonts w:ascii="Arial" w:hAnsi="Arial" w:cs="Arial"/>
                <w:sz w:val="16"/>
                <w:szCs w:val="16"/>
              </w:rPr>
              <w:t>593 (2</w:t>
            </w:r>
            <w:r w:rsidR="00F474A4">
              <w:rPr>
                <w:rFonts w:ascii="Arial" w:hAnsi="Arial" w:cs="Arial"/>
                <w:sz w:val="16"/>
                <w:szCs w:val="16"/>
              </w:rPr>
              <w:t>8</w:t>
            </w:r>
            <w:r w:rsidRPr="00021165">
              <w:rPr>
                <w:rFonts w:ascii="Arial" w:hAnsi="Arial" w:cs="Arial"/>
                <w:sz w:val="16"/>
                <w:szCs w:val="16"/>
              </w:rPr>
              <w:t>.</w:t>
            </w:r>
            <w:r w:rsidR="00F474A4">
              <w:rPr>
                <w:rFonts w:ascii="Arial" w:hAnsi="Arial" w:cs="Arial"/>
                <w:sz w:val="16"/>
                <w:szCs w:val="16"/>
              </w:rPr>
              <w:t>7</w:t>
            </w:r>
            <w:r w:rsidRPr="00021165">
              <w:rPr>
                <w:rFonts w:ascii="Arial" w:hAnsi="Arial" w:cs="Arial"/>
                <w:sz w:val="16"/>
                <w:szCs w:val="16"/>
              </w:rPr>
              <w:t>%)</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1C6241F" w:rsidR="007520D9" w:rsidRPr="00021165" w:rsidRDefault="007520D9" w:rsidP="00B95B54">
            <w:pPr>
              <w:jc w:val="center"/>
              <w:rPr>
                <w:rFonts w:ascii="Arial" w:hAnsi="Arial" w:cs="Arial"/>
                <w:sz w:val="16"/>
                <w:szCs w:val="16"/>
              </w:rPr>
            </w:pPr>
            <w:r w:rsidRPr="00021165">
              <w:rPr>
                <w:rFonts w:ascii="Arial" w:hAnsi="Arial" w:cs="Arial"/>
                <w:sz w:val="16"/>
                <w:szCs w:val="16"/>
              </w:rPr>
              <w:t>468 (</w:t>
            </w:r>
            <w:r w:rsidR="00AB3F8F">
              <w:rPr>
                <w:rFonts w:ascii="Arial" w:hAnsi="Arial" w:cs="Arial"/>
                <w:sz w:val="16"/>
                <w:szCs w:val="16"/>
              </w:rPr>
              <w:t>19.1</w:t>
            </w:r>
            <w:r w:rsidRPr="00021165">
              <w:rPr>
                <w:rFonts w:ascii="Arial" w:hAnsi="Arial" w:cs="Arial"/>
                <w:sz w:val="16"/>
                <w:szCs w:val="16"/>
              </w:rPr>
              <w:t>%)</w:t>
            </w:r>
          </w:p>
        </w:tc>
        <w:tc>
          <w:tcPr>
            <w:tcW w:w="2610" w:type="dxa"/>
            <w:tcBorders>
              <w:left w:val="single" w:sz="4" w:space="0" w:color="auto"/>
            </w:tcBorders>
          </w:tcPr>
          <w:p w14:paraId="2FCCEA30" w14:textId="16C99065" w:rsidR="007520D9" w:rsidRPr="00021165" w:rsidRDefault="007520D9" w:rsidP="00B95B54">
            <w:pPr>
              <w:jc w:val="center"/>
              <w:rPr>
                <w:rFonts w:ascii="Arial" w:hAnsi="Arial" w:cs="Arial"/>
                <w:sz w:val="16"/>
                <w:szCs w:val="16"/>
              </w:rPr>
            </w:pPr>
            <w:r w:rsidRPr="00021165">
              <w:rPr>
                <w:rFonts w:ascii="Arial" w:hAnsi="Arial" w:cs="Arial"/>
                <w:sz w:val="16"/>
                <w:szCs w:val="16"/>
              </w:rPr>
              <w:t>360 (</w:t>
            </w:r>
            <w:r w:rsidR="00F474A4">
              <w:rPr>
                <w:rFonts w:ascii="Arial" w:hAnsi="Arial" w:cs="Arial"/>
                <w:sz w:val="16"/>
                <w:szCs w:val="16"/>
              </w:rPr>
              <w:t>20.6</w:t>
            </w:r>
            <w:r w:rsidRPr="00021165">
              <w:rPr>
                <w:rFonts w:ascii="Arial" w:hAnsi="Arial" w:cs="Arial"/>
                <w:sz w:val="16"/>
                <w:szCs w:val="16"/>
              </w:rPr>
              <w:t>%)</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4A82AEB8"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3BD1F599" w:rsidR="007520D9" w:rsidRPr="00021165" w:rsidRDefault="007520D9" w:rsidP="00B95B54">
            <w:pPr>
              <w:jc w:val="center"/>
              <w:rPr>
                <w:rFonts w:ascii="Arial" w:hAnsi="Arial" w:cs="Arial"/>
                <w:sz w:val="16"/>
                <w:szCs w:val="16"/>
              </w:rPr>
            </w:pPr>
            <w:r w:rsidRPr="00021165">
              <w:rPr>
                <w:rFonts w:ascii="Arial" w:hAnsi="Arial" w:cs="Arial"/>
                <w:sz w:val="16"/>
                <w:szCs w:val="16"/>
              </w:rPr>
              <w:t>59 (</w:t>
            </w:r>
            <w:r w:rsidR="00F474A4">
              <w:rPr>
                <w:rFonts w:ascii="Arial" w:hAnsi="Arial" w:cs="Arial"/>
                <w:sz w:val="16"/>
                <w:szCs w:val="16"/>
              </w:rPr>
              <w:t>3.3</w:t>
            </w:r>
            <w:r w:rsidRPr="00021165">
              <w:rPr>
                <w:rFonts w:ascii="Arial" w:hAnsi="Arial" w:cs="Arial"/>
                <w:sz w:val="16"/>
                <w:szCs w:val="16"/>
              </w:rPr>
              <w:t>%)</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579932ED"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AB3F8F">
              <w:rPr>
                <w:rFonts w:ascii="Arial" w:hAnsi="Arial" w:cs="Arial"/>
                <w:sz w:val="16"/>
                <w:szCs w:val="16"/>
              </w:rPr>
              <w:t>60</w:t>
            </w:r>
            <w:r w:rsidRPr="00021165">
              <w:rPr>
                <w:rFonts w:ascii="Arial" w:hAnsi="Arial" w:cs="Arial"/>
                <w:sz w:val="16"/>
                <w:szCs w:val="16"/>
              </w:rPr>
              <w:t xml:space="preserve"> (0.0</w:t>
            </w:r>
            <w:r w:rsidR="00AB3F8F">
              <w:rPr>
                <w:rFonts w:ascii="Arial" w:hAnsi="Arial" w:cs="Arial"/>
                <w:sz w:val="16"/>
                <w:szCs w:val="16"/>
              </w:rPr>
              <w:t>4</w:t>
            </w:r>
            <w:r w:rsidRPr="00021165">
              <w:rPr>
                <w:rFonts w:ascii="Arial" w:hAnsi="Arial" w:cs="Arial"/>
                <w:sz w:val="16"/>
                <w:szCs w:val="16"/>
              </w:rPr>
              <w:t>, 0-7)</w:t>
            </w:r>
          </w:p>
        </w:tc>
        <w:tc>
          <w:tcPr>
            <w:tcW w:w="2610" w:type="dxa"/>
            <w:tcBorders>
              <w:left w:val="single" w:sz="4" w:space="0" w:color="auto"/>
            </w:tcBorders>
          </w:tcPr>
          <w:p w14:paraId="0572FB57" w14:textId="3B80CB31"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F474A4">
              <w:rPr>
                <w:rFonts w:ascii="Arial" w:hAnsi="Arial" w:cs="Arial"/>
                <w:sz w:val="16"/>
                <w:szCs w:val="16"/>
              </w:rPr>
              <w:t>58</w:t>
            </w:r>
            <w:r w:rsidRPr="00021165">
              <w:rPr>
                <w:rFonts w:ascii="Arial" w:hAnsi="Arial" w:cs="Arial"/>
                <w:sz w:val="16"/>
                <w:szCs w:val="16"/>
              </w:rPr>
              <w:t xml:space="preserve">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33A95E0" w:rsidR="007520D9" w:rsidRPr="00021165" w:rsidRDefault="007520D9" w:rsidP="00B95B54">
            <w:pPr>
              <w:jc w:val="center"/>
              <w:rPr>
                <w:rFonts w:ascii="Arial" w:hAnsi="Arial" w:cs="Arial"/>
                <w:sz w:val="16"/>
                <w:szCs w:val="16"/>
              </w:rPr>
            </w:pPr>
            <w:r w:rsidRPr="00021165">
              <w:rPr>
                <w:rFonts w:ascii="Arial" w:hAnsi="Arial" w:cs="Arial"/>
                <w:sz w:val="16"/>
                <w:szCs w:val="16"/>
              </w:rPr>
              <w:t>534 (2</w:t>
            </w:r>
            <w:r w:rsidR="00AB3F8F">
              <w:rPr>
                <w:rFonts w:ascii="Arial" w:hAnsi="Arial" w:cs="Arial"/>
                <w:sz w:val="16"/>
                <w:szCs w:val="16"/>
              </w:rPr>
              <w:t>7</w:t>
            </w:r>
            <w:r w:rsidRPr="00021165">
              <w:rPr>
                <w:rFonts w:ascii="Arial" w:hAnsi="Arial" w:cs="Arial"/>
                <w:sz w:val="16"/>
                <w:szCs w:val="16"/>
              </w:rPr>
              <w:t>.</w:t>
            </w:r>
            <w:r w:rsidR="00AB3F8F">
              <w:rPr>
                <w:rFonts w:ascii="Arial" w:hAnsi="Arial" w:cs="Arial"/>
                <w:sz w:val="16"/>
                <w:szCs w:val="16"/>
              </w:rPr>
              <w:t>6</w:t>
            </w:r>
            <w:r w:rsidRPr="00021165">
              <w:rPr>
                <w:rFonts w:ascii="Arial" w:hAnsi="Arial" w:cs="Arial"/>
                <w:sz w:val="16"/>
                <w:szCs w:val="16"/>
              </w:rPr>
              <w:t>%)</w:t>
            </w:r>
          </w:p>
        </w:tc>
        <w:tc>
          <w:tcPr>
            <w:tcW w:w="2610" w:type="dxa"/>
            <w:tcBorders>
              <w:left w:val="single" w:sz="4" w:space="0" w:color="auto"/>
            </w:tcBorders>
          </w:tcPr>
          <w:p w14:paraId="687E3250" w14:textId="7B0561BC" w:rsidR="007520D9" w:rsidRPr="00021165" w:rsidRDefault="007520D9" w:rsidP="00B95B54">
            <w:pPr>
              <w:jc w:val="center"/>
              <w:rPr>
                <w:rFonts w:ascii="Arial" w:hAnsi="Arial" w:cs="Arial"/>
                <w:sz w:val="16"/>
                <w:szCs w:val="16"/>
              </w:rPr>
            </w:pPr>
            <w:r w:rsidRPr="00021165">
              <w:rPr>
                <w:rFonts w:ascii="Arial" w:hAnsi="Arial" w:cs="Arial"/>
                <w:sz w:val="16"/>
                <w:szCs w:val="16"/>
              </w:rPr>
              <w:t>237 (1</w:t>
            </w:r>
            <w:r w:rsidR="00F474A4">
              <w:rPr>
                <w:rFonts w:ascii="Arial" w:hAnsi="Arial" w:cs="Arial"/>
                <w:sz w:val="16"/>
                <w:szCs w:val="16"/>
              </w:rPr>
              <w:t>1</w:t>
            </w:r>
            <w:r w:rsidRPr="00021165">
              <w:rPr>
                <w:rFonts w:ascii="Arial" w:hAnsi="Arial" w:cs="Arial"/>
                <w:sz w:val="16"/>
                <w:szCs w:val="16"/>
              </w:rPr>
              <w:t>.</w:t>
            </w:r>
            <w:r w:rsidR="00F474A4">
              <w:rPr>
                <w:rFonts w:ascii="Arial" w:hAnsi="Arial" w:cs="Arial"/>
                <w:sz w:val="16"/>
                <w:szCs w:val="16"/>
              </w:rPr>
              <w:t>1</w:t>
            </w:r>
            <w:r w:rsidRPr="00021165">
              <w:rPr>
                <w:rFonts w:ascii="Arial" w:hAnsi="Arial" w:cs="Arial"/>
                <w:sz w:val="16"/>
                <w:szCs w:val="16"/>
              </w:rPr>
              <w:t>%)</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2994A6AA" w:rsidR="007520D9" w:rsidRPr="00ED4070" w:rsidRDefault="007520D9" w:rsidP="00B95B54">
            <w:pPr>
              <w:jc w:val="center"/>
              <w:rPr>
                <w:rFonts w:ascii="Arial" w:hAnsi="Arial" w:cs="Arial"/>
                <w:sz w:val="16"/>
                <w:szCs w:val="16"/>
              </w:rPr>
            </w:pPr>
            <w:r w:rsidRPr="00ED4070">
              <w:rPr>
                <w:rFonts w:ascii="Arial" w:hAnsi="Arial" w:cs="Arial"/>
                <w:sz w:val="16"/>
                <w:szCs w:val="16"/>
              </w:rPr>
              <w:t>1</w:t>
            </w:r>
            <w:r w:rsidR="00380182">
              <w:rPr>
                <w:rFonts w:ascii="Arial" w:hAnsi="Arial" w:cs="Arial"/>
                <w:sz w:val="16"/>
                <w:szCs w:val="16"/>
              </w:rPr>
              <w:t>,</w:t>
            </w:r>
            <w:r w:rsidRPr="00ED4070">
              <w:rPr>
                <w:rFonts w:ascii="Arial" w:hAnsi="Arial" w:cs="Arial"/>
                <w:sz w:val="16"/>
                <w:szCs w:val="16"/>
              </w:rPr>
              <w:t>632 (7</w:t>
            </w:r>
            <w:r w:rsidR="00AB3F8F">
              <w:rPr>
                <w:rFonts w:ascii="Arial" w:hAnsi="Arial" w:cs="Arial"/>
                <w:sz w:val="16"/>
                <w:szCs w:val="16"/>
              </w:rPr>
              <w:t>2.4</w:t>
            </w:r>
            <w:r w:rsidRPr="00ED4070">
              <w:rPr>
                <w:rFonts w:ascii="Arial" w:hAnsi="Arial" w:cs="Arial"/>
                <w:sz w:val="16"/>
                <w:szCs w:val="16"/>
              </w:rPr>
              <w:t>%)</w:t>
            </w:r>
          </w:p>
        </w:tc>
        <w:tc>
          <w:tcPr>
            <w:tcW w:w="2610" w:type="dxa"/>
            <w:tcBorders>
              <w:left w:val="single" w:sz="4" w:space="0" w:color="auto"/>
            </w:tcBorders>
          </w:tcPr>
          <w:p w14:paraId="2252FD47" w14:textId="4B4F82A6" w:rsidR="007520D9" w:rsidRPr="00ED4070" w:rsidRDefault="007520D9" w:rsidP="00B95B54">
            <w:pPr>
              <w:jc w:val="center"/>
              <w:rPr>
                <w:rFonts w:ascii="Arial" w:hAnsi="Arial" w:cs="Arial"/>
                <w:sz w:val="16"/>
                <w:szCs w:val="16"/>
              </w:rPr>
            </w:pPr>
            <w:r w:rsidRPr="00ED4070">
              <w:rPr>
                <w:rFonts w:ascii="Arial" w:hAnsi="Arial" w:cs="Arial"/>
                <w:sz w:val="16"/>
                <w:szCs w:val="16"/>
              </w:rPr>
              <w:t>2</w:t>
            </w:r>
            <w:r w:rsidR="00380182">
              <w:rPr>
                <w:rFonts w:ascii="Arial" w:hAnsi="Arial" w:cs="Arial"/>
                <w:sz w:val="16"/>
                <w:szCs w:val="16"/>
              </w:rPr>
              <w:t>,</w:t>
            </w:r>
            <w:r w:rsidRPr="00ED4070">
              <w:rPr>
                <w:rFonts w:ascii="Arial" w:hAnsi="Arial" w:cs="Arial"/>
                <w:sz w:val="16"/>
                <w:szCs w:val="16"/>
              </w:rPr>
              <w:t>015 (8</w:t>
            </w:r>
            <w:r w:rsidR="00F474A4">
              <w:rPr>
                <w:rFonts w:ascii="Arial" w:hAnsi="Arial" w:cs="Arial"/>
                <w:sz w:val="16"/>
                <w:szCs w:val="16"/>
              </w:rPr>
              <w:t>8</w:t>
            </w:r>
            <w:r w:rsidRPr="00ED4070">
              <w:rPr>
                <w:rFonts w:ascii="Arial" w:hAnsi="Arial" w:cs="Arial"/>
                <w:sz w:val="16"/>
                <w:szCs w:val="16"/>
              </w:rPr>
              <w:t>.</w:t>
            </w:r>
            <w:r w:rsidR="00F474A4">
              <w:rPr>
                <w:rFonts w:ascii="Arial" w:hAnsi="Arial" w:cs="Arial"/>
                <w:sz w:val="16"/>
                <w:szCs w:val="16"/>
              </w:rPr>
              <w:t>9</w:t>
            </w:r>
            <w:r w:rsidRPr="00ED4070">
              <w:rPr>
                <w:rFonts w:ascii="Arial" w:hAnsi="Arial" w:cs="Arial"/>
                <w:sz w:val="16"/>
                <w:szCs w:val="16"/>
              </w:rPr>
              <w:t>%)</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01BE2DC2" w:rsidR="007520D9" w:rsidRPr="00ED4070" w:rsidRDefault="007520D9" w:rsidP="00B95B54">
            <w:pPr>
              <w:jc w:val="center"/>
              <w:rPr>
                <w:rFonts w:ascii="Arial" w:hAnsi="Arial" w:cs="Arial"/>
                <w:sz w:val="16"/>
                <w:szCs w:val="16"/>
              </w:rPr>
            </w:pPr>
            <w:r w:rsidRPr="00ED4070">
              <w:rPr>
                <w:rFonts w:ascii="Arial" w:hAnsi="Arial" w:cs="Arial"/>
                <w:sz w:val="16"/>
                <w:szCs w:val="16"/>
              </w:rPr>
              <w:t>30.</w:t>
            </w:r>
            <w:r w:rsidR="00AB3F8F">
              <w:rPr>
                <w:rFonts w:ascii="Arial" w:hAnsi="Arial" w:cs="Arial"/>
                <w:sz w:val="16"/>
                <w:szCs w:val="16"/>
              </w:rPr>
              <w:t>42</w:t>
            </w:r>
            <w:r w:rsidRPr="00ED4070">
              <w:rPr>
                <w:rFonts w:ascii="Arial" w:hAnsi="Arial" w:cs="Arial"/>
                <w:sz w:val="16"/>
                <w:szCs w:val="16"/>
              </w:rPr>
              <w:t xml:space="preserve"> (0.2</w:t>
            </w:r>
            <w:r w:rsidR="00AB3F8F">
              <w:rPr>
                <w:rFonts w:ascii="Arial" w:hAnsi="Arial" w:cs="Arial"/>
                <w:sz w:val="16"/>
                <w:szCs w:val="16"/>
              </w:rPr>
              <w:t>8</w:t>
            </w:r>
            <w:r w:rsidRPr="00ED4070">
              <w:rPr>
                <w:rFonts w:ascii="Arial" w:hAnsi="Arial" w:cs="Arial"/>
                <w:sz w:val="16"/>
                <w:szCs w:val="16"/>
              </w:rPr>
              <w:t>, 4.7-81.3)</w:t>
            </w:r>
          </w:p>
        </w:tc>
        <w:tc>
          <w:tcPr>
            <w:tcW w:w="2610" w:type="dxa"/>
            <w:tcBorders>
              <w:left w:val="single" w:sz="4" w:space="0" w:color="auto"/>
            </w:tcBorders>
          </w:tcPr>
          <w:p w14:paraId="229B3546" w14:textId="5A221CC0" w:rsidR="007520D9" w:rsidRPr="00ED4070" w:rsidRDefault="00F474A4" w:rsidP="00B95B54">
            <w:pPr>
              <w:jc w:val="center"/>
              <w:rPr>
                <w:rFonts w:ascii="Arial" w:hAnsi="Arial" w:cs="Arial"/>
                <w:sz w:val="16"/>
                <w:szCs w:val="16"/>
              </w:rPr>
            </w:pPr>
            <w:r>
              <w:rPr>
                <w:rFonts w:ascii="Arial" w:hAnsi="Arial" w:cs="Arial"/>
                <w:sz w:val="16"/>
                <w:szCs w:val="16"/>
              </w:rPr>
              <w:t>59.23</w:t>
            </w:r>
            <w:r w:rsidR="007520D9" w:rsidRPr="00ED4070">
              <w:rPr>
                <w:rFonts w:ascii="Arial" w:hAnsi="Arial" w:cs="Arial"/>
                <w:sz w:val="16"/>
                <w:szCs w:val="16"/>
              </w:rPr>
              <w:t xml:space="preserve"> (0.</w:t>
            </w:r>
            <w:r>
              <w:rPr>
                <w:rFonts w:ascii="Arial" w:hAnsi="Arial" w:cs="Arial"/>
                <w:sz w:val="16"/>
                <w:szCs w:val="16"/>
              </w:rPr>
              <w:t>3</w:t>
            </w:r>
            <w:r w:rsidR="007520D9" w:rsidRPr="00ED4070">
              <w:rPr>
                <w:rFonts w:ascii="Arial" w:hAnsi="Arial" w:cs="Arial"/>
                <w:sz w:val="16"/>
                <w:szCs w:val="16"/>
              </w:rPr>
              <w:t>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556A19DE" w:rsidR="00ED4070" w:rsidRPr="00ED4070" w:rsidRDefault="00AB3F8F" w:rsidP="00B95B54">
            <w:pPr>
              <w:jc w:val="center"/>
              <w:rPr>
                <w:rFonts w:ascii="Arial" w:hAnsi="Arial" w:cs="Arial"/>
                <w:sz w:val="16"/>
                <w:szCs w:val="16"/>
              </w:rPr>
            </w:pPr>
            <w:r>
              <w:rPr>
                <w:rFonts w:ascii="Arial" w:hAnsi="Arial" w:cs="Arial"/>
                <w:sz w:val="16"/>
                <w:szCs w:val="16"/>
              </w:rPr>
              <w:t xml:space="preserve">-0.57 (0.13, </w:t>
            </w:r>
            <w:r w:rsidR="00BC3C47">
              <w:rPr>
                <w:rFonts w:ascii="Arial" w:hAnsi="Arial" w:cs="Arial"/>
                <w:sz w:val="16"/>
                <w:szCs w:val="16"/>
              </w:rPr>
              <w:t>-14.1</w:t>
            </w:r>
            <w:r w:rsidR="00BC3C47" w:rsidRPr="00ED4070">
              <w:rPr>
                <w:rFonts w:ascii="Arial" w:hAnsi="Arial" w:cs="Arial"/>
                <w:sz w:val="16"/>
                <w:szCs w:val="16"/>
              </w:rPr>
              <w:t>-</w:t>
            </w:r>
            <w:r w:rsidR="00BC3C47">
              <w:rPr>
                <w:rFonts w:ascii="Arial" w:hAnsi="Arial" w:cs="Arial"/>
                <w:sz w:val="16"/>
                <w:szCs w:val="16"/>
              </w:rPr>
              <w:t>32.3</w:t>
            </w:r>
            <w:r>
              <w:rPr>
                <w:rFonts w:ascii="Arial" w:hAnsi="Arial" w:cs="Arial"/>
                <w:sz w:val="16"/>
                <w:szCs w:val="16"/>
              </w:rPr>
              <w:t>)</w:t>
            </w:r>
          </w:p>
        </w:tc>
        <w:tc>
          <w:tcPr>
            <w:tcW w:w="2610" w:type="dxa"/>
            <w:tcBorders>
              <w:left w:val="single" w:sz="4" w:space="0" w:color="auto"/>
            </w:tcBorders>
          </w:tcPr>
          <w:p w14:paraId="7CF57D18" w14:textId="2E7C56BB" w:rsidR="00ED4070" w:rsidRPr="00ED4070" w:rsidRDefault="00F474A4" w:rsidP="00B95B54">
            <w:pPr>
              <w:jc w:val="center"/>
              <w:rPr>
                <w:rFonts w:ascii="Arial" w:hAnsi="Arial" w:cs="Arial"/>
                <w:sz w:val="16"/>
                <w:szCs w:val="16"/>
              </w:rPr>
            </w:pPr>
            <w:r>
              <w:rPr>
                <w:rFonts w:ascii="Arial" w:hAnsi="Arial" w:cs="Arial"/>
                <w:sz w:val="16"/>
                <w:szCs w:val="16"/>
              </w:rPr>
              <w:t xml:space="preserve">-0.69 (0.18, </w:t>
            </w:r>
            <w:r w:rsidR="00BC3C47">
              <w:rPr>
                <w:rFonts w:ascii="Arial" w:hAnsi="Arial" w:cs="Arial"/>
                <w:sz w:val="16"/>
                <w:szCs w:val="16"/>
              </w:rPr>
              <w:t>-14.7-47.9</w:t>
            </w:r>
            <w:r>
              <w:rPr>
                <w:rFonts w:ascii="Arial" w:hAnsi="Arial" w:cs="Arial"/>
                <w:sz w:val="16"/>
                <w:szCs w:val="16"/>
              </w:rPr>
              <w:t>)</w:t>
            </w: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05E2582B" w:rsidR="007520D9" w:rsidRPr="00ED4070" w:rsidRDefault="007520D9" w:rsidP="00B95B54">
            <w:pPr>
              <w:jc w:val="center"/>
              <w:rPr>
                <w:rFonts w:ascii="Arial" w:hAnsi="Arial" w:cs="Arial"/>
                <w:sz w:val="16"/>
                <w:szCs w:val="16"/>
              </w:rPr>
            </w:pPr>
            <w:r w:rsidRPr="00ED4070">
              <w:rPr>
                <w:rFonts w:ascii="Arial" w:hAnsi="Arial" w:cs="Arial"/>
                <w:sz w:val="16"/>
                <w:szCs w:val="16"/>
              </w:rPr>
              <w:t>3.</w:t>
            </w:r>
            <w:r w:rsidR="00AB3F8F">
              <w:rPr>
                <w:rFonts w:ascii="Arial" w:hAnsi="Arial" w:cs="Arial"/>
                <w:sz w:val="16"/>
                <w:szCs w:val="16"/>
              </w:rPr>
              <w:t>09</w:t>
            </w:r>
            <w:r w:rsidRPr="00ED4070">
              <w:rPr>
                <w:rFonts w:ascii="Arial" w:hAnsi="Arial" w:cs="Arial"/>
                <w:sz w:val="16"/>
                <w:szCs w:val="16"/>
              </w:rPr>
              <w:t xml:space="preserve"> (0.01, 1.5-4.8)</w:t>
            </w:r>
          </w:p>
        </w:tc>
        <w:tc>
          <w:tcPr>
            <w:tcW w:w="2610" w:type="dxa"/>
            <w:tcBorders>
              <w:left w:val="single" w:sz="4" w:space="0" w:color="auto"/>
            </w:tcBorders>
          </w:tcPr>
          <w:p w14:paraId="7E731840" w14:textId="7F476667" w:rsidR="007520D9" w:rsidRPr="00ED4070" w:rsidRDefault="007520D9" w:rsidP="00B95B54">
            <w:pPr>
              <w:jc w:val="center"/>
              <w:rPr>
                <w:rFonts w:ascii="Arial" w:hAnsi="Arial" w:cs="Arial"/>
                <w:sz w:val="16"/>
                <w:szCs w:val="16"/>
              </w:rPr>
            </w:pPr>
            <w:r w:rsidRPr="00ED4070">
              <w:rPr>
                <w:rFonts w:ascii="Arial" w:hAnsi="Arial" w:cs="Arial"/>
                <w:sz w:val="16"/>
                <w:szCs w:val="16"/>
              </w:rPr>
              <w:t>3.2</w:t>
            </w:r>
            <w:r w:rsidR="00F474A4">
              <w:rPr>
                <w:rFonts w:ascii="Arial" w:hAnsi="Arial" w:cs="Arial"/>
                <w:sz w:val="16"/>
                <w:szCs w:val="16"/>
              </w:rPr>
              <w:t>5</w:t>
            </w:r>
            <w:r w:rsidRPr="00ED4070">
              <w:rPr>
                <w:rFonts w:ascii="Arial" w:hAnsi="Arial" w:cs="Arial"/>
                <w:sz w:val="16"/>
                <w:szCs w:val="16"/>
              </w:rPr>
              <w:t xml:space="preserve">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1AE1A1C5" w:rsidR="00ED4070" w:rsidRPr="00ED4070" w:rsidRDefault="00AB3F8F" w:rsidP="00B95B54">
            <w:pPr>
              <w:jc w:val="center"/>
              <w:rPr>
                <w:rFonts w:ascii="Arial" w:hAnsi="Arial" w:cs="Arial"/>
                <w:sz w:val="16"/>
                <w:szCs w:val="16"/>
              </w:rPr>
            </w:pPr>
            <w:r>
              <w:rPr>
                <w:rFonts w:ascii="Arial" w:hAnsi="Arial" w:cs="Arial"/>
                <w:sz w:val="16"/>
                <w:szCs w:val="16"/>
              </w:rPr>
              <w:t xml:space="preserve">-0.04 (0.01, </w:t>
            </w:r>
            <w:r w:rsidR="00BC3C47">
              <w:rPr>
                <w:rFonts w:ascii="Arial" w:hAnsi="Arial" w:cs="Arial"/>
                <w:sz w:val="16"/>
                <w:szCs w:val="16"/>
              </w:rPr>
              <w:t>-1.6-1.62</w:t>
            </w:r>
            <w:r>
              <w:rPr>
                <w:rFonts w:ascii="Arial" w:hAnsi="Arial" w:cs="Arial"/>
                <w:sz w:val="16"/>
                <w:szCs w:val="16"/>
              </w:rPr>
              <w:t>)</w:t>
            </w:r>
          </w:p>
        </w:tc>
        <w:tc>
          <w:tcPr>
            <w:tcW w:w="2610" w:type="dxa"/>
            <w:tcBorders>
              <w:left w:val="single" w:sz="4" w:space="0" w:color="auto"/>
            </w:tcBorders>
          </w:tcPr>
          <w:p w14:paraId="5EFF35F6" w14:textId="21EDF286" w:rsidR="00ED4070" w:rsidRPr="00ED4070" w:rsidRDefault="00F474A4" w:rsidP="00B95B54">
            <w:pPr>
              <w:jc w:val="center"/>
              <w:rPr>
                <w:rFonts w:ascii="Arial" w:hAnsi="Arial" w:cs="Arial"/>
                <w:sz w:val="16"/>
                <w:szCs w:val="16"/>
              </w:rPr>
            </w:pPr>
            <w:r>
              <w:rPr>
                <w:rFonts w:ascii="Arial" w:hAnsi="Arial" w:cs="Arial"/>
                <w:sz w:val="16"/>
                <w:szCs w:val="16"/>
              </w:rPr>
              <w:t xml:space="preserve">-0.03 (0.01, </w:t>
            </w:r>
            <w:r w:rsidR="00BC3C47">
              <w:rPr>
                <w:rFonts w:ascii="Arial" w:hAnsi="Arial" w:cs="Arial"/>
                <w:sz w:val="16"/>
                <w:szCs w:val="16"/>
              </w:rPr>
              <w:t>-1.9-2.1</w:t>
            </w:r>
            <w:r>
              <w:rPr>
                <w:rFonts w:ascii="Arial" w:hAnsi="Arial" w:cs="Arial"/>
                <w:sz w:val="16"/>
                <w:szCs w:val="16"/>
              </w:rPr>
              <w:t>)</w:t>
            </w: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1D305551" w:rsidR="007520D9" w:rsidRPr="00ED4070" w:rsidRDefault="007520D9" w:rsidP="00B95B54">
            <w:pPr>
              <w:jc w:val="center"/>
              <w:rPr>
                <w:rFonts w:ascii="Arial" w:hAnsi="Arial" w:cs="Arial"/>
                <w:sz w:val="16"/>
                <w:szCs w:val="16"/>
              </w:rPr>
            </w:pPr>
            <w:r w:rsidRPr="00ED4070">
              <w:rPr>
                <w:rFonts w:ascii="Arial" w:hAnsi="Arial" w:cs="Arial"/>
                <w:sz w:val="16"/>
                <w:szCs w:val="16"/>
              </w:rPr>
              <w:t>31.</w:t>
            </w:r>
            <w:r w:rsidR="00AB3F8F">
              <w:rPr>
                <w:rFonts w:ascii="Arial" w:hAnsi="Arial" w:cs="Arial"/>
                <w:sz w:val="16"/>
                <w:szCs w:val="16"/>
              </w:rPr>
              <w:t xml:space="preserve">77 </w:t>
            </w:r>
            <w:r w:rsidRPr="00ED4070">
              <w:rPr>
                <w:rFonts w:ascii="Arial" w:hAnsi="Arial" w:cs="Arial"/>
                <w:sz w:val="16"/>
                <w:szCs w:val="16"/>
              </w:rPr>
              <w:t>(0.</w:t>
            </w:r>
            <w:r w:rsidR="00AB3F8F">
              <w:rPr>
                <w:rFonts w:ascii="Arial" w:hAnsi="Arial" w:cs="Arial"/>
                <w:sz w:val="16"/>
                <w:szCs w:val="16"/>
              </w:rPr>
              <w:t>31</w:t>
            </w:r>
            <w:r w:rsidRPr="00ED4070">
              <w:rPr>
                <w:rFonts w:ascii="Arial" w:hAnsi="Arial" w:cs="Arial"/>
                <w:sz w:val="16"/>
                <w:szCs w:val="16"/>
              </w:rPr>
              <w:t>, 0.6-111.6)</w:t>
            </w:r>
          </w:p>
        </w:tc>
        <w:tc>
          <w:tcPr>
            <w:tcW w:w="2610" w:type="dxa"/>
            <w:tcBorders>
              <w:left w:val="single" w:sz="4" w:space="0" w:color="auto"/>
            </w:tcBorders>
          </w:tcPr>
          <w:p w14:paraId="1CD48094" w14:textId="54E6B748" w:rsidR="007520D9" w:rsidRPr="00ED4070" w:rsidRDefault="00F474A4" w:rsidP="00B95B54">
            <w:pPr>
              <w:jc w:val="center"/>
              <w:rPr>
                <w:rFonts w:ascii="Arial" w:hAnsi="Arial" w:cs="Arial"/>
                <w:sz w:val="16"/>
                <w:szCs w:val="16"/>
              </w:rPr>
            </w:pPr>
            <w:r>
              <w:rPr>
                <w:rFonts w:ascii="Arial" w:hAnsi="Arial" w:cs="Arial"/>
                <w:sz w:val="16"/>
                <w:szCs w:val="16"/>
              </w:rPr>
              <w:t>58.16</w:t>
            </w:r>
            <w:r w:rsidR="007520D9" w:rsidRPr="00ED4070">
              <w:rPr>
                <w:rFonts w:ascii="Arial" w:hAnsi="Arial" w:cs="Arial"/>
                <w:sz w:val="16"/>
                <w:szCs w:val="16"/>
              </w:rPr>
              <w:t xml:space="preserve"> (0.</w:t>
            </w:r>
            <w:r>
              <w:rPr>
                <w:rFonts w:ascii="Arial" w:hAnsi="Arial" w:cs="Arial"/>
                <w:sz w:val="16"/>
                <w:szCs w:val="16"/>
              </w:rPr>
              <w:t>41</w:t>
            </w:r>
            <w:r w:rsidR="007520D9" w:rsidRPr="00ED4070">
              <w:rPr>
                <w:rFonts w:ascii="Arial" w:hAnsi="Arial" w:cs="Arial"/>
                <w:sz w:val="16"/>
                <w:szCs w:val="16"/>
              </w:rPr>
              <w:t>,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2D73A7F1" w:rsidR="00ED4070" w:rsidRPr="00ED4070" w:rsidRDefault="00AB3F8F" w:rsidP="00B95B54">
            <w:pPr>
              <w:jc w:val="center"/>
              <w:rPr>
                <w:rFonts w:ascii="Arial" w:hAnsi="Arial" w:cs="Arial"/>
                <w:sz w:val="16"/>
                <w:szCs w:val="16"/>
              </w:rPr>
            </w:pPr>
            <w:r>
              <w:rPr>
                <w:rFonts w:ascii="Arial" w:hAnsi="Arial" w:cs="Arial"/>
                <w:sz w:val="16"/>
                <w:szCs w:val="16"/>
              </w:rPr>
              <w:t xml:space="preserve">-1.14 (0.24, </w:t>
            </w:r>
            <w:r w:rsidR="00BC3C47">
              <w:rPr>
                <w:rFonts w:ascii="Arial" w:hAnsi="Arial" w:cs="Arial"/>
                <w:sz w:val="16"/>
                <w:szCs w:val="16"/>
              </w:rPr>
              <w:t>-25.7-83.85</w:t>
            </w:r>
            <w:r>
              <w:rPr>
                <w:rFonts w:ascii="Arial" w:hAnsi="Arial" w:cs="Arial"/>
                <w:sz w:val="16"/>
                <w:szCs w:val="16"/>
              </w:rPr>
              <w:t>)</w:t>
            </w:r>
          </w:p>
        </w:tc>
        <w:tc>
          <w:tcPr>
            <w:tcW w:w="2610" w:type="dxa"/>
            <w:tcBorders>
              <w:left w:val="single" w:sz="4" w:space="0" w:color="auto"/>
            </w:tcBorders>
          </w:tcPr>
          <w:p w14:paraId="7473442B" w14:textId="69361302" w:rsidR="00ED4070" w:rsidRPr="00ED4070" w:rsidRDefault="00F474A4" w:rsidP="00B95B54">
            <w:pPr>
              <w:jc w:val="center"/>
              <w:rPr>
                <w:rFonts w:ascii="Arial" w:hAnsi="Arial" w:cs="Arial"/>
                <w:sz w:val="16"/>
                <w:szCs w:val="16"/>
              </w:rPr>
            </w:pPr>
            <w:r>
              <w:rPr>
                <w:rFonts w:ascii="Arial" w:hAnsi="Arial" w:cs="Arial"/>
                <w:sz w:val="16"/>
                <w:szCs w:val="16"/>
              </w:rPr>
              <w:t xml:space="preserve">-0.15 (0.36, </w:t>
            </w:r>
            <w:r w:rsidR="00BC3C47">
              <w:rPr>
                <w:rFonts w:ascii="Arial" w:hAnsi="Arial" w:cs="Arial"/>
                <w:sz w:val="16"/>
                <w:szCs w:val="16"/>
              </w:rPr>
              <w:t>-34.7, 83.2</w:t>
            </w:r>
            <w:r>
              <w:rPr>
                <w:rFonts w:ascii="Arial" w:hAnsi="Arial" w:cs="Arial"/>
                <w:sz w:val="16"/>
                <w:szCs w:val="16"/>
              </w:rPr>
              <w:t>)</w:t>
            </w: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3BDDE880" w:rsidR="007520D9" w:rsidRPr="00ED4070" w:rsidRDefault="007520D9" w:rsidP="00B95B54">
            <w:pPr>
              <w:jc w:val="center"/>
              <w:rPr>
                <w:rFonts w:ascii="Arial" w:hAnsi="Arial" w:cs="Arial"/>
                <w:sz w:val="16"/>
                <w:szCs w:val="16"/>
              </w:rPr>
            </w:pPr>
            <w:r w:rsidRPr="00ED4070">
              <w:rPr>
                <w:rFonts w:ascii="Arial" w:hAnsi="Arial" w:cs="Arial"/>
                <w:sz w:val="16"/>
                <w:szCs w:val="16"/>
              </w:rPr>
              <w:t>0.2</w:t>
            </w:r>
            <w:r w:rsidR="00AB3F8F">
              <w:rPr>
                <w:rFonts w:ascii="Arial" w:hAnsi="Arial" w:cs="Arial"/>
                <w:sz w:val="16"/>
                <w:szCs w:val="16"/>
              </w:rPr>
              <w:t>1</w:t>
            </w:r>
            <w:r w:rsidRPr="00ED4070">
              <w:rPr>
                <w:rFonts w:ascii="Arial" w:hAnsi="Arial" w:cs="Arial"/>
                <w:sz w:val="16"/>
                <w:szCs w:val="16"/>
              </w:rPr>
              <w:t xml:space="preserve"> (0.00</w:t>
            </w:r>
            <w:r w:rsidR="00AB3F8F">
              <w:rPr>
                <w:rFonts w:ascii="Arial" w:hAnsi="Arial" w:cs="Arial"/>
                <w:sz w:val="16"/>
                <w:szCs w:val="16"/>
              </w:rPr>
              <w:t>3</w:t>
            </w:r>
            <w:r w:rsidRPr="00ED4070">
              <w:rPr>
                <w:rFonts w:ascii="Arial" w:hAnsi="Arial" w:cs="Arial"/>
                <w:sz w:val="16"/>
                <w:szCs w:val="16"/>
              </w:rPr>
              <w:t>, 0.0-0.8)</w:t>
            </w:r>
          </w:p>
        </w:tc>
        <w:tc>
          <w:tcPr>
            <w:tcW w:w="2610" w:type="dxa"/>
            <w:tcBorders>
              <w:left w:val="single" w:sz="4" w:space="0" w:color="auto"/>
            </w:tcBorders>
          </w:tcPr>
          <w:p w14:paraId="313E4416" w14:textId="25AF2EAD" w:rsidR="007520D9" w:rsidRPr="00ED4070" w:rsidRDefault="007520D9" w:rsidP="00B95B54">
            <w:pPr>
              <w:jc w:val="center"/>
              <w:rPr>
                <w:rFonts w:ascii="Arial" w:hAnsi="Arial" w:cs="Arial"/>
                <w:sz w:val="16"/>
                <w:szCs w:val="16"/>
              </w:rPr>
            </w:pPr>
            <w:r w:rsidRPr="00ED4070">
              <w:rPr>
                <w:rFonts w:ascii="Arial" w:hAnsi="Arial" w:cs="Arial"/>
                <w:sz w:val="16"/>
                <w:szCs w:val="16"/>
              </w:rPr>
              <w:t>0.</w:t>
            </w:r>
            <w:r w:rsidR="00F474A4">
              <w:rPr>
                <w:rFonts w:ascii="Arial" w:hAnsi="Arial" w:cs="Arial"/>
                <w:sz w:val="16"/>
                <w:szCs w:val="16"/>
              </w:rPr>
              <w:t>30</w:t>
            </w:r>
            <w:r w:rsidRPr="00ED4070">
              <w:rPr>
                <w:rFonts w:ascii="Arial" w:hAnsi="Arial" w:cs="Arial"/>
                <w:sz w:val="16"/>
                <w:szCs w:val="16"/>
              </w:rPr>
              <w:t xml:space="preserve"> (0.0</w:t>
            </w:r>
            <w:r w:rsidR="00F474A4">
              <w:rPr>
                <w:rFonts w:ascii="Arial" w:hAnsi="Arial" w:cs="Arial"/>
                <w:sz w:val="16"/>
                <w:szCs w:val="16"/>
              </w:rPr>
              <w:t>1</w:t>
            </w:r>
            <w:r w:rsidRPr="00ED4070">
              <w:rPr>
                <w:rFonts w:ascii="Arial" w:hAnsi="Arial" w:cs="Arial"/>
                <w:sz w:val="16"/>
                <w:szCs w:val="16"/>
              </w:rPr>
              <w:t>,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2E06B1FF" w:rsidR="00ED4070" w:rsidRPr="00ED4070" w:rsidRDefault="00AB3F8F" w:rsidP="00B95B54">
            <w:pPr>
              <w:jc w:val="center"/>
              <w:rPr>
                <w:rFonts w:ascii="Arial" w:hAnsi="Arial" w:cs="Arial"/>
                <w:sz w:val="16"/>
                <w:szCs w:val="16"/>
              </w:rPr>
            </w:pPr>
            <w:r>
              <w:rPr>
                <w:rFonts w:ascii="Arial" w:hAnsi="Arial" w:cs="Arial"/>
                <w:sz w:val="16"/>
                <w:szCs w:val="16"/>
              </w:rPr>
              <w:t xml:space="preserve">-0.02 (0.004, </w:t>
            </w:r>
            <w:r w:rsidR="00BC3C47">
              <w:rPr>
                <w:rFonts w:ascii="Arial" w:hAnsi="Arial" w:cs="Arial"/>
                <w:sz w:val="16"/>
                <w:szCs w:val="16"/>
              </w:rPr>
              <w:t>-0.3-0.54</w:t>
            </w:r>
            <w:r>
              <w:rPr>
                <w:rFonts w:ascii="Arial" w:hAnsi="Arial" w:cs="Arial"/>
                <w:sz w:val="16"/>
                <w:szCs w:val="16"/>
              </w:rPr>
              <w:t>)</w:t>
            </w:r>
          </w:p>
        </w:tc>
        <w:tc>
          <w:tcPr>
            <w:tcW w:w="2610" w:type="dxa"/>
            <w:tcBorders>
              <w:left w:val="single" w:sz="4" w:space="0" w:color="auto"/>
              <w:bottom w:val="single" w:sz="4" w:space="0" w:color="auto"/>
            </w:tcBorders>
          </w:tcPr>
          <w:p w14:paraId="2DE2814C" w14:textId="7D6128DF" w:rsidR="00ED4070" w:rsidRPr="00ED4070" w:rsidRDefault="00F474A4" w:rsidP="00B95B54">
            <w:pPr>
              <w:jc w:val="center"/>
              <w:rPr>
                <w:rFonts w:ascii="Arial" w:hAnsi="Arial" w:cs="Arial"/>
                <w:sz w:val="16"/>
                <w:szCs w:val="16"/>
              </w:rPr>
            </w:pPr>
            <w:r>
              <w:rPr>
                <w:rFonts w:ascii="Arial" w:hAnsi="Arial" w:cs="Arial"/>
                <w:sz w:val="16"/>
                <w:szCs w:val="16"/>
              </w:rPr>
              <w:t xml:space="preserve">-0.01 (0.01, </w:t>
            </w:r>
            <w:r w:rsidR="00BC3C47">
              <w:rPr>
                <w:rFonts w:ascii="Arial" w:hAnsi="Arial" w:cs="Arial"/>
                <w:sz w:val="16"/>
                <w:szCs w:val="16"/>
              </w:rPr>
              <w:t>-0.4-0.6</w:t>
            </w:r>
            <w:r>
              <w:rPr>
                <w:rFonts w:ascii="Arial" w:hAnsi="Arial" w:cs="Arial"/>
                <w:sz w:val="16"/>
                <w:szCs w:val="16"/>
              </w:rPr>
              <w:t>)</w:t>
            </w: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38DBC8A2"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00C079F9">
        <w:rPr>
          <w:highlight w:val="yellow"/>
        </w:rPr>
        <w:t>durable</w:t>
      </w:r>
      <w:r w:rsidRPr="00E21852">
        <w:rPr>
          <w:highlight w:val="yellow"/>
        </w:rPr>
        <w:t xml:space="preserve"> and </w:t>
      </w:r>
      <w:r w:rsidR="00C079F9">
        <w:t>transient</w:t>
      </w:r>
      <w:r>
        <w:t xml:space="preserve"> </w:t>
      </w:r>
      <w:r w:rsidRPr="00405935">
        <w:t>effects of number of live births on biological age</w:t>
      </w:r>
      <w:r>
        <w:t xml:space="preserve"> </w:t>
      </w:r>
      <w:r w:rsidR="00021165">
        <w:t xml:space="preserve">acceleration </w:t>
      </w:r>
      <w:r>
        <w:t>for pre</w:t>
      </w:r>
      <w:r w:rsidR="002533E0">
        <w:t>-</w:t>
      </w:r>
      <w:r>
        <w: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10D351A3"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15EF9EDA" w14:textId="24ADD35C" w:rsidR="00764EF3" w:rsidRDefault="00764EF3" w:rsidP="004E19F4">
      <w:pPr>
        <w:shd w:val="clear" w:color="auto" w:fill="FFFFFF"/>
        <w:spacing w:line="240" w:lineRule="auto"/>
        <w:rPr>
          <w:sz w:val="16"/>
          <w:szCs w:val="16"/>
          <w:shd w:val="clear" w:color="auto" w:fill="FFFFFF"/>
        </w:rPr>
      </w:pPr>
    </w:p>
    <w:p w14:paraId="72B4067D" w14:textId="77777777" w:rsidR="00764EF3" w:rsidRPr="00405935" w:rsidRDefault="00764EF3" w:rsidP="00764EF3">
      <w:pPr>
        <w:shd w:val="clear" w:color="auto" w:fill="FFFFFF"/>
        <w:spacing w:line="240" w:lineRule="auto"/>
      </w:pP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xml:space="preserve"> = (0.05/4) = 0.0125.</w:t>
      </w:r>
    </w:p>
    <w:p w14:paraId="3B9232CF" w14:textId="77777777" w:rsidR="00764EF3" w:rsidRDefault="00764EF3" w:rsidP="004E19F4">
      <w:pPr>
        <w:shd w:val="clear" w:color="auto" w:fill="FFFFFF"/>
        <w:spacing w:line="240" w:lineRule="auto"/>
        <w:rPr>
          <w:sz w:val="16"/>
          <w:szCs w:val="16"/>
          <w:shd w:val="clear" w:color="auto" w:fill="FFFFFF"/>
        </w:rPr>
      </w:pPr>
    </w:p>
    <w:p w14:paraId="32ED4508" w14:textId="77777777" w:rsidR="00D534A0" w:rsidRDefault="00D534A0" w:rsidP="004E19F4">
      <w:pPr>
        <w:shd w:val="clear" w:color="auto" w:fill="FFFFFF"/>
        <w:spacing w:line="240" w:lineRule="auto"/>
        <w:rPr>
          <w:b/>
          <w:bCs/>
        </w:rPr>
      </w:pPr>
    </w:p>
    <w:p w14:paraId="1AF7F772" w14:textId="77777777" w:rsidR="00764EF3" w:rsidRDefault="00764EF3">
      <w:pPr>
        <w:rPr>
          <w:b/>
          <w:bCs/>
        </w:rPr>
      </w:pPr>
      <w:r>
        <w:rPr>
          <w:b/>
          <w:bCs/>
        </w:rPr>
        <w:br w:type="page"/>
      </w:r>
    </w:p>
    <w:p w14:paraId="140E901C" w14:textId="7DCBC1EC" w:rsidR="004E19F4" w:rsidRPr="00021165" w:rsidRDefault="004E19F4" w:rsidP="004E19F4">
      <w:pPr>
        <w:shd w:val="clear" w:color="auto" w:fill="FFFFFF"/>
        <w:spacing w:line="240" w:lineRule="auto"/>
      </w:pPr>
      <w:r w:rsidRPr="00405935">
        <w:rPr>
          <w:b/>
          <w:bCs/>
        </w:rPr>
        <w:lastRenderedPageBreak/>
        <w:t xml:space="preserve">Table </w:t>
      </w:r>
      <w:r w:rsidR="000C69A4">
        <w:rPr>
          <w:b/>
          <w:bCs/>
        </w:rPr>
        <w:t>3</w:t>
      </w:r>
      <w:r w:rsidRPr="00405935">
        <w:rPr>
          <w:b/>
          <w:bCs/>
        </w:rPr>
        <w:t xml:space="preserve">. </w:t>
      </w:r>
      <w:r w:rsidRPr="00405935">
        <w:t xml:space="preserve">Multiple linear regression examining the </w:t>
      </w:r>
      <w:r w:rsidR="00C079F9">
        <w:rPr>
          <w:highlight w:val="yellow"/>
        </w:rPr>
        <w:t xml:space="preserve">durable </w:t>
      </w:r>
      <w:r w:rsidRPr="00E21852">
        <w:rPr>
          <w:highlight w:val="yellow"/>
        </w:rPr>
        <w:t>and</w:t>
      </w:r>
      <w:r w:rsidR="00C079F9">
        <w:t xml:space="preserve"> transient</w:t>
      </w:r>
      <w:r>
        <w:t xml:space="preserve"> </w:t>
      </w:r>
      <w:r w:rsidRPr="00405935">
        <w:t>effects of number of live births on biological age</w:t>
      </w:r>
      <w:r w:rsidR="00021165">
        <w:t xml:space="preserve"> acceleration</w:t>
      </w:r>
      <w:r>
        <w:t xml:space="preserve"> for post</w:t>
      </w:r>
      <w:r w:rsidR="002533E0">
        <w:t>-</w:t>
      </w:r>
      <w:r>
        <w: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69D8FB2F" w:rsidR="00693C80" w:rsidRDefault="00764EF3" w:rsidP="00693C80">
      <w:pPr>
        <w:shd w:val="clear" w:color="auto" w:fill="FFFFFF"/>
        <w:spacing w:line="240" w:lineRule="auto"/>
        <w:rPr>
          <w:b/>
          <w:bCs/>
        </w:rPr>
      </w:pP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Pr="00021165">
        <w:t xml:space="preserve"> = (0.05/4) = 0.0125.</w:t>
      </w: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50FFA" w14:textId="77777777" w:rsidR="00877658" w:rsidRDefault="00877658">
      <w:pPr>
        <w:spacing w:line="240" w:lineRule="auto"/>
      </w:pPr>
      <w:r>
        <w:separator/>
      </w:r>
    </w:p>
  </w:endnote>
  <w:endnote w:type="continuationSeparator" w:id="0">
    <w:p w14:paraId="78997871" w14:textId="77777777" w:rsidR="00877658" w:rsidRDefault="00877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7B2607" w:rsidRDefault="007B26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7B2607" w:rsidRDefault="007B2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D56DD" w14:textId="77777777" w:rsidR="00877658" w:rsidRDefault="00877658">
      <w:pPr>
        <w:spacing w:line="240" w:lineRule="auto"/>
      </w:pPr>
      <w:r>
        <w:separator/>
      </w:r>
    </w:p>
  </w:footnote>
  <w:footnote w:type="continuationSeparator" w:id="0">
    <w:p w14:paraId="2F880ECF" w14:textId="77777777" w:rsidR="00877658" w:rsidRDefault="008776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94F35"/>
    <w:rsid w:val="000A073E"/>
    <w:rsid w:val="000A10F1"/>
    <w:rsid w:val="000A6964"/>
    <w:rsid w:val="000C69A4"/>
    <w:rsid w:val="000D5CC4"/>
    <w:rsid w:val="00104571"/>
    <w:rsid w:val="00117586"/>
    <w:rsid w:val="00153F2E"/>
    <w:rsid w:val="0016249C"/>
    <w:rsid w:val="00163D8F"/>
    <w:rsid w:val="00175927"/>
    <w:rsid w:val="00176751"/>
    <w:rsid w:val="00184C96"/>
    <w:rsid w:val="001B00C3"/>
    <w:rsid w:val="001D4FCD"/>
    <w:rsid w:val="002035BD"/>
    <w:rsid w:val="002144E6"/>
    <w:rsid w:val="00226DED"/>
    <w:rsid w:val="00236A18"/>
    <w:rsid w:val="00252639"/>
    <w:rsid w:val="002533E0"/>
    <w:rsid w:val="00254B2C"/>
    <w:rsid w:val="002553B0"/>
    <w:rsid w:val="0025744F"/>
    <w:rsid w:val="00267581"/>
    <w:rsid w:val="002679A8"/>
    <w:rsid w:val="002732C1"/>
    <w:rsid w:val="002764C5"/>
    <w:rsid w:val="00276809"/>
    <w:rsid w:val="00294B8F"/>
    <w:rsid w:val="002B4C5F"/>
    <w:rsid w:val="002C57DC"/>
    <w:rsid w:val="002C760A"/>
    <w:rsid w:val="002D3166"/>
    <w:rsid w:val="002D5B28"/>
    <w:rsid w:val="002E54FE"/>
    <w:rsid w:val="003115A3"/>
    <w:rsid w:val="00313AD3"/>
    <w:rsid w:val="00331E34"/>
    <w:rsid w:val="00335A64"/>
    <w:rsid w:val="00343A24"/>
    <w:rsid w:val="003555C2"/>
    <w:rsid w:val="00380182"/>
    <w:rsid w:val="003811F0"/>
    <w:rsid w:val="00384564"/>
    <w:rsid w:val="0038620E"/>
    <w:rsid w:val="0039365A"/>
    <w:rsid w:val="003A2854"/>
    <w:rsid w:val="003A6280"/>
    <w:rsid w:val="003D5ACF"/>
    <w:rsid w:val="003E255F"/>
    <w:rsid w:val="0043189C"/>
    <w:rsid w:val="00432974"/>
    <w:rsid w:val="004451E1"/>
    <w:rsid w:val="00447C2C"/>
    <w:rsid w:val="0045481D"/>
    <w:rsid w:val="004563A1"/>
    <w:rsid w:val="004962D1"/>
    <w:rsid w:val="004B34B7"/>
    <w:rsid w:val="004E19F4"/>
    <w:rsid w:val="004F4AC4"/>
    <w:rsid w:val="004F5484"/>
    <w:rsid w:val="00504358"/>
    <w:rsid w:val="00506A74"/>
    <w:rsid w:val="00511AC6"/>
    <w:rsid w:val="005133A4"/>
    <w:rsid w:val="00526AE0"/>
    <w:rsid w:val="00540C00"/>
    <w:rsid w:val="0054657E"/>
    <w:rsid w:val="0054697D"/>
    <w:rsid w:val="00555A7C"/>
    <w:rsid w:val="005719CF"/>
    <w:rsid w:val="00572D4B"/>
    <w:rsid w:val="00595A1F"/>
    <w:rsid w:val="005B1D17"/>
    <w:rsid w:val="005C0C04"/>
    <w:rsid w:val="005C1705"/>
    <w:rsid w:val="005D5727"/>
    <w:rsid w:val="005E5BDB"/>
    <w:rsid w:val="005F475E"/>
    <w:rsid w:val="0060008C"/>
    <w:rsid w:val="00626503"/>
    <w:rsid w:val="00665177"/>
    <w:rsid w:val="00673967"/>
    <w:rsid w:val="006772FB"/>
    <w:rsid w:val="0069035A"/>
    <w:rsid w:val="00693C80"/>
    <w:rsid w:val="006A2045"/>
    <w:rsid w:val="006A2E60"/>
    <w:rsid w:val="006E24C6"/>
    <w:rsid w:val="006F28B9"/>
    <w:rsid w:val="006F65E2"/>
    <w:rsid w:val="00722541"/>
    <w:rsid w:val="00726F5F"/>
    <w:rsid w:val="007345CC"/>
    <w:rsid w:val="00742951"/>
    <w:rsid w:val="007466FC"/>
    <w:rsid w:val="007520D9"/>
    <w:rsid w:val="0075630D"/>
    <w:rsid w:val="00761E51"/>
    <w:rsid w:val="00764EF3"/>
    <w:rsid w:val="0076710C"/>
    <w:rsid w:val="0078029B"/>
    <w:rsid w:val="007A1C53"/>
    <w:rsid w:val="007B0F44"/>
    <w:rsid w:val="007B2607"/>
    <w:rsid w:val="007B2EA2"/>
    <w:rsid w:val="007D623E"/>
    <w:rsid w:val="007E2780"/>
    <w:rsid w:val="007E534F"/>
    <w:rsid w:val="007E7D29"/>
    <w:rsid w:val="007F26AC"/>
    <w:rsid w:val="008024FF"/>
    <w:rsid w:val="0080643C"/>
    <w:rsid w:val="008112B0"/>
    <w:rsid w:val="008406FB"/>
    <w:rsid w:val="008547D1"/>
    <w:rsid w:val="00870A9B"/>
    <w:rsid w:val="00875CA4"/>
    <w:rsid w:val="00877658"/>
    <w:rsid w:val="00883A67"/>
    <w:rsid w:val="00883B67"/>
    <w:rsid w:val="00887FF5"/>
    <w:rsid w:val="008904B8"/>
    <w:rsid w:val="008A00C5"/>
    <w:rsid w:val="008C7B42"/>
    <w:rsid w:val="008D43A2"/>
    <w:rsid w:val="008E0D1E"/>
    <w:rsid w:val="008F3B46"/>
    <w:rsid w:val="00904FBF"/>
    <w:rsid w:val="00906062"/>
    <w:rsid w:val="00906604"/>
    <w:rsid w:val="00940007"/>
    <w:rsid w:val="009413C6"/>
    <w:rsid w:val="00962D66"/>
    <w:rsid w:val="009920E4"/>
    <w:rsid w:val="009953CF"/>
    <w:rsid w:val="009A6DA9"/>
    <w:rsid w:val="009C184D"/>
    <w:rsid w:val="009C2E93"/>
    <w:rsid w:val="009C60A8"/>
    <w:rsid w:val="009D2296"/>
    <w:rsid w:val="009D514A"/>
    <w:rsid w:val="009D7E28"/>
    <w:rsid w:val="009E19FC"/>
    <w:rsid w:val="009F2482"/>
    <w:rsid w:val="00A14BF9"/>
    <w:rsid w:val="00A222E8"/>
    <w:rsid w:val="00A61575"/>
    <w:rsid w:val="00A703EA"/>
    <w:rsid w:val="00A83EF0"/>
    <w:rsid w:val="00A92B76"/>
    <w:rsid w:val="00A949FD"/>
    <w:rsid w:val="00AA1BE0"/>
    <w:rsid w:val="00AB3F8F"/>
    <w:rsid w:val="00AB7533"/>
    <w:rsid w:val="00AC6668"/>
    <w:rsid w:val="00AE321D"/>
    <w:rsid w:val="00AF2E86"/>
    <w:rsid w:val="00B003B6"/>
    <w:rsid w:val="00B14FC8"/>
    <w:rsid w:val="00B418E0"/>
    <w:rsid w:val="00B66627"/>
    <w:rsid w:val="00B71895"/>
    <w:rsid w:val="00B95B54"/>
    <w:rsid w:val="00B97607"/>
    <w:rsid w:val="00BA3487"/>
    <w:rsid w:val="00BA4601"/>
    <w:rsid w:val="00BC3C47"/>
    <w:rsid w:val="00BD06AD"/>
    <w:rsid w:val="00BF39E4"/>
    <w:rsid w:val="00C079F9"/>
    <w:rsid w:val="00C2335B"/>
    <w:rsid w:val="00C23873"/>
    <w:rsid w:val="00C36C34"/>
    <w:rsid w:val="00C37D19"/>
    <w:rsid w:val="00C37F4F"/>
    <w:rsid w:val="00C730D0"/>
    <w:rsid w:val="00C730F3"/>
    <w:rsid w:val="00C7766E"/>
    <w:rsid w:val="00C940BE"/>
    <w:rsid w:val="00CA43BA"/>
    <w:rsid w:val="00CB55A3"/>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B6B93"/>
    <w:rsid w:val="00DD7764"/>
    <w:rsid w:val="00DE408E"/>
    <w:rsid w:val="00DE4B0E"/>
    <w:rsid w:val="00DE714A"/>
    <w:rsid w:val="00E049D3"/>
    <w:rsid w:val="00E145D9"/>
    <w:rsid w:val="00E21852"/>
    <w:rsid w:val="00E33A0F"/>
    <w:rsid w:val="00E35A3B"/>
    <w:rsid w:val="00E54B89"/>
    <w:rsid w:val="00E714B5"/>
    <w:rsid w:val="00E830BF"/>
    <w:rsid w:val="00E85B72"/>
    <w:rsid w:val="00E87E02"/>
    <w:rsid w:val="00ED4070"/>
    <w:rsid w:val="00ED40F4"/>
    <w:rsid w:val="00F11B43"/>
    <w:rsid w:val="00F35F8F"/>
    <w:rsid w:val="00F474A4"/>
    <w:rsid w:val="00F60069"/>
    <w:rsid w:val="00F6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sf.io/b2j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16DC-7992-0A44-84B9-AA54A236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32</Pages>
  <Words>42395</Words>
  <Characters>241657</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5</cp:revision>
  <cp:lastPrinted>2020-10-21T17:39:00Z</cp:lastPrinted>
  <dcterms:created xsi:type="dcterms:W3CDTF">2020-10-21T19:10:00Z</dcterms:created>
  <dcterms:modified xsi:type="dcterms:W3CDTF">2020-10-21T23:32:00Z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