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Pr="006B575D" w:rsidRDefault="008406FB" w:rsidP="008406FB">
      <w:pPr>
        <w:shd w:val="clear" w:color="auto" w:fill="FFFFFF"/>
        <w:spacing w:line="480" w:lineRule="auto"/>
        <w:jc w:val="center"/>
        <w:rPr>
          <w:b/>
        </w:rPr>
      </w:pPr>
    </w:p>
    <w:p w14:paraId="33244E9A" w14:textId="6344B657" w:rsidR="00F60069" w:rsidRPr="006B575D" w:rsidRDefault="00F60069" w:rsidP="008406FB">
      <w:pPr>
        <w:shd w:val="clear" w:color="auto" w:fill="FFFFFF"/>
        <w:spacing w:line="480" w:lineRule="auto"/>
        <w:jc w:val="center"/>
        <w:rPr>
          <w:b/>
        </w:rPr>
      </w:pPr>
    </w:p>
    <w:p w14:paraId="5E141FDD" w14:textId="6FA56FB0" w:rsidR="00F60069" w:rsidRPr="006B575D" w:rsidRDefault="00F60069" w:rsidP="008406FB">
      <w:pPr>
        <w:shd w:val="clear" w:color="auto" w:fill="FFFFFF"/>
        <w:spacing w:line="480" w:lineRule="auto"/>
        <w:jc w:val="center"/>
        <w:rPr>
          <w:b/>
        </w:rPr>
      </w:pPr>
    </w:p>
    <w:p w14:paraId="38BA97A4" w14:textId="77777777" w:rsidR="00F60069" w:rsidRPr="006B575D" w:rsidRDefault="00F60069" w:rsidP="008406FB">
      <w:pPr>
        <w:shd w:val="clear" w:color="auto" w:fill="FFFFFF"/>
        <w:spacing w:line="480" w:lineRule="auto"/>
        <w:jc w:val="center"/>
        <w:rPr>
          <w:b/>
        </w:rPr>
      </w:pPr>
    </w:p>
    <w:p w14:paraId="1996309F" w14:textId="4331C856" w:rsidR="000A073E" w:rsidRPr="006B575D" w:rsidRDefault="008406FB" w:rsidP="00937DE9">
      <w:pPr>
        <w:shd w:val="clear" w:color="auto" w:fill="FFFFFF"/>
        <w:spacing w:line="480" w:lineRule="auto"/>
        <w:jc w:val="center"/>
        <w:rPr>
          <w:b/>
        </w:rPr>
      </w:pPr>
      <w:bookmarkStart w:id="0" w:name="_Hlk54201087"/>
      <w:r w:rsidRPr="006B575D">
        <w:rPr>
          <w:b/>
        </w:rPr>
        <w:t xml:space="preserve">Parity </w:t>
      </w:r>
      <w:r w:rsidR="007B0F44" w:rsidRPr="006B575D">
        <w:rPr>
          <w:b/>
        </w:rPr>
        <w:t>predicts biological age acceleration in post</w:t>
      </w:r>
      <w:r w:rsidR="00E87E02" w:rsidRPr="006B575D">
        <w:rPr>
          <w:b/>
        </w:rPr>
        <w:t>-</w:t>
      </w:r>
      <w:r w:rsidR="007B0F44" w:rsidRPr="006B575D">
        <w:rPr>
          <w:b/>
        </w:rPr>
        <w:t>menopausal women</w:t>
      </w:r>
    </w:p>
    <w:bookmarkEnd w:id="0"/>
    <w:p w14:paraId="3AF63EC8" w14:textId="2FAAC0ED" w:rsidR="008406FB" w:rsidRPr="006B575D" w:rsidRDefault="008406FB" w:rsidP="008406FB">
      <w:pPr>
        <w:shd w:val="clear" w:color="auto" w:fill="FFFFFF"/>
        <w:spacing w:line="480" w:lineRule="auto"/>
        <w:jc w:val="center"/>
        <w:rPr>
          <w:b/>
        </w:rPr>
      </w:pPr>
    </w:p>
    <w:p w14:paraId="44B800F1" w14:textId="2564B370" w:rsidR="008406FB" w:rsidRPr="006B575D" w:rsidRDefault="008406FB" w:rsidP="008406FB">
      <w:pPr>
        <w:shd w:val="clear" w:color="auto" w:fill="FFFFFF"/>
        <w:spacing w:line="480" w:lineRule="auto"/>
        <w:jc w:val="center"/>
        <w:rPr>
          <w:bCs/>
          <w:vertAlign w:val="superscript"/>
        </w:rPr>
      </w:pPr>
      <w:r w:rsidRPr="006B575D">
        <w:rPr>
          <w:bCs/>
        </w:rPr>
        <w:t xml:space="preserve">Talia N. </w:t>
      </w:r>
      <w:proofErr w:type="spellStart"/>
      <w:r w:rsidRPr="006B575D">
        <w:rPr>
          <w:bCs/>
        </w:rPr>
        <w:t>Shirazi</w:t>
      </w:r>
      <w:r w:rsidRPr="006B575D">
        <w:rPr>
          <w:bCs/>
          <w:vertAlign w:val="superscript"/>
        </w:rPr>
        <w:t>a</w:t>
      </w:r>
      <w:proofErr w:type="spellEnd"/>
      <w:r w:rsidR="005C1705" w:rsidRPr="006B575D">
        <w:rPr>
          <w:bCs/>
          <w:vertAlign w:val="superscript"/>
        </w:rPr>
        <w:t>*</w:t>
      </w:r>
      <w:r w:rsidRPr="006B575D">
        <w:rPr>
          <w:bCs/>
        </w:rPr>
        <w:t xml:space="preserve">, Waylon J. </w:t>
      </w:r>
      <w:proofErr w:type="spellStart"/>
      <w:r w:rsidRPr="006B575D">
        <w:rPr>
          <w:bCs/>
        </w:rPr>
        <w:t>Hastings</w:t>
      </w:r>
      <w:r w:rsidRPr="006B575D">
        <w:rPr>
          <w:bCs/>
          <w:vertAlign w:val="superscript"/>
        </w:rPr>
        <w:t>b</w:t>
      </w:r>
      <w:proofErr w:type="spellEnd"/>
      <w:r w:rsidRPr="006B575D">
        <w:rPr>
          <w:bCs/>
        </w:rPr>
        <w:t xml:space="preserve">, Asher Y. </w:t>
      </w:r>
      <w:proofErr w:type="spellStart"/>
      <w:r w:rsidRPr="006B575D">
        <w:rPr>
          <w:bCs/>
        </w:rPr>
        <w:t>Rosinger</w:t>
      </w:r>
      <w:r w:rsidRPr="006B575D">
        <w:rPr>
          <w:bCs/>
          <w:vertAlign w:val="superscript"/>
        </w:rPr>
        <w:t>a,b</w:t>
      </w:r>
      <w:proofErr w:type="spellEnd"/>
      <w:r w:rsidRPr="006B575D">
        <w:rPr>
          <w:bCs/>
        </w:rPr>
        <w:t xml:space="preserve">, Calen P. </w:t>
      </w:r>
      <w:proofErr w:type="spellStart"/>
      <w:r w:rsidRPr="006B575D">
        <w:rPr>
          <w:bCs/>
        </w:rPr>
        <w:t>Ryan</w:t>
      </w:r>
      <w:r w:rsidRPr="006B575D">
        <w:rPr>
          <w:bCs/>
          <w:vertAlign w:val="superscript"/>
        </w:rPr>
        <w:t>c</w:t>
      </w:r>
      <w:proofErr w:type="spellEnd"/>
    </w:p>
    <w:p w14:paraId="6E793522" w14:textId="6146458F" w:rsidR="008406FB" w:rsidRPr="006B575D" w:rsidRDefault="008406FB" w:rsidP="008406FB">
      <w:pPr>
        <w:shd w:val="clear" w:color="auto" w:fill="FFFFFF"/>
        <w:spacing w:line="480" w:lineRule="auto"/>
        <w:rPr>
          <w:bCs/>
        </w:rPr>
      </w:pPr>
    </w:p>
    <w:p w14:paraId="5FE7648D" w14:textId="694BFE64" w:rsidR="008406FB" w:rsidRPr="006B575D" w:rsidRDefault="008406FB" w:rsidP="008406FB">
      <w:pPr>
        <w:shd w:val="clear" w:color="auto" w:fill="FFFFFF"/>
        <w:spacing w:line="480" w:lineRule="auto"/>
        <w:rPr>
          <w:bCs/>
        </w:rPr>
      </w:pPr>
      <w:r w:rsidRPr="006B575D">
        <w:rPr>
          <w:bCs/>
          <w:vertAlign w:val="superscript"/>
        </w:rPr>
        <w:t>a</w:t>
      </w:r>
      <w:r w:rsidRPr="006B575D">
        <w:rPr>
          <w:bCs/>
        </w:rPr>
        <w:t xml:space="preserve"> Department of Anthropology, Pennsylvania State University, University Park, PA, USA</w:t>
      </w:r>
    </w:p>
    <w:p w14:paraId="6484AABB" w14:textId="5C24A10B" w:rsidR="008406FB" w:rsidRPr="006B575D" w:rsidRDefault="008406FB" w:rsidP="008406FB">
      <w:pPr>
        <w:shd w:val="clear" w:color="auto" w:fill="FFFFFF"/>
        <w:spacing w:line="480" w:lineRule="auto"/>
        <w:rPr>
          <w:bCs/>
        </w:rPr>
      </w:pPr>
      <w:r w:rsidRPr="006B575D">
        <w:rPr>
          <w:bCs/>
          <w:vertAlign w:val="superscript"/>
        </w:rPr>
        <w:t>b</w:t>
      </w:r>
      <w:r w:rsidRPr="006B575D">
        <w:rPr>
          <w:bCs/>
        </w:rPr>
        <w:t xml:space="preserve"> Department of Biobehavioral Health, Pennsylvania State University, University Park, PA, USA</w:t>
      </w:r>
    </w:p>
    <w:p w14:paraId="173BCB11" w14:textId="0A4D327E" w:rsidR="008406FB" w:rsidRPr="006B575D" w:rsidRDefault="008406FB" w:rsidP="008406FB">
      <w:pPr>
        <w:shd w:val="clear" w:color="auto" w:fill="FFFFFF"/>
        <w:spacing w:line="480" w:lineRule="auto"/>
        <w:rPr>
          <w:bCs/>
        </w:rPr>
      </w:pPr>
      <w:r w:rsidRPr="006B575D">
        <w:rPr>
          <w:bCs/>
          <w:vertAlign w:val="superscript"/>
        </w:rPr>
        <w:t>c</w:t>
      </w:r>
      <w:r w:rsidRPr="006B575D">
        <w:rPr>
          <w:bCs/>
        </w:rPr>
        <w:t xml:space="preserve"> Department of Anthropology, Northwestern University, Evanston, IL, USA</w:t>
      </w:r>
    </w:p>
    <w:p w14:paraId="236B3126" w14:textId="088C7B8F" w:rsidR="008406FB" w:rsidRPr="006B575D" w:rsidRDefault="008406FB" w:rsidP="008406FB">
      <w:pPr>
        <w:shd w:val="clear" w:color="auto" w:fill="FFFFFF"/>
        <w:spacing w:line="480" w:lineRule="auto"/>
        <w:rPr>
          <w:bCs/>
        </w:rPr>
      </w:pPr>
    </w:p>
    <w:p w14:paraId="1E9CE860" w14:textId="77777777" w:rsidR="005C1705" w:rsidRPr="006B575D" w:rsidRDefault="008406FB" w:rsidP="00F60069">
      <w:pPr>
        <w:shd w:val="clear" w:color="auto" w:fill="FFFFFF"/>
        <w:spacing w:line="480" w:lineRule="auto"/>
        <w:rPr>
          <w:bCs/>
        </w:rPr>
      </w:pPr>
      <w:r w:rsidRPr="006B575D">
        <w:rPr>
          <w:bCs/>
        </w:rPr>
        <w:t xml:space="preserve">Running title: </w:t>
      </w:r>
      <w:r w:rsidR="0080643C" w:rsidRPr="006B575D">
        <w:rPr>
          <w:bCs/>
        </w:rPr>
        <w:t>Parity and biological age</w:t>
      </w:r>
    </w:p>
    <w:p w14:paraId="7EDF04DE" w14:textId="77777777" w:rsidR="005C1705" w:rsidRPr="006B575D" w:rsidRDefault="005C1705" w:rsidP="00F60069">
      <w:pPr>
        <w:shd w:val="clear" w:color="auto" w:fill="FFFFFF"/>
        <w:spacing w:line="480" w:lineRule="auto"/>
        <w:rPr>
          <w:bCs/>
        </w:rPr>
      </w:pPr>
    </w:p>
    <w:p w14:paraId="503C5521" w14:textId="77777777" w:rsidR="005C1705" w:rsidRPr="006B575D" w:rsidRDefault="005C1705" w:rsidP="00F60069">
      <w:pPr>
        <w:shd w:val="clear" w:color="auto" w:fill="FFFFFF"/>
        <w:spacing w:line="480" w:lineRule="auto"/>
        <w:rPr>
          <w:bCs/>
        </w:rPr>
      </w:pPr>
      <w:r w:rsidRPr="006B575D">
        <w:rPr>
          <w:bCs/>
        </w:rPr>
        <w:t>* Corresponding author</w:t>
      </w:r>
    </w:p>
    <w:p w14:paraId="3FE322E6" w14:textId="017AA889" w:rsidR="005C1705" w:rsidRPr="006B575D" w:rsidRDefault="005C1705" w:rsidP="00F60069">
      <w:pPr>
        <w:shd w:val="clear" w:color="auto" w:fill="FFFFFF"/>
        <w:spacing w:line="480" w:lineRule="auto"/>
        <w:rPr>
          <w:bCs/>
        </w:rPr>
      </w:pPr>
      <w:r w:rsidRPr="006B575D">
        <w:rPr>
          <w:bCs/>
        </w:rPr>
        <w:t>Department of Anthropology</w:t>
      </w:r>
    </w:p>
    <w:p w14:paraId="3211F70D" w14:textId="581BDC66" w:rsidR="005C1705" w:rsidRPr="006B575D" w:rsidRDefault="005C1705" w:rsidP="00F60069">
      <w:pPr>
        <w:shd w:val="clear" w:color="auto" w:fill="FFFFFF"/>
        <w:spacing w:line="480" w:lineRule="auto"/>
        <w:rPr>
          <w:bCs/>
        </w:rPr>
      </w:pPr>
      <w:r w:rsidRPr="006B575D">
        <w:rPr>
          <w:bCs/>
        </w:rPr>
        <w:t>421 Carpenter Building</w:t>
      </w:r>
    </w:p>
    <w:p w14:paraId="40FCE373" w14:textId="77777777" w:rsidR="005C1705" w:rsidRPr="006B575D" w:rsidRDefault="005C1705" w:rsidP="00F60069">
      <w:pPr>
        <w:shd w:val="clear" w:color="auto" w:fill="FFFFFF"/>
        <w:spacing w:line="480" w:lineRule="auto"/>
        <w:rPr>
          <w:bCs/>
        </w:rPr>
      </w:pPr>
      <w:r w:rsidRPr="006B575D">
        <w:rPr>
          <w:bCs/>
        </w:rPr>
        <w:t>University Park, PA 16802</w:t>
      </w:r>
    </w:p>
    <w:p w14:paraId="6E483E73" w14:textId="353B65C0" w:rsidR="0080643C" w:rsidRPr="006B575D" w:rsidRDefault="005C1705" w:rsidP="00F60069">
      <w:pPr>
        <w:shd w:val="clear" w:color="auto" w:fill="FFFFFF"/>
        <w:spacing w:line="480" w:lineRule="auto"/>
        <w:rPr>
          <w:bCs/>
        </w:rPr>
      </w:pPr>
      <w:r w:rsidRPr="006B575D">
        <w:rPr>
          <w:bCs/>
        </w:rPr>
        <w:t>talia.shirazi@gmail.com</w:t>
      </w:r>
      <w:r w:rsidR="0080643C" w:rsidRPr="006B575D">
        <w:rPr>
          <w:b/>
        </w:rPr>
        <w:br w:type="page"/>
      </w:r>
    </w:p>
    <w:p w14:paraId="6549BC12" w14:textId="4990D6FA" w:rsidR="0080643C" w:rsidRPr="006B575D" w:rsidRDefault="00693C80" w:rsidP="00A703EA">
      <w:pPr>
        <w:shd w:val="clear" w:color="auto" w:fill="FFFFFF"/>
        <w:spacing w:line="480" w:lineRule="auto"/>
        <w:rPr>
          <w:b/>
        </w:rPr>
      </w:pPr>
      <w:r w:rsidRPr="006B575D">
        <w:rPr>
          <w:b/>
        </w:rPr>
        <w:lastRenderedPageBreak/>
        <w:t>Abstract</w:t>
      </w:r>
    </w:p>
    <w:p w14:paraId="549409F0" w14:textId="6B73A848" w:rsidR="00693C80" w:rsidRPr="006B575D" w:rsidRDefault="00163D8F" w:rsidP="00A703EA">
      <w:pPr>
        <w:shd w:val="clear" w:color="auto" w:fill="FFFFFF"/>
        <w:spacing w:line="480" w:lineRule="auto"/>
        <w:rPr>
          <w:color w:val="000000"/>
        </w:rPr>
      </w:pPr>
      <w:r w:rsidRPr="006B575D">
        <w:rPr>
          <w:color w:val="000000"/>
        </w:rPr>
        <w:t xml:space="preserve">Understanding factors contributing to variation in ‘biological age’ is essential to understanding variation in susceptibility to disease and functional decline. </w:t>
      </w:r>
      <w:r w:rsidR="00693C80" w:rsidRPr="006B575D">
        <w:rPr>
          <w:color w:val="000000"/>
        </w:rPr>
        <w:t>One factor that could accelerate biological aging</w:t>
      </w:r>
      <w:r w:rsidRPr="006B575D">
        <w:rPr>
          <w:color w:val="000000"/>
        </w:rPr>
        <w:t xml:space="preserve"> in women</w:t>
      </w:r>
      <w:r w:rsidR="00693C80" w:rsidRPr="006B575D">
        <w:rPr>
          <w:color w:val="000000"/>
        </w:rPr>
        <w:t xml:space="preserve"> is reproduction. </w:t>
      </w:r>
      <w:r w:rsidRPr="006B575D">
        <w:rPr>
          <w:color w:val="000000"/>
        </w:rPr>
        <w:t>P</w:t>
      </w:r>
      <w:r w:rsidR="00693C80" w:rsidRPr="006B575D">
        <w:rPr>
          <w:color w:val="000000"/>
        </w:rPr>
        <w:t>regnancy is characterized by extensive</w:t>
      </w:r>
      <w:r w:rsidRPr="006B575D">
        <w:rPr>
          <w:color w:val="000000"/>
        </w:rPr>
        <w:t>,</w:t>
      </w:r>
      <w:r w:rsidR="00693C80" w:rsidRPr="006B575D">
        <w:rPr>
          <w:color w:val="000000"/>
        </w:rPr>
        <w:t xml:space="preserve"> </w:t>
      </w:r>
      <w:proofErr w:type="gramStart"/>
      <w:r w:rsidR="00693C80" w:rsidRPr="006B575D">
        <w:rPr>
          <w:color w:val="000000"/>
        </w:rPr>
        <w:t>energetically</w:t>
      </w:r>
      <w:r w:rsidR="00E87E02" w:rsidRPr="006B575D">
        <w:rPr>
          <w:color w:val="000000"/>
        </w:rPr>
        <w:t>-</w:t>
      </w:r>
      <w:r w:rsidR="00693C80" w:rsidRPr="006B575D">
        <w:rPr>
          <w:color w:val="000000"/>
        </w:rPr>
        <w:t>costly</w:t>
      </w:r>
      <w:proofErr w:type="gramEnd"/>
      <w:r w:rsidR="00693C80" w:rsidRPr="006B575D">
        <w:rPr>
          <w:color w:val="000000"/>
        </w:rPr>
        <w:t xml:space="preserve"> changes across numerous physiological systems. These </w:t>
      </w:r>
      <w:r w:rsidRPr="006B575D">
        <w:rPr>
          <w:color w:val="000000"/>
        </w:rPr>
        <w:t xml:space="preserve">‘costs of reproduction’ </w:t>
      </w:r>
      <w:r w:rsidR="00693C80" w:rsidRPr="006B575D">
        <w:rPr>
          <w:color w:val="000000"/>
        </w:rPr>
        <w:t xml:space="preserve">may accumulate with each pregnancy, accelerating biological aging. Despite evidence for costs of reproduction using molecular </w:t>
      </w:r>
      <w:r w:rsidRPr="006B575D">
        <w:rPr>
          <w:color w:val="000000"/>
        </w:rPr>
        <w:t>and demographic measures</w:t>
      </w:r>
      <w:r w:rsidR="00693C80" w:rsidRPr="006B575D">
        <w:rPr>
          <w:color w:val="000000"/>
        </w:rPr>
        <w:t>, it is un</w:t>
      </w:r>
      <w:r w:rsidR="00335A64" w:rsidRPr="006B575D">
        <w:rPr>
          <w:color w:val="000000"/>
        </w:rPr>
        <w:t>known</w:t>
      </w:r>
      <w:r w:rsidR="00693C80" w:rsidRPr="006B575D">
        <w:rPr>
          <w:color w:val="000000"/>
        </w:rPr>
        <w:t xml:space="preserve"> </w:t>
      </w:r>
      <w:r w:rsidR="00335A64" w:rsidRPr="006B575D">
        <w:rPr>
          <w:color w:val="000000"/>
        </w:rPr>
        <w:t>whether</w:t>
      </w:r>
      <w:r w:rsidR="00693C80" w:rsidRPr="006B575D">
        <w:rPr>
          <w:color w:val="000000"/>
        </w:rPr>
        <w:t xml:space="preserve"> parity </w:t>
      </w:r>
      <w:r w:rsidRPr="006B575D">
        <w:rPr>
          <w:color w:val="000000"/>
        </w:rPr>
        <w:t>is</w:t>
      </w:r>
      <w:r w:rsidR="00693C80" w:rsidRPr="006B575D">
        <w:rPr>
          <w:color w:val="000000"/>
        </w:rPr>
        <w:t xml:space="preserve"> linked to </w:t>
      </w:r>
      <w:proofErr w:type="gramStart"/>
      <w:r w:rsidR="00693C80" w:rsidRPr="006B575D">
        <w:rPr>
          <w:color w:val="000000"/>
        </w:rPr>
        <w:t>commonly-used</w:t>
      </w:r>
      <w:proofErr w:type="gramEnd"/>
      <w:r w:rsidR="00693C80" w:rsidRPr="006B575D">
        <w:rPr>
          <w:color w:val="000000"/>
        </w:rPr>
        <w:t xml:space="preserve"> clinical measures of biological aging. </w:t>
      </w:r>
      <w:r w:rsidRPr="006B575D">
        <w:rPr>
          <w:color w:val="000000"/>
        </w:rPr>
        <w:t>W</w:t>
      </w:r>
      <w:r w:rsidR="00693C80" w:rsidRPr="006B575D">
        <w:rPr>
          <w:color w:val="000000"/>
        </w:rPr>
        <w:t xml:space="preserve">e use data collected between 1999-2010 from the National Health and Nutrition Examination Survey </w:t>
      </w:r>
      <w:r w:rsidR="00693C80" w:rsidRPr="006B575D">
        <w:rPr>
          <w:i/>
          <w:iCs/>
          <w:color w:val="000000"/>
        </w:rPr>
        <w:t>(n</w:t>
      </w:r>
      <w:r w:rsidR="00693C80" w:rsidRPr="006B575D">
        <w:rPr>
          <w:color w:val="000000"/>
        </w:rPr>
        <w:t>=</w:t>
      </w:r>
      <w:r w:rsidR="00093C28" w:rsidRPr="006B575D">
        <w:rPr>
          <w:color w:val="000000"/>
        </w:rPr>
        <w:t>4,418</w:t>
      </w:r>
      <w:r w:rsidR="00693C80" w:rsidRPr="006B575D">
        <w:rPr>
          <w:color w:val="000000"/>
        </w:rPr>
        <w:t xml:space="preserve">) to test whether parity (number of live births) </w:t>
      </w:r>
      <w:r w:rsidR="00335A64" w:rsidRPr="006B575D">
        <w:rPr>
          <w:color w:val="000000"/>
        </w:rPr>
        <w:t>predicted</w:t>
      </w:r>
      <w:r w:rsidR="00693C80" w:rsidRPr="006B575D">
        <w:rPr>
          <w:color w:val="000000"/>
        </w:rPr>
        <w:t xml:space="preserve"> </w:t>
      </w:r>
      <w:r w:rsidR="007466FC" w:rsidRPr="006B575D">
        <w:rPr>
          <w:color w:val="000000"/>
        </w:rPr>
        <w:t>four</w:t>
      </w:r>
      <w:r w:rsidR="00693C80" w:rsidRPr="006B575D">
        <w:rPr>
          <w:color w:val="000000"/>
        </w:rPr>
        <w:t xml:space="preserve"> previously-validated composite measures of biological age</w:t>
      </w:r>
      <w:r w:rsidR="00093C28" w:rsidRPr="006B575D">
        <w:rPr>
          <w:color w:val="000000"/>
        </w:rPr>
        <w:t xml:space="preserve"> and system integrity</w:t>
      </w:r>
      <w:r w:rsidR="00693C80" w:rsidRPr="006B575D">
        <w:rPr>
          <w:color w:val="000000"/>
        </w:rPr>
        <w:t>: Levine Method, homeostatic dysregulation, Klemera-Doubal method biological age</w:t>
      </w:r>
      <w:r w:rsidR="00093C28" w:rsidRPr="006B575D">
        <w:rPr>
          <w:color w:val="000000"/>
        </w:rPr>
        <w:t>, and allostatic load</w:t>
      </w:r>
      <w:r w:rsidR="00693C80" w:rsidRPr="006B575D">
        <w:rPr>
          <w:color w:val="000000"/>
        </w:rPr>
        <w:t xml:space="preserve">. </w:t>
      </w:r>
      <w:r w:rsidR="00511AC6" w:rsidRPr="006B575D">
        <w:rPr>
          <w:color w:val="000000"/>
        </w:rPr>
        <w:t xml:space="preserve">Parity </w:t>
      </w:r>
      <w:r w:rsidR="00054785" w:rsidRPr="006B575D">
        <w:rPr>
          <w:color w:val="000000"/>
        </w:rPr>
        <w:t>exhibited a U-shaped relationship</w:t>
      </w:r>
      <w:r w:rsidR="00511AC6" w:rsidRPr="006B575D">
        <w:rPr>
          <w:color w:val="000000"/>
        </w:rPr>
        <w:t xml:space="preserve"> with accelerated biological aging when controlling for chronological age, lifestyle, health-related, and demographic factors in post</w:t>
      </w:r>
      <w:r w:rsidR="00E87E02" w:rsidRPr="006B575D">
        <w:rPr>
          <w:color w:val="000000"/>
        </w:rPr>
        <w:t>-</w:t>
      </w:r>
      <w:r w:rsidR="00511AC6" w:rsidRPr="006B575D">
        <w:rPr>
          <w:color w:val="000000"/>
        </w:rPr>
        <w:t>menopausal, but not pre</w:t>
      </w:r>
      <w:r w:rsidR="00E87E02" w:rsidRPr="006B575D">
        <w:rPr>
          <w:color w:val="000000"/>
        </w:rPr>
        <w:t>-</w:t>
      </w:r>
      <w:r w:rsidR="00511AC6" w:rsidRPr="006B575D">
        <w:rPr>
          <w:color w:val="000000"/>
        </w:rPr>
        <w:t>menopausal, women</w:t>
      </w:r>
      <w:r w:rsidR="00054785" w:rsidRPr="006B575D">
        <w:rPr>
          <w:color w:val="000000"/>
        </w:rPr>
        <w:t xml:space="preserve">, with biological age acceleration being lowest </w:t>
      </w:r>
      <w:r w:rsidR="00ED4070" w:rsidRPr="006B575D">
        <w:rPr>
          <w:color w:val="000000"/>
        </w:rPr>
        <w:t>among post</w:t>
      </w:r>
      <w:r w:rsidR="00E87E02" w:rsidRPr="006B575D">
        <w:rPr>
          <w:color w:val="000000"/>
        </w:rPr>
        <w:t>-</w:t>
      </w:r>
      <w:r w:rsidR="00ED4070" w:rsidRPr="006B575D">
        <w:rPr>
          <w:color w:val="000000"/>
        </w:rPr>
        <w:t xml:space="preserve">menopausal women reporting </w:t>
      </w:r>
      <w:r w:rsidR="00054785" w:rsidRPr="006B575D">
        <w:rPr>
          <w:color w:val="000000"/>
        </w:rPr>
        <w:t>between two and three live births</w:t>
      </w:r>
      <w:r w:rsidR="00511AC6" w:rsidRPr="006B575D">
        <w:rPr>
          <w:color w:val="000000"/>
        </w:rPr>
        <w:t xml:space="preserve">. </w:t>
      </w:r>
      <w:r w:rsidR="00875CA4" w:rsidRPr="006B575D">
        <w:rPr>
          <w:color w:val="000000"/>
        </w:rPr>
        <w:t xml:space="preserve">Our findings </w:t>
      </w:r>
      <w:r w:rsidR="00511AC6" w:rsidRPr="006B575D">
        <w:rPr>
          <w:color w:val="000000"/>
        </w:rPr>
        <w:t xml:space="preserve">suggest </w:t>
      </w:r>
      <w:r w:rsidR="00875CA4" w:rsidRPr="006B575D">
        <w:rPr>
          <w:color w:val="000000"/>
        </w:rPr>
        <w:t xml:space="preserve">a link between reproductive function and physiological dysregulation, and of compensatory mechanisms that buffer the effects of reproductive function on physiological dysregulation during a woman’s reproductive lifespan. </w:t>
      </w:r>
      <w:r w:rsidR="00693C80" w:rsidRPr="006B575D">
        <w:rPr>
          <w:color w:val="000000"/>
        </w:rPr>
        <w:t>Future work should continue to investigate links between parity</w:t>
      </w:r>
      <w:r w:rsidR="00875CA4" w:rsidRPr="006B575D">
        <w:rPr>
          <w:color w:val="000000"/>
        </w:rPr>
        <w:t>, menopausal status,</w:t>
      </w:r>
      <w:r w:rsidR="00693C80" w:rsidRPr="006B575D">
        <w:rPr>
          <w:color w:val="000000"/>
        </w:rPr>
        <w:t xml:space="preserve"> and biological age using targeted physiological measures and longitudinal </w:t>
      </w:r>
      <w:r w:rsidRPr="006B575D">
        <w:rPr>
          <w:color w:val="000000"/>
        </w:rPr>
        <w:t>studies</w:t>
      </w:r>
      <w:r w:rsidR="00693C80" w:rsidRPr="006B575D">
        <w:rPr>
          <w:color w:val="000000"/>
        </w:rPr>
        <w:t>.</w:t>
      </w:r>
    </w:p>
    <w:p w14:paraId="73EB6D9C" w14:textId="77777777" w:rsidR="00A703EA" w:rsidRPr="006B575D" w:rsidRDefault="00A703EA" w:rsidP="008406FB">
      <w:pPr>
        <w:shd w:val="clear" w:color="auto" w:fill="FFFFFF"/>
        <w:spacing w:line="480" w:lineRule="auto"/>
        <w:rPr>
          <w:i/>
          <w:iCs/>
        </w:rPr>
      </w:pPr>
    </w:p>
    <w:p w14:paraId="2D384F4E" w14:textId="518D644E" w:rsidR="000A073E" w:rsidRPr="006B575D" w:rsidRDefault="0080643C" w:rsidP="00A703EA">
      <w:pPr>
        <w:shd w:val="clear" w:color="auto" w:fill="FFFFFF"/>
        <w:spacing w:line="480" w:lineRule="auto"/>
      </w:pPr>
      <w:r w:rsidRPr="006B575D">
        <w:rPr>
          <w:i/>
          <w:iCs/>
        </w:rPr>
        <w:t>Keywords:</w:t>
      </w:r>
      <w:r w:rsidRPr="006B575D">
        <w:t xml:space="preserve"> biological age; parity; National Health and Nutrition Examination Survey; costs of reproduction</w:t>
      </w:r>
      <w:r w:rsidR="00540C00" w:rsidRPr="006B575D">
        <w:t xml:space="preserve">; </w:t>
      </w:r>
      <w:r w:rsidR="00DB6B93" w:rsidRPr="006B575D">
        <w:t>menopause</w:t>
      </w:r>
      <w:r w:rsidR="00A703EA" w:rsidRPr="006B575D">
        <w:br w:type="page"/>
      </w:r>
    </w:p>
    <w:p w14:paraId="5ED3AF2B" w14:textId="77777777" w:rsidR="000A073E" w:rsidRPr="006B575D" w:rsidRDefault="008406FB" w:rsidP="008406FB">
      <w:pPr>
        <w:shd w:val="clear" w:color="auto" w:fill="FFFFFF"/>
        <w:spacing w:line="480" w:lineRule="auto"/>
        <w:rPr>
          <w:b/>
        </w:rPr>
      </w:pPr>
      <w:r w:rsidRPr="006B575D">
        <w:rPr>
          <w:b/>
        </w:rPr>
        <w:lastRenderedPageBreak/>
        <w:t>1. Introduction</w:t>
      </w:r>
    </w:p>
    <w:p w14:paraId="79F3F430" w14:textId="77777777" w:rsidR="000A073E" w:rsidRPr="006B575D" w:rsidRDefault="000A073E" w:rsidP="008406FB">
      <w:pPr>
        <w:shd w:val="clear" w:color="auto" w:fill="FFFFFF"/>
        <w:spacing w:line="480" w:lineRule="auto"/>
        <w:rPr>
          <w:b/>
        </w:rPr>
      </w:pPr>
    </w:p>
    <w:p w14:paraId="1EEBC109" w14:textId="74C3910E" w:rsidR="000A073E" w:rsidRPr="006B575D" w:rsidRDefault="008406FB" w:rsidP="008406FB">
      <w:pPr>
        <w:shd w:val="clear" w:color="auto" w:fill="FFFFFF"/>
        <w:spacing w:line="480" w:lineRule="auto"/>
      </w:pPr>
      <w:r w:rsidRPr="006B575D">
        <w:t>Chronological age is a leading predictor of mortality, morbidity, and functional decline</w:t>
      </w:r>
      <w:r w:rsidR="00F35F8F" w:rsidRPr="006B575D">
        <w:t xml:space="preserve"> </w:t>
      </w:r>
      <w:r w:rsidR="00F35F8F" w:rsidRPr="006B575D">
        <w:fldChar w:fldCharType="begin" w:fldLock="1"/>
      </w:r>
      <w:r w:rsidR="009D7E28" w:rsidRPr="006B575D">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rsidRPr="006B575D">
        <w:fldChar w:fldCharType="separate"/>
      </w:r>
      <w:r w:rsidR="009D7E28" w:rsidRPr="006B575D">
        <w:rPr>
          <w:noProof/>
          <w:vertAlign w:val="superscript"/>
        </w:rPr>
        <w:t>1,2</w:t>
      </w:r>
      <w:r w:rsidR="00F35F8F" w:rsidRPr="006B575D">
        <w:fldChar w:fldCharType="end"/>
      </w:r>
      <w:r w:rsidR="00C37D19" w:rsidRPr="006B575D">
        <w:t xml:space="preserve">. </w:t>
      </w:r>
      <w:r w:rsidRPr="006B575D">
        <w:t>Despite the striking association between chronological age, lifespan, and health, individuals vary considerably in their rate of functional decline</w:t>
      </w:r>
      <w:r w:rsidR="00C37D19" w:rsidRPr="006B575D">
        <w:t xml:space="preserve"> </w:t>
      </w:r>
      <w:r w:rsidR="00C37D19" w:rsidRPr="006B575D">
        <w:fldChar w:fldCharType="begin" w:fldLock="1"/>
      </w:r>
      <w:r w:rsidR="009D7E28" w:rsidRPr="006B575D">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rsidRPr="006B575D">
        <w:fldChar w:fldCharType="separate"/>
      </w:r>
      <w:r w:rsidR="009D7E28" w:rsidRPr="006B575D">
        <w:rPr>
          <w:noProof/>
          <w:vertAlign w:val="superscript"/>
        </w:rPr>
        <w:t>3</w:t>
      </w:r>
      <w:r w:rsidR="00C37D19" w:rsidRPr="006B575D">
        <w:fldChar w:fldCharType="end"/>
      </w:r>
      <w:r w:rsidRPr="006B575D">
        <w:t>. This variation - attributed to differences in the biological rate of deterioration or repair - is referred to as ‘biological age</w:t>
      </w:r>
      <w:proofErr w:type="gramStart"/>
      <w:r w:rsidRPr="006B575D">
        <w:t>’, and</w:t>
      </w:r>
      <w:proofErr w:type="gramEnd"/>
      <w:r w:rsidRPr="006B575D">
        <w:t xml:space="preserve"> is thought to reflect the cumulative effect of environmental exposures in combination with underlying genetic variation. </w:t>
      </w:r>
      <w:r w:rsidR="00540C00" w:rsidRPr="006B575D">
        <w:t>Various proximate mechanism</w:t>
      </w:r>
      <w:r w:rsidR="00AC6668" w:rsidRPr="006B575D">
        <w:t>s</w:t>
      </w:r>
      <w:r w:rsidR="00540C00" w:rsidRPr="006B575D">
        <w:t xml:space="preserve"> have been proposed to modulate biological age acceleration, including insulin signaling </w:t>
      </w:r>
      <w:r w:rsidR="00540C00" w:rsidRPr="006B575D">
        <w:fldChar w:fldCharType="begin" w:fldLock="1"/>
      </w:r>
      <w:r w:rsidR="00540C00" w:rsidRPr="006B575D">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6B575D">
        <w:fldChar w:fldCharType="separate"/>
      </w:r>
      <w:r w:rsidR="00540C00" w:rsidRPr="006B575D">
        <w:rPr>
          <w:noProof/>
          <w:vertAlign w:val="superscript"/>
        </w:rPr>
        <w:t>4</w:t>
      </w:r>
      <w:r w:rsidR="00540C00" w:rsidRPr="006B575D">
        <w:fldChar w:fldCharType="end"/>
      </w:r>
      <w:r w:rsidR="00540C00" w:rsidRPr="006B575D">
        <w:t xml:space="preserve">, oxidative stress </w:t>
      </w:r>
      <w:r w:rsidR="00540C00" w:rsidRPr="006B575D">
        <w:fldChar w:fldCharType="begin" w:fldLock="1"/>
      </w:r>
      <w:r w:rsidR="00540C00" w:rsidRPr="006B575D">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6B575D">
        <w:fldChar w:fldCharType="separate"/>
      </w:r>
      <w:r w:rsidR="00540C00" w:rsidRPr="006B575D">
        <w:rPr>
          <w:noProof/>
          <w:vertAlign w:val="superscript"/>
        </w:rPr>
        <w:t>5</w:t>
      </w:r>
      <w:r w:rsidR="00540C00" w:rsidRPr="006B575D">
        <w:fldChar w:fldCharType="end"/>
      </w:r>
      <w:r w:rsidR="00540C00" w:rsidRPr="006B575D">
        <w:t xml:space="preserve">, inflammation </w:t>
      </w:r>
      <w:r w:rsidR="00540C00" w:rsidRPr="006B575D">
        <w:fldChar w:fldCharType="begin" w:fldLock="1"/>
      </w:r>
      <w:r w:rsidR="002679A8" w:rsidRPr="006B575D">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6B575D">
        <w:fldChar w:fldCharType="separate"/>
      </w:r>
      <w:r w:rsidR="00540C00" w:rsidRPr="006B575D">
        <w:rPr>
          <w:noProof/>
          <w:vertAlign w:val="superscript"/>
        </w:rPr>
        <w:t>6</w:t>
      </w:r>
      <w:r w:rsidR="00540C00" w:rsidRPr="006B575D">
        <w:fldChar w:fldCharType="end"/>
      </w:r>
      <w:r w:rsidR="00540C00" w:rsidRPr="006B575D">
        <w:t xml:space="preserve">, </w:t>
      </w:r>
      <w:r w:rsidR="002679A8" w:rsidRPr="006B575D">
        <w:t xml:space="preserve">epigenetic changes </w:t>
      </w:r>
      <w:r w:rsidR="002679A8" w:rsidRPr="006B575D">
        <w:fldChar w:fldCharType="begin" w:fldLock="1"/>
      </w:r>
      <w:r w:rsidR="002679A8" w:rsidRPr="006B575D">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6B575D">
        <w:fldChar w:fldCharType="separate"/>
      </w:r>
      <w:r w:rsidR="002679A8" w:rsidRPr="006B575D">
        <w:rPr>
          <w:noProof/>
          <w:vertAlign w:val="superscript"/>
        </w:rPr>
        <w:t>7</w:t>
      </w:r>
      <w:r w:rsidR="002679A8" w:rsidRPr="006B575D">
        <w:fldChar w:fldCharType="end"/>
      </w:r>
      <w:r w:rsidR="002679A8" w:rsidRPr="006B575D">
        <w:t xml:space="preserve">, and telomere shortening </w:t>
      </w:r>
      <w:r w:rsidR="002679A8" w:rsidRPr="006B575D">
        <w:fldChar w:fldCharType="begin" w:fldLock="1"/>
      </w:r>
      <w:r w:rsidR="0075630D" w:rsidRPr="006B575D">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6B575D">
        <w:fldChar w:fldCharType="separate"/>
      </w:r>
      <w:r w:rsidR="002679A8" w:rsidRPr="006B575D">
        <w:rPr>
          <w:noProof/>
          <w:vertAlign w:val="superscript"/>
        </w:rPr>
        <w:t>8</w:t>
      </w:r>
      <w:r w:rsidR="002679A8" w:rsidRPr="006B575D">
        <w:fldChar w:fldCharType="end"/>
      </w:r>
      <w:r w:rsidR="002679A8" w:rsidRPr="006B575D">
        <w:t xml:space="preserve">. </w:t>
      </w:r>
      <w:r w:rsidR="00540C00" w:rsidRPr="006B575D">
        <w:t xml:space="preserve"> </w:t>
      </w:r>
      <w:r w:rsidRPr="006B575D">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rsidRPr="006B575D">
        <w:t xml:space="preserve"> </w:t>
      </w:r>
      <w:r w:rsidR="00C37D19" w:rsidRPr="006B575D">
        <w:fldChar w:fldCharType="begin" w:fldLock="1"/>
      </w:r>
      <w:r w:rsidR="0075630D" w:rsidRPr="006B575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rsidRPr="006B575D">
        <w:fldChar w:fldCharType="separate"/>
      </w:r>
      <w:r w:rsidR="002679A8" w:rsidRPr="006B575D">
        <w:rPr>
          <w:noProof/>
          <w:vertAlign w:val="superscript"/>
        </w:rPr>
        <w:t>9</w:t>
      </w:r>
      <w:r w:rsidR="00C37D19" w:rsidRPr="006B575D">
        <w:fldChar w:fldCharType="end"/>
      </w:r>
      <w:r w:rsidRPr="006B575D">
        <w:t>.</w:t>
      </w:r>
    </w:p>
    <w:p w14:paraId="555949D0" w14:textId="77777777" w:rsidR="000A073E" w:rsidRPr="006B575D" w:rsidRDefault="000A073E" w:rsidP="008406FB">
      <w:pPr>
        <w:shd w:val="clear" w:color="auto" w:fill="FFFFFF"/>
        <w:spacing w:line="480" w:lineRule="auto"/>
      </w:pPr>
    </w:p>
    <w:p w14:paraId="5D719EB5" w14:textId="5B2E6F59" w:rsidR="000A073E" w:rsidRPr="006B575D" w:rsidRDefault="008406FB" w:rsidP="008406FB">
      <w:pPr>
        <w:shd w:val="clear" w:color="auto" w:fill="FFFFFF"/>
        <w:spacing w:line="480" w:lineRule="auto"/>
      </w:pPr>
      <w:r w:rsidRPr="006B575D">
        <w:t>Environmental factors found to accelerate biological aging and functional decline include smoking</w:t>
      </w:r>
      <w:r w:rsidR="004F4AC4" w:rsidRPr="006B575D">
        <w:t xml:space="preserve"> </w:t>
      </w:r>
      <w:r w:rsidR="004F4AC4" w:rsidRPr="006B575D">
        <w:fldChar w:fldCharType="begin" w:fldLock="1"/>
      </w:r>
      <w:r w:rsidR="0075630D" w:rsidRPr="006B575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rsidRPr="006B575D">
        <w:fldChar w:fldCharType="separate"/>
      </w:r>
      <w:r w:rsidR="002679A8" w:rsidRPr="006B575D">
        <w:rPr>
          <w:noProof/>
          <w:vertAlign w:val="superscript"/>
        </w:rPr>
        <w:t>10</w:t>
      </w:r>
      <w:r w:rsidR="004F4AC4" w:rsidRPr="006B575D">
        <w:fldChar w:fldCharType="end"/>
      </w:r>
      <w:r w:rsidRPr="006B575D">
        <w:t>, obesity</w:t>
      </w:r>
      <w:r w:rsidR="004F4AC4" w:rsidRPr="006B575D">
        <w:t xml:space="preserve"> </w:t>
      </w:r>
      <w:r w:rsidR="004F4AC4" w:rsidRPr="006B575D">
        <w:fldChar w:fldCharType="begin" w:fldLock="1"/>
      </w:r>
      <w:r w:rsidR="0075630D" w:rsidRPr="006B575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rsidRPr="006B575D">
        <w:fldChar w:fldCharType="separate"/>
      </w:r>
      <w:r w:rsidR="002679A8" w:rsidRPr="006B575D">
        <w:rPr>
          <w:noProof/>
          <w:vertAlign w:val="superscript"/>
        </w:rPr>
        <w:t>10</w:t>
      </w:r>
      <w:r w:rsidR="004F4AC4" w:rsidRPr="006B575D">
        <w:fldChar w:fldCharType="end"/>
      </w:r>
      <w:r w:rsidR="00C37D19" w:rsidRPr="006B575D">
        <w:t xml:space="preserve">, </w:t>
      </w:r>
      <w:r w:rsidRPr="006B575D">
        <w:t xml:space="preserve">socioeconomic status </w:t>
      </w:r>
      <w:r w:rsidR="00C37D19" w:rsidRPr="006B575D">
        <w:fldChar w:fldCharType="begin" w:fldLock="1"/>
      </w:r>
      <w:r w:rsidR="0075630D" w:rsidRPr="006B575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rsidRPr="006B575D">
        <w:fldChar w:fldCharType="separate"/>
      </w:r>
      <w:r w:rsidR="002679A8" w:rsidRPr="006B575D">
        <w:rPr>
          <w:noProof/>
          <w:vertAlign w:val="superscript"/>
        </w:rPr>
        <w:t>11</w:t>
      </w:r>
      <w:r w:rsidR="00C37D19" w:rsidRPr="006B575D">
        <w:fldChar w:fldCharType="end"/>
      </w:r>
      <w:r w:rsidRPr="006B575D">
        <w:t xml:space="preserve">, and psychosocial stress </w:t>
      </w:r>
      <w:r w:rsidR="00C37D19" w:rsidRPr="006B575D">
        <w:fldChar w:fldCharType="begin" w:fldLock="1"/>
      </w:r>
      <w:r w:rsidR="0075630D" w:rsidRPr="006B575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rsidRPr="006B575D">
        <w:fldChar w:fldCharType="separate"/>
      </w:r>
      <w:r w:rsidR="002679A8" w:rsidRPr="006B575D">
        <w:rPr>
          <w:noProof/>
          <w:vertAlign w:val="superscript"/>
        </w:rPr>
        <w:t>12</w:t>
      </w:r>
      <w:r w:rsidR="00C37D19" w:rsidRPr="006B575D">
        <w:fldChar w:fldCharType="end"/>
      </w:r>
      <w:r w:rsidRPr="006B575D">
        <w:t xml:space="preserve">. Another lifestyle factor that may accelerate biological aging in women specifically is reproduction </w:t>
      </w:r>
      <w:r w:rsidR="00C37D19" w:rsidRPr="006B575D">
        <w:fldChar w:fldCharType="begin" w:fldLock="1"/>
      </w:r>
      <w:r w:rsidR="0075630D" w:rsidRPr="006B575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rsidRPr="006B575D">
        <w:fldChar w:fldCharType="separate"/>
      </w:r>
      <w:r w:rsidR="002679A8" w:rsidRPr="006B575D">
        <w:rPr>
          <w:noProof/>
          <w:vertAlign w:val="superscript"/>
        </w:rPr>
        <w:t>13,14</w:t>
      </w:r>
      <w:r w:rsidR="00C37D19" w:rsidRPr="006B575D">
        <w:fldChar w:fldCharType="end"/>
      </w:r>
      <w:r w:rsidRPr="006B575D">
        <w:t>. Reproduction in women is an energetically costly process, and is characterized by extensive changes in both form and function across numerous anatomical and physiological systems</w:t>
      </w:r>
      <w:r w:rsidR="00C37D19" w:rsidRPr="006B575D">
        <w:t xml:space="preserve"> </w:t>
      </w:r>
      <w:r w:rsidR="00C37D19" w:rsidRPr="006B575D">
        <w:fldChar w:fldCharType="begin" w:fldLock="1"/>
      </w:r>
      <w:r w:rsidR="0075630D" w:rsidRPr="006B575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rsidRPr="006B575D">
        <w:fldChar w:fldCharType="separate"/>
      </w:r>
      <w:r w:rsidR="002679A8" w:rsidRPr="006B575D">
        <w:rPr>
          <w:noProof/>
          <w:vertAlign w:val="superscript"/>
        </w:rPr>
        <w:t>15</w:t>
      </w:r>
      <w:r w:rsidR="00C37D19" w:rsidRPr="006B575D">
        <w:fldChar w:fldCharType="end"/>
      </w:r>
      <w:r w:rsidRPr="006B575D">
        <w:t>. Pregnancy and breastfeeding are accompanied by shifts in immune function</w:t>
      </w:r>
      <w:r w:rsidR="00C37D19" w:rsidRPr="006B575D">
        <w:t xml:space="preserve"> </w:t>
      </w:r>
      <w:r w:rsidR="00C37D19" w:rsidRPr="006B575D">
        <w:fldChar w:fldCharType="begin" w:fldLock="1"/>
      </w:r>
      <w:r w:rsidR="0075630D" w:rsidRPr="006B575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rsidRPr="006B575D">
        <w:fldChar w:fldCharType="separate"/>
      </w:r>
      <w:r w:rsidR="002679A8" w:rsidRPr="006B575D">
        <w:rPr>
          <w:noProof/>
          <w:vertAlign w:val="superscript"/>
        </w:rPr>
        <w:t>16–18</w:t>
      </w:r>
      <w:r w:rsidR="00C37D19" w:rsidRPr="006B575D">
        <w:fldChar w:fldCharType="end"/>
      </w:r>
      <w:r w:rsidRPr="006B575D">
        <w:t>, energy metabolism and storage</w:t>
      </w:r>
      <w:r w:rsidR="00C37D19" w:rsidRPr="006B575D">
        <w:t xml:space="preserve"> </w:t>
      </w:r>
      <w:r w:rsidR="00C37D19" w:rsidRPr="006B575D">
        <w:fldChar w:fldCharType="begin" w:fldLock="1"/>
      </w:r>
      <w:r w:rsidR="0075630D" w:rsidRPr="006B575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rsidRPr="006B575D">
        <w:fldChar w:fldCharType="separate"/>
      </w:r>
      <w:r w:rsidR="002679A8" w:rsidRPr="006B575D">
        <w:rPr>
          <w:noProof/>
          <w:vertAlign w:val="superscript"/>
        </w:rPr>
        <w:t>19,20</w:t>
      </w:r>
      <w:r w:rsidR="00C37D19" w:rsidRPr="006B575D">
        <w:fldChar w:fldCharType="end"/>
      </w:r>
      <w:r w:rsidRPr="006B575D">
        <w:t>, blood pressure and volume</w:t>
      </w:r>
      <w:r w:rsidR="00C37D19" w:rsidRPr="006B575D">
        <w:t xml:space="preserve"> </w:t>
      </w:r>
      <w:r w:rsidR="00C37D19" w:rsidRPr="006B575D">
        <w:fldChar w:fldCharType="begin" w:fldLock="1"/>
      </w:r>
      <w:r w:rsidR="0075630D" w:rsidRPr="006B575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rsidRPr="006B575D">
        <w:fldChar w:fldCharType="separate"/>
      </w:r>
      <w:r w:rsidR="002679A8" w:rsidRPr="006B575D">
        <w:rPr>
          <w:noProof/>
          <w:vertAlign w:val="superscript"/>
        </w:rPr>
        <w:t>21,22</w:t>
      </w:r>
      <w:r w:rsidR="00C37D19" w:rsidRPr="006B575D">
        <w:fldChar w:fldCharType="end"/>
      </w:r>
      <w:r w:rsidRPr="006B575D">
        <w:t>, and hormone levels and receptor expression</w:t>
      </w:r>
      <w:r w:rsidR="00C37D19" w:rsidRPr="006B575D">
        <w:t xml:space="preserve"> </w:t>
      </w:r>
      <w:r w:rsidR="00C37D19" w:rsidRPr="006B575D">
        <w:fldChar w:fldCharType="begin" w:fldLock="1"/>
      </w:r>
      <w:r w:rsidR="0075630D" w:rsidRPr="006B575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rsidRPr="006B575D">
        <w:fldChar w:fldCharType="separate"/>
      </w:r>
      <w:r w:rsidR="002679A8" w:rsidRPr="006B575D">
        <w:rPr>
          <w:noProof/>
          <w:vertAlign w:val="superscript"/>
        </w:rPr>
        <w:t>23</w:t>
      </w:r>
      <w:r w:rsidR="00C37D19" w:rsidRPr="006B575D">
        <w:fldChar w:fldCharType="end"/>
      </w:r>
      <w:r w:rsidRPr="006B575D">
        <w:t xml:space="preserve">. Evolutionary theory predicts that these changes create functional or energetic constraints to somatic maintenance and </w:t>
      </w:r>
      <w:r w:rsidR="00E87E02" w:rsidRPr="006B575D">
        <w:t>repair</w:t>
      </w:r>
      <w:r w:rsidRPr="006B575D">
        <w:t xml:space="preserve">, leading to accelerated biological age - a tradeoff referred to as ‘costs of reproduction’ </w:t>
      </w:r>
      <w:r w:rsidR="00C37D19" w:rsidRPr="006B575D">
        <w:fldChar w:fldCharType="begin" w:fldLock="1"/>
      </w:r>
      <w:r w:rsidR="0075630D" w:rsidRPr="006B575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rsidRPr="006B575D">
        <w:fldChar w:fldCharType="separate"/>
      </w:r>
      <w:r w:rsidR="002679A8" w:rsidRPr="006B575D">
        <w:rPr>
          <w:noProof/>
          <w:vertAlign w:val="superscript"/>
        </w:rPr>
        <w:t>24,25</w:t>
      </w:r>
      <w:r w:rsidR="00C37D19" w:rsidRPr="006B575D">
        <w:fldChar w:fldCharType="end"/>
      </w:r>
      <w:r w:rsidRPr="006B575D">
        <w:t xml:space="preserve">. </w:t>
      </w:r>
    </w:p>
    <w:p w14:paraId="6AE2600A" w14:textId="77777777" w:rsidR="000A073E" w:rsidRPr="006B575D" w:rsidRDefault="000A073E" w:rsidP="008406FB">
      <w:pPr>
        <w:shd w:val="clear" w:color="auto" w:fill="FFFFFF"/>
        <w:spacing w:line="480" w:lineRule="auto"/>
      </w:pPr>
    </w:p>
    <w:p w14:paraId="098B5B1E" w14:textId="6FCA9769" w:rsidR="000A073E" w:rsidRPr="006B575D" w:rsidRDefault="008406FB" w:rsidP="008406FB">
      <w:pPr>
        <w:shd w:val="clear" w:color="auto" w:fill="FFFFFF"/>
        <w:spacing w:line="480" w:lineRule="auto"/>
      </w:pPr>
      <w:r w:rsidRPr="006B575D">
        <w:t xml:space="preserve">Consistent with costs of reproduction in women, ever-parity has been linked to mortality from diabetes, cancer of the uterine cervix, gallbladder disease, kidney disease, hypertension, and all-cause mortality </w:t>
      </w:r>
      <w:r w:rsidR="000306B6" w:rsidRPr="006B575D">
        <w:lastRenderedPageBreak/>
        <w:fldChar w:fldCharType="begin" w:fldLock="1"/>
      </w:r>
      <w:r w:rsidR="0075630D" w:rsidRPr="006B575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rsidRPr="006B575D">
        <w:fldChar w:fldCharType="separate"/>
      </w:r>
      <w:r w:rsidR="002679A8" w:rsidRPr="006B575D">
        <w:rPr>
          <w:noProof/>
          <w:vertAlign w:val="superscript"/>
        </w:rPr>
        <w:t>26–29</w:t>
      </w:r>
      <w:r w:rsidR="000306B6" w:rsidRPr="006B575D">
        <w:fldChar w:fldCharType="end"/>
      </w:r>
      <w:r w:rsidRPr="006B575D">
        <w:t>. Similarly, women who give birth to more children are at higher risk of developing obesity, diabetes, hypertension and cardiovascular disease</w:t>
      </w:r>
      <w:r w:rsidR="00ED4070" w:rsidRPr="006B575D">
        <w:t xml:space="preserve"> (CVD) </w:t>
      </w:r>
      <w:r w:rsidR="00ED4070" w:rsidRPr="006B575D">
        <w:fldChar w:fldCharType="begin" w:fldLock="1"/>
      </w:r>
      <w:r w:rsidR="00673967" w:rsidRPr="006B575D">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eviouslyFormattedCitation":"&lt;sup&gt;30,31&lt;/sup&gt;"},"properties":{"noteIndex":0},"schema":"https://github.com/citation-style-language/schema/raw/master/csl-citation.json"}</w:instrText>
      </w:r>
      <w:r w:rsidR="00ED4070" w:rsidRPr="006B575D">
        <w:fldChar w:fldCharType="separate"/>
      </w:r>
      <w:r w:rsidR="00ED4070" w:rsidRPr="006B575D">
        <w:rPr>
          <w:noProof/>
          <w:vertAlign w:val="superscript"/>
        </w:rPr>
        <w:t>30,31</w:t>
      </w:r>
      <w:r w:rsidR="00ED4070" w:rsidRPr="006B575D">
        <w:fldChar w:fldCharType="end"/>
      </w:r>
      <w:r w:rsidRPr="006B575D">
        <w:t xml:space="preserve">, as well as age-corrected all-cause mortality </w:t>
      </w:r>
      <w:r w:rsidR="000306B6" w:rsidRPr="006B575D">
        <w:fldChar w:fldCharType="begin" w:fldLock="1"/>
      </w:r>
      <w:r w:rsidR="0075630D" w:rsidRPr="006B575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rsidRPr="006B575D">
        <w:fldChar w:fldCharType="separate"/>
      </w:r>
      <w:r w:rsidR="002679A8" w:rsidRPr="006B575D">
        <w:rPr>
          <w:noProof/>
          <w:vertAlign w:val="superscript"/>
        </w:rPr>
        <w:t>28,32,33</w:t>
      </w:r>
      <w:r w:rsidR="000306B6" w:rsidRPr="006B575D">
        <w:fldChar w:fldCharType="end"/>
      </w:r>
      <w:r w:rsidRPr="006B575D">
        <w:t>, mortality related to cardiovascular disease</w:t>
      </w:r>
      <w:r w:rsidR="000306B6" w:rsidRPr="006B575D">
        <w:t xml:space="preserve"> </w:t>
      </w:r>
      <w:r w:rsidR="000306B6" w:rsidRPr="006B575D">
        <w:fldChar w:fldCharType="begin" w:fldLock="1"/>
      </w:r>
      <w:r w:rsidR="0075630D" w:rsidRPr="006B575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rsidRPr="006B575D">
        <w:fldChar w:fldCharType="separate"/>
      </w:r>
      <w:r w:rsidR="002679A8" w:rsidRPr="006B575D">
        <w:rPr>
          <w:noProof/>
          <w:vertAlign w:val="superscript"/>
        </w:rPr>
        <w:t>34</w:t>
      </w:r>
      <w:r w:rsidR="000306B6" w:rsidRPr="006B575D">
        <w:fldChar w:fldCharType="end"/>
      </w:r>
      <w:r w:rsidRPr="006B575D">
        <w:t xml:space="preserve"> and mortality related to kidney disease </w:t>
      </w:r>
      <w:r w:rsidR="000306B6" w:rsidRPr="006B575D">
        <w:fldChar w:fldCharType="begin" w:fldLock="1"/>
      </w:r>
      <w:r w:rsidR="0075630D" w:rsidRPr="006B575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rsidRPr="006B575D">
        <w:fldChar w:fldCharType="separate"/>
      </w:r>
      <w:r w:rsidR="002679A8" w:rsidRPr="006B575D">
        <w:rPr>
          <w:noProof/>
          <w:vertAlign w:val="superscript"/>
        </w:rPr>
        <w:t>35</w:t>
      </w:r>
      <w:r w:rsidR="000306B6" w:rsidRPr="006B575D">
        <w:fldChar w:fldCharType="end"/>
      </w:r>
      <w:r w:rsidRPr="006B575D">
        <w:t xml:space="preserve">. </w:t>
      </w:r>
      <w:r w:rsidR="00E87E02" w:rsidRPr="006B575D">
        <w:t>Notably,</w:t>
      </w:r>
      <w:r w:rsidRPr="006B575D">
        <w:t xml:space="preserve"> studies with the largest sample sizes (and presumably, the highest statistical power)</w:t>
      </w:r>
      <w:r w:rsidR="00E87E02" w:rsidRPr="006B575D">
        <w:t xml:space="preserve"> often reveal that</w:t>
      </w:r>
      <w:r w:rsidRPr="006B575D">
        <w:t xml:space="preserve"> parity exhibits a U-shaped association with all-cause mortality</w:t>
      </w:r>
      <w:r w:rsidR="000306B6" w:rsidRPr="006B575D">
        <w:t xml:space="preserve"> </w:t>
      </w:r>
      <w:r w:rsidR="000306B6" w:rsidRPr="006B575D">
        <w:fldChar w:fldCharType="begin" w:fldLock="1"/>
      </w:r>
      <w:r w:rsidR="0075630D" w:rsidRPr="006B575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rsidRPr="006B575D">
        <w:fldChar w:fldCharType="separate"/>
      </w:r>
      <w:r w:rsidR="002679A8" w:rsidRPr="006B575D">
        <w:rPr>
          <w:noProof/>
          <w:vertAlign w:val="superscript"/>
        </w:rPr>
        <w:t>32,33</w:t>
      </w:r>
      <w:r w:rsidR="000306B6" w:rsidRPr="006B575D">
        <w:fldChar w:fldCharType="end"/>
      </w:r>
      <w:r w:rsidRPr="006B575D">
        <w:t xml:space="preserve"> and </w:t>
      </w:r>
      <w:r w:rsidR="000306B6" w:rsidRPr="006B575D">
        <w:t xml:space="preserve">CVD </w:t>
      </w:r>
      <w:r w:rsidR="000306B6" w:rsidRPr="006B575D">
        <w:fldChar w:fldCharType="begin" w:fldLock="1"/>
      </w:r>
      <w:r w:rsidR="0075630D" w:rsidRPr="006B575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rsidRPr="006B575D">
        <w:fldChar w:fldCharType="separate"/>
      </w:r>
      <w:r w:rsidR="002679A8" w:rsidRPr="006B575D">
        <w:rPr>
          <w:noProof/>
          <w:vertAlign w:val="superscript"/>
        </w:rPr>
        <w:t>34</w:t>
      </w:r>
      <w:r w:rsidR="000306B6" w:rsidRPr="006B575D">
        <w:fldChar w:fldCharType="end"/>
      </w:r>
      <w:r w:rsidRPr="006B575D">
        <w:t xml:space="preserve">, </w:t>
      </w:r>
      <w:r w:rsidR="00E87E02" w:rsidRPr="006B575D">
        <w:t xml:space="preserve">with lowest all-cause mortality and CVD rates observed at intermediate parity. </w:t>
      </w:r>
      <w:r w:rsidRPr="006B575D">
        <w:t xml:space="preserve">The number of children or pregnancies has also been linked to multiple measures of cellular aging, including DNA damage and oxidative stress </w:t>
      </w:r>
      <w:r w:rsidR="000306B6" w:rsidRPr="006B575D">
        <w:fldChar w:fldCharType="begin" w:fldLock="1"/>
      </w:r>
      <w:r w:rsidR="0075630D" w:rsidRPr="006B575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rsidRPr="006B575D">
        <w:fldChar w:fldCharType="separate"/>
      </w:r>
      <w:r w:rsidR="002679A8" w:rsidRPr="006B575D">
        <w:rPr>
          <w:noProof/>
          <w:vertAlign w:val="superscript"/>
        </w:rPr>
        <w:t>36</w:t>
      </w:r>
      <w:r w:rsidR="000306B6" w:rsidRPr="006B575D">
        <w:fldChar w:fldCharType="end"/>
      </w:r>
      <w:r w:rsidRPr="006B575D">
        <w:t>, telomere length</w:t>
      </w:r>
      <w:r w:rsidR="000306B6" w:rsidRPr="006B575D">
        <w:t xml:space="preserve"> </w:t>
      </w:r>
      <w:r w:rsidR="000306B6" w:rsidRPr="006B575D">
        <w:fldChar w:fldCharType="begin" w:fldLock="1"/>
      </w:r>
      <w:r w:rsidR="0075630D" w:rsidRPr="006B575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rsidRPr="006B575D">
        <w:fldChar w:fldCharType="separate"/>
      </w:r>
      <w:r w:rsidR="002679A8" w:rsidRPr="006B575D">
        <w:rPr>
          <w:noProof/>
          <w:vertAlign w:val="superscript"/>
        </w:rPr>
        <w:t>13,14</w:t>
      </w:r>
      <w:r w:rsidR="000306B6" w:rsidRPr="006B575D">
        <w:fldChar w:fldCharType="end"/>
      </w:r>
      <w:r w:rsidRPr="006B575D">
        <w:t xml:space="preserve">, and DNA methylation age </w:t>
      </w:r>
      <w:r w:rsidR="000306B6" w:rsidRPr="006B575D">
        <w:fldChar w:fldCharType="begin" w:fldLock="1"/>
      </w:r>
      <w:r w:rsidR="0075630D" w:rsidRPr="006B575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rsidRPr="006B575D">
        <w:fldChar w:fldCharType="separate"/>
      </w:r>
      <w:r w:rsidR="002679A8" w:rsidRPr="006B575D">
        <w:rPr>
          <w:noProof/>
          <w:vertAlign w:val="superscript"/>
        </w:rPr>
        <w:t>14,37</w:t>
      </w:r>
      <w:r w:rsidR="000306B6" w:rsidRPr="006B575D">
        <w:fldChar w:fldCharType="end"/>
      </w:r>
      <w:r w:rsidRPr="006B575D">
        <w:t xml:space="preserve">. While most of these studies examine associations within Western populations, some evidence supporting costs of reproduction is seen in non-Western populations as well </w:t>
      </w:r>
      <w:r w:rsidR="00B418E0" w:rsidRPr="006B575D">
        <w:fldChar w:fldCharType="begin" w:fldLock="1"/>
      </w:r>
      <w:r w:rsidR="0075630D" w:rsidRPr="006B575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rsidRPr="006B575D">
        <w:fldChar w:fldCharType="separate"/>
      </w:r>
      <w:r w:rsidR="002679A8" w:rsidRPr="006B575D">
        <w:rPr>
          <w:noProof/>
          <w:vertAlign w:val="superscript"/>
        </w:rPr>
        <w:t>14,36</w:t>
      </w:r>
      <w:r w:rsidR="00B418E0" w:rsidRPr="006B575D">
        <w:fldChar w:fldCharType="end"/>
      </w:r>
      <w:r w:rsidRPr="006B575D">
        <w:t xml:space="preserve">. </w:t>
      </w:r>
    </w:p>
    <w:p w14:paraId="42334E90" w14:textId="77777777" w:rsidR="000A073E" w:rsidRPr="006B575D" w:rsidRDefault="000A073E" w:rsidP="008406FB">
      <w:pPr>
        <w:shd w:val="clear" w:color="auto" w:fill="FFFFFF"/>
        <w:spacing w:line="480" w:lineRule="auto"/>
      </w:pPr>
    </w:p>
    <w:p w14:paraId="4B3C7D9F" w14:textId="5E2C4AD9" w:rsidR="004962D1" w:rsidRPr="006B575D" w:rsidRDefault="008406FB" w:rsidP="008904B8">
      <w:pPr>
        <w:shd w:val="clear" w:color="auto" w:fill="FFFFFF"/>
        <w:spacing w:line="480" w:lineRule="auto"/>
      </w:pPr>
      <w:bookmarkStart w:id="1" w:name="_Hlk54186245"/>
      <w:r w:rsidRPr="006B575D">
        <w:t xml:space="preserve">Cellular measures of biological age such as telomere length and DNA methylation age may provide insights into the molecular processes linking reproduction to mortality and other health outcomes </w:t>
      </w:r>
      <w:r w:rsidR="00B418E0" w:rsidRPr="006B575D">
        <w:fldChar w:fldCharType="begin" w:fldLock="1"/>
      </w:r>
      <w:r w:rsidR="0075630D" w:rsidRPr="006B575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rsidRPr="006B575D">
        <w:fldChar w:fldCharType="separate"/>
      </w:r>
      <w:r w:rsidR="002679A8" w:rsidRPr="006B575D">
        <w:rPr>
          <w:noProof/>
          <w:vertAlign w:val="superscript"/>
        </w:rPr>
        <w:t>7,38</w:t>
      </w:r>
      <w:r w:rsidR="00B418E0" w:rsidRPr="006B575D">
        <w:fldChar w:fldCharType="end"/>
      </w:r>
      <w:r w:rsidRPr="006B575D">
        <w:t xml:space="preserve">, and may eventually serve as early indicators of the costs of reproduction in health and aging. However, </w:t>
      </w:r>
      <w:r w:rsidR="008904B8" w:rsidRPr="006B575D">
        <w:t xml:space="preserve"> </w:t>
      </w:r>
      <w:r w:rsidR="00117586" w:rsidRPr="006B575D">
        <w:t>‘aging’ may refer to a wide range of processes that may occur at different times or at different speeds</w:t>
      </w:r>
      <w:r w:rsidR="00ED40F4" w:rsidRPr="006B575D">
        <w:t xml:space="preserve">. For example, cellular measures of biological age that examine mitotic (e.g., telomere length) and non-mitotic (e.g., DNA methylation age) processes are </w:t>
      </w:r>
      <w:r w:rsidR="00673967" w:rsidRPr="006B575D">
        <w:t>often weakly</w:t>
      </w:r>
      <w:r w:rsidR="00ED40F4" w:rsidRPr="006B575D">
        <w:t xml:space="preserve"> correlated </w:t>
      </w:r>
      <w:r w:rsidR="00ED40F4" w:rsidRPr="006B575D">
        <w:fldChar w:fldCharType="begin" w:fldLock="1"/>
      </w:r>
      <w:r w:rsidR="00673967" w:rsidRPr="006B575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women","type":"article-journal"},"uris":["http://www.mendeley.com/documents/?uuid=a17bd5d4-45d4-4bb2-806b-9fad7800516a"]},{"id":"ITEM-2","itemData":{"DOI":"10.1093/ije/dyw041","ISBN":"1464-3685 (Electronic) 0300-5771 (Linking)","PMID":"27075770","abstract":"BACKGROUND: Telomere length and DNA methylation have been proposed as biological clock measures that track chronological age. Whether they change in tandem, or contribute independently to the prediction of chronological age, is not known. 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 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(allP&lt;1 x 10(-7)). Corresponding figures for the LBC1936 cohort were 14.3%, 11.7% and 19.5% (allP&lt;1 x 10(-12)). In a combined cohorts analysis, the respective estimates were 2.8%, 28.5% and 29.5%. Also in a combined cohorts analysis, a one standard deviation increase in baseline epigenetic age was linked to a 22% increased mortality risk (P= 2.6 x 10(-4)) whereas, in the same model, a one standard deviation increase in baseline telomere length was independently linked to an 11% decreased mortality risk (P= 0.06). CONCLUSIONS: These results suggest that telomere length and epigenetic clock estimates are independent predictors of chronological age and mortality risk.","author":[{"dropping-particle":"","family":"Marioni","given":"R E","non-dropping-particle":"","parse-names":false,"suffix":""},{"dropping-particle":"","family":"Harris","given":"S E","non-dropping-particle":"","parse-names":false,"suffix":""},{"dropping-particle":"","family":"Shah","given":"S","non-dropping-particle":"","parse-names":false,"suffix":""},{"dropping-particle":"","family":"McRae","given":"A F","non-dropping-particle":"","parse-names":false,"suffix":""},{"dropping-particle":"","family":"Zglinicki","given":"T","non-dropping-particle":"von","parse-names":false,"suffix":""},{"dropping-particle":"","family":"Martin-Ruiz","given":"C","non-dropping-particle":"","parse-names":false,"suffix":""},{"dropping-particle":"","family":"Wray","given":"N R","non-dropping-particle":"","parse-names":false,"suffix":""},{"dropping-particle":"","family":"Visscher","given":"P M","non-dropping-particle":"","parse-names":false,"suffix":""},{"dropping-particle":"","family":"Deary","given":"I J","non-dropping-particle":"","parse-names":false,"suffix":""}],"container-title":"Int J Epidemiol","id":"ITEM-2","issued":{"date-parts":[["2016"]]},"note":"Marioni, Riccardo E\nHarris, Sarah E\nShah, Sonia\nMcRae, Allan F\nvon Zglinicki, Thomas\nMartin-Ruiz, Carmen\nWray, Naomi R\nVisscher, Peter M\nDeary, Ian J\neng\nBB/F019394/1/Biotechnology and Biological Sciences Research Council/United Kingdom\nG0601333/Medical Research Council/United Kingdom\nMR/K026992/1/Medical Research Council/United Kingdom\nEngland\n2016/04/15 06:00\nInt J Epidemiol. 2016 Apr 13. pii: dyw041. doi: 10.1093/ije/dyw041.","title":"The epigenetic clock and telomere length are independently associated with chronological age and mortality","type":"article-journal"},"uris":["http://www.mendeley.com/documents/?uuid=d74b3db4-1d03-41ff-8ada-f13b4203335b"]}],"mendeley":{"formattedCitation":"&lt;sup&gt;14,39&lt;/sup&gt;","plainTextFormattedCitation":"14,39","previouslyFormattedCitation":"&lt;sup&gt;14,39&lt;/sup&gt;"},"properties":{"noteIndex":0},"schema":"https://github.com/citation-style-language/schema/raw/master/csl-citation.json"}</w:instrText>
      </w:r>
      <w:r w:rsidR="00ED40F4" w:rsidRPr="006B575D">
        <w:fldChar w:fldCharType="separate"/>
      </w:r>
      <w:r w:rsidR="00673967" w:rsidRPr="006B575D">
        <w:rPr>
          <w:noProof/>
          <w:vertAlign w:val="superscript"/>
        </w:rPr>
        <w:t>14,39</w:t>
      </w:r>
      <w:r w:rsidR="00ED40F4" w:rsidRPr="006B575D">
        <w:fldChar w:fldCharType="end"/>
      </w:r>
      <w:r w:rsidR="00ED40F4" w:rsidRPr="006B575D">
        <w:t xml:space="preserve">. Similarly, both telomere length and DNA methylation age </w:t>
      </w:r>
      <w:r w:rsidR="00E87E02" w:rsidRPr="006B575D">
        <w:t>are poorly associated</w:t>
      </w:r>
      <w:r w:rsidR="00ED40F4" w:rsidRPr="006B575D">
        <w:t xml:space="preserve"> with measures of biological age implemented at the clinical level</w:t>
      </w:r>
      <w:r w:rsidR="00673967" w:rsidRPr="006B575D">
        <w:t xml:space="preserve"> </w:t>
      </w:r>
      <w:r w:rsidR="00ED40F4" w:rsidRPr="006B575D">
        <w:fldChar w:fldCharType="begin" w:fldLock="1"/>
      </w:r>
      <w:r w:rsidR="00764EF3" w:rsidRPr="006B575D">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1999–2002","type":"article-journal","volume":"30"},"uris":["http://www.mendeley.com/documents/?uuid=41a7ed66-4941-4d57-8302-0970cc7033ef"]},{"id":"ITEM-3","itemData":{"DOI":"10.1093/aje/kwx346","ISBN":"1476-6256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Epidemiol","id":"ITEM-3","issue":"6","issued":{"date-parts":[["2017"]]},"note":"Belsky,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Thing?","type":"article-journal","volume":"187"},"uris":["http://www.mendeley.com/documents/?uuid=6f68870f-2aed-452a-b37e-0b64fad12678"]},{"id":"ITEM-4","itemData":{"DOI":"10.1093/ije/dyu277","ISSN":"14643685","PMID":"25617346","abstract":"Background: The DNA methylation-based 'epigenetic clock' correlates strongly with chronological age, but it is currently unclear what drives individual differences. We examine cross-sectional and longitudinal associations between the epigenetic clock and four mortality-linked markers of physical and mental fitness: lung function, walking speed, grip strength and cognitive ability. Methods: DNA methylation-based age acceleration (residuals of the epigenetic clock estimate regressed on chronological age) were estimated in the Lothian Birth Cohort 1936 at ages 70 (n=920), 73 (n=299) and 76 (n=273) years. General cognitive ability, walking speed, lung function and grip strength were measured concurrently. Cross-sectional correlations between age acceleration and the fitness variables were calculated. Longitudinal change in the epigenetic clock estimates and the fitness variables were assessed via linear mixed models and latent growth curves. Epigenetic age acceleration at age 70 was used as a predictor of longitudinal change in fitness. Epigenome-wide association studies (EWASs) were conducted on the four fitness measures. Results: Cross-sectional correlations were significant between greater age acceleration and poorer performance on the lung function, cognition and grip strength measures (r range: -0.07 to -0.05, P range: 9.7 x 10-3 to 0.024). All of the fitness variables declined over time but age acceleration did not correlate with subsequent change over 6 years. There were no EWAS hits for the fitness traits. Conclusions: Markers of physical and mental fitness are associated with the epigenetic clock (lower abilities associated with age acceleration). However, age acceleration does not associate with decline in these measures, at least over a relatively short follow-up.","author":[{"dropping-particle":"","family":"Marioni","given":"Riccardo E.","non-dropping-particle":"","parse-names":false,"suffix":""},{"dropping-particle":"","family":"Shah","given":"Sonia","non-dropping-particle":"","parse-names":false,"suffix":""},{"dropping-particle":"","family":"McRae","given":"Allan F.","non-dropping-particle":"","parse-names":false,"suffix":""},{"dropping-particle":"","family":"Ritchie","given":"Stuart J.","non-dropping-particle":"","parse-names":false,"suffix":""},{"dropping-particle":"","family":"Muniz-Terrera","given":"Graciela","non-dropping-particle":"","parse-names":false,"suffix":""},{"dropping-particle":"","family":"Harris","given":"Sarah E.","non-dropping-particle":"","parse-names":false,"suffix":""},{"dropping-particle":"","family":"Gibson","given":"Jude","non-dropping-particle":"","parse-names":false,"suffix":""},{"dropping-particle":"","family":"Redmond","given":"Paul","non-dropping-particle":"","parse-names":false,"suffix":""},{"dropping-particle":"","family":"Cox","given":"Simon R.","non-dropping-particle":"","parse-names":false,"suffix":""},{"dropping-particle":"","family":"Pattie","given":"Alison","non-dropping-particle":"","parse-names":false,"suffix":""},{"dropping-particle":"","family":"Corley","given":"Janie","non-dropping-particle":"","parse-names":false,"suffix":""},{"dropping-particle":"","family":"Taylor","given":"Adele","non-dropping-particle":"","parse-names":false,"suffix":""},{"dropping-particle":"","family":"Murphy","given":"Lee","non-dropping-particle":"","parse-names":false,"suffix":""},{"dropping-particle":"","family":"Starr","given":"John M.","non-dropping-particle":"","parse-names":false,"suffix":""},{"dropping-particle":"","family":"Horvath","given":"Steve","non-dropping-particle":"","parse-names":false,"suffix":""},{"dropping-particle":"","family":"Visscher","given":"Peter M.","non-dropping-particle":"","parse-names":false,"suffix":""},{"dropping-particle":"","family":"Wray","given":"Naomi R.","non-dropping-particle":"","parse-names":false,"suffix":""},{"dropping-particle":"","family":"Deary","given":"Ian J.","non-dropping-particle":"","parse-names":false,"suffix":""}],"container-title":"International Journal of Epidemiology","id":"ITEM-4","issue":"4","issued":{"date-parts":[["2015"]]},"page":"1388-1396","title":"The epigenetic clock is correlated with physical and cognitive fitness in the Lothian Birth Cohort 1936","type":"article-journal","volume":"44"},"uris":["http://www.mendeley.com/documents/?uuid=47dde367-0187-46d7-aa74-ed71691fe396"]}],"mendeley":{"formattedCitation":"&lt;sup&gt;40–43&lt;/sup&gt;","plainTextFormattedCitation":"40–43","previouslyFormattedCitation":"&lt;sup&gt;40–43&lt;/sup&gt;"},"properties":{"noteIndex":0},"schema":"https://github.com/citation-style-language/schema/raw/master/csl-citation.json"}</w:instrText>
      </w:r>
      <w:r w:rsidR="00ED40F4" w:rsidRPr="006B575D">
        <w:fldChar w:fldCharType="separate"/>
      </w:r>
      <w:r w:rsidR="00673967" w:rsidRPr="006B575D">
        <w:rPr>
          <w:noProof/>
          <w:vertAlign w:val="superscript"/>
        </w:rPr>
        <w:t>40–43</w:t>
      </w:r>
      <w:r w:rsidR="00ED40F4" w:rsidRPr="006B575D">
        <w:fldChar w:fldCharType="end"/>
      </w:r>
      <w:r w:rsidR="00ED40F4" w:rsidRPr="006B575D">
        <w:t xml:space="preserve">. </w:t>
      </w:r>
      <w:r w:rsidR="004962D1" w:rsidRPr="006B575D">
        <w:t xml:space="preserve">Thus, it has been suggested that different measures of biological age and cumulative system dysregulation index fundamentally different components of the aging process. </w:t>
      </w:r>
    </w:p>
    <w:p w14:paraId="7AE5E366" w14:textId="77777777" w:rsidR="004962D1" w:rsidRPr="006B575D" w:rsidRDefault="004962D1" w:rsidP="008904B8">
      <w:pPr>
        <w:shd w:val="clear" w:color="auto" w:fill="FFFFFF"/>
        <w:spacing w:line="480" w:lineRule="auto"/>
      </w:pPr>
    </w:p>
    <w:p w14:paraId="43D6200C" w14:textId="0D7B716F" w:rsidR="00E87E02" w:rsidRPr="006B575D" w:rsidRDefault="004962D1" w:rsidP="008406FB">
      <w:pPr>
        <w:shd w:val="clear" w:color="auto" w:fill="FFFFFF"/>
        <w:spacing w:line="480" w:lineRule="auto"/>
      </w:pPr>
      <w:r w:rsidRPr="006B575D">
        <w:t>C</w:t>
      </w:r>
      <w:r w:rsidR="00ED40F4" w:rsidRPr="006B575D">
        <w:t xml:space="preserve">linical measures </w:t>
      </w:r>
      <w:r w:rsidRPr="006B575D">
        <w:t xml:space="preserve">of biological age </w:t>
      </w:r>
      <w:r w:rsidR="00ED40F4" w:rsidRPr="006B575D">
        <w:t xml:space="preserve">quantify </w:t>
      </w:r>
      <w:r w:rsidRPr="006B575D">
        <w:t xml:space="preserve">changes in physiological integrity </w:t>
      </w:r>
      <w:r w:rsidR="00ED40F4" w:rsidRPr="006B575D">
        <w:t>by combining information from multiple clinical biomarkers that collectively assess the functioning of major organ systems throughout the body.</w:t>
      </w:r>
      <w:r w:rsidR="00E87E02" w:rsidRPr="006B575D">
        <w:t xml:space="preserve"> Such measures may be particularly relevant in light of the many physiological, immunological, and endocrinological changes that accompany reproduction in women </w:t>
      </w:r>
      <w:r w:rsidR="00E87E02" w:rsidRPr="006B575D">
        <w:fldChar w:fldCharType="begin" w:fldLock="1"/>
      </w:r>
      <w:r w:rsidR="006F65E2" w:rsidRPr="006B575D">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00E87E02" w:rsidRPr="006B575D">
        <w:fldChar w:fldCharType="separate"/>
      </w:r>
      <w:r w:rsidR="00E87E02" w:rsidRPr="006B575D">
        <w:rPr>
          <w:noProof/>
          <w:vertAlign w:val="superscript"/>
        </w:rPr>
        <w:t>44</w:t>
      </w:r>
      <w:r w:rsidR="00E87E02" w:rsidRPr="006B575D">
        <w:fldChar w:fldCharType="end"/>
      </w:r>
      <w:r w:rsidR="00E87E02" w:rsidRPr="006B575D">
        <w:t>.</w:t>
      </w:r>
      <w:r w:rsidR="00ED40F4" w:rsidRPr="006B575D">
        <w:t xml:space="preserve"> </w:t>
      </w:r>
      <w:r w:rsidRPr="006B575D">
        <w:t xml:space="preserve">Four composites of system integrity have been used to operationalize biological age and cumulative system </w:t>
      </w:r>
      <w:r w:rsidRPr="006B575D">
        <w:lastRenderedPageBreak/>
        <w:t xml:space="preserve">dysregulation within the context of large-scale epidemiological studies in the United States: Homeostatic Dysregulation (HD) </w:t>
      </w:r>
      <w:r w:rsidRPr="006B575D">
        <w:fldChar w:fldCharType="begin" w:fldLock="1"/>
      </w:r>
      <w:r w:rsidR="006F65E2" w:rsidRPr="006B575D">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45&lt;/sup&gt;","plainTextFormattedCitation":"45","previouslyFormattedCitation":"&lt;sup&gt;45&lt;/sup&gt;"},"properties":{"noteIndex":0},"schema":"https://github.com/citation-style-language/schema/raw/master/csl-citation.json"}</w:instrText>
      </w:r>
      <w:r w:rsidRPr="006B575D">
        <w:fldChar w:fldCharType="separate"/>
      </w:r>
      <w:r w:rsidR="00E87E02" w:rsidRPr="006B575D">
        <w:rPr>
          <w:noProof/>
          <w:vertAlign w:val="superscript"/>
        </w:rPr>
        <w:t>45</w:t>
      </w:r>
      <w:r w:rsidRPr="006B575D">
        <w:fldChar w:fldCharType="end"/>
      </w:r>
      <w:r w:rsidRPr="006B575D">
        <w:t xml:space="preserve">, Levine Method Biological Age (LM) </w:t>
      </w:r>
      <w:r w:rsidRPr="006B575D">
        <w:fldChar w:fldCharType="begin" w:fldLock="1"/>
      </w:r>
      <w:r w:rsidR="006F65E2" w:rsidRPr="006B575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Pr="006B575D">
        <w:fldChar w:fldCharType="separate"/>
      </w:r>
      <w:r w:rsidR="00E87E02" w:rsidRPr="006B575D">
        <w:rPr>
          <w:noProof/>
          <w:vertAlign w:val="superscript"/>
        </w:rPr>
        <w:t>46,47</w:t>
      </w:r>
      <w:r w:rsidRPr="006B575D">
        <w:fldChar w:fldCharType="end"/>
      </w:r>
      <w:r w:rsidRPr="006B575D">
        <w:t xml:space="preserve">, the Klemera-Doubal Method Biological Age (KDM) </w:t>
      </w:r>
      <w:r w:rsidRPr="006B575D">
        <w:fldChar w:fldCharType="begin" w:fldLock="1"/>
      </w:r>
      <w:r w:rsidR="006F65E2" w:rsidRPr="006B575D">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46,48&lt;/sup&gt;","plainTextFormattedCitation":"46,48","previouslyFormattedCitation":"&lt;sup&gt;46,48&lt;/sup&gt;"},"properties":{"noteIndex":0},"schema":"https://github.com/citation-style-language/schema/raw/master/csl-citation.json"}</w:instrText>
      </w:r>
      <w:r w:rsidRPr="006B575D">
        <w:fldChar w:fldCharType="separate"/>
      </w:r>
      <w:r w:rsidR="00E87E02" w:rsidRPr="006B575D">
        <w:rPr>
          <w:noProof/>
          <w:vertAlign w:val="superscript"/>
        </w:rPr>
        <w:t>46,48</w:t>
      </w:r>
      <w:r w:rsidRPr="006B575D">
        <w:fldChar w:fldCharType="end"/>
      </w:r>
      <w:r w:rsidRPr="006B575D">
        <w:t xml:space="preserve">, and allostatic load (AL) </w:t>
      </w:r>
      <w:r w:rsidRPr="006B575D">
        <w:fldChar w:fldCharType="begin" w:fldLock="1"/>
      </w:r>
      <w:r w:rsidR="006F65E2" w:rsidRPr="006B575D">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49&lt;/sup&gt;","plainTextFormattedCitation":"49","previouslyFormattedCitation":"&lt;sup&gt;49&lt;/sup&gt;"},"properties":{"noteIndex":0},"schema":"https://github.com/citation-style-language/schema/raw/master/csl-citation.json"}</w:instrText>
      </w:r>
      <w:r w:rsidRPr="006B575D">
        <w:fldChar w:fldCharType="separate"/>
      </w:r>
      <w:r w:rsidR="00E87E02" w:rsidRPr="006B575D">
        <w:rPr>
          <w:noProof/>
          <w:vertAlign w:val="superscript"/>
        </w:rPr>
        <w:t>49</w:t>
      </w:r>
      <w:r w:rsidRPr="006B575D">
        <w:fldChar w:fldCharType="end"/>
      </w:r>
      <w:r w:rsidRPr="006B575D">
        <w:t xml:space="preserve">. Previous work using a nationally representative sample of adults in the US from the National Health and Nutrition Examination Survey has found that HD, LM, KDM, and AL exhibit robust associations with physical functioning, cognition, hearing and vision, and with self-reports of health and functional disability </w:t>
      </w:r>
      <w:r w:rsidRPr="006B575D">
        <w:fldChar w:fldCharType="begin" w:fldLock="1"/>
      </w:r>
      <w:r w:rsidR="006F65E2" w:rsidRPr="006B575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11,50&lt;/sup&gt;","plainTextFormattedCitation":"11,50","previouslyFormattedCitation":"&lt;sup&gt;11,50&lt;/sup&gt;"},"properties":{"noteIndex":0},"schema":"https://github.com/citation-style-language/schema/raw/master/csl-citation.json"}</w:instrText>
      </w:r>
      <w:r w:rsidRPr="006B575D">
        <w:fldChar w:fldCharType="separate"/>
      </w:r>
      <w:r w:rsidR="00E87E02" w:rsidRPr="006B575D">
        <w:rPr>
          <w:noProof/>
          <w:vertAlign w:val="superscript"/>
        </w:rPr>
        <w:t>11,50</w:t>
      </w:r>
      <w:r w:rsidRPr="006B575D">
        <w:fldChar w:fldCharType="end"/>
      </w:r>
      <w:r w:rsidRPr="006B575D">
        <w:t>. Other population-based studies have found similar links between AL and both objective and subjective markers of physical functioning and general health</w:t>
      </w:r>
      <w:r w:rsidR="00764EF3" w:rsidRPr="006B575D">
        <w:fldChar w:fldCharType="begin" w:fldLock="1"/>
      </w:r>
      <w:r w:rsidR="006F65E2" w:rsidRPr="006B575D">
        <w:instrText>ADDIN CSL_CITATION {"citationItems":[{"id":"ITEM-1","itemData":{"author":[{"dropping-particle":"","family":"Hastings","given":"W J","non-dropping-particle":"","parse-names":false,"suffix":""},{"dropping-particle":"","family":"Shalev","given":"Idan","non-dropping-particle":"","parse-names":false,"suffix":""},{"dropping-particle":"","family":"Almeida","given":"D. M.","non-dropping-particle":"","parse-names":false,"suffix":""}],"container-title":"GSA 2020 Annual Scientific Meeting","id":"ITEM-1","issued":{"date-parts":[["2020"]]},"title":"Allostatic load and biological aging in the MIDUS National Survey","type":"paper-conference"},"uris":["http://www.mendeley.com/documents/?uuid=89421c0f-b375-4d29-8aed-753f098b66d6"]}],"mendeley":{"formattedCitation":"&lt;sup&gt;51&lt;/sup&gt;","plainTextFormattedCitation":"51","previouslyFormattedCitation":"&lt;sup&gt;51&lt;/sup&gt;"},"properties":{"noteIndex":0},"schema":"https://github.com/citation-style-language/schema/raw/master/csl-citation.json"}</w:instrText>
      </w:r>
      <w:r w:rsidR="00764EF3" w:rsidRPr="006B575D">
        <w:fldChar w:fldCharType="separate"/>
      </w:r>
      <w:r w:rsidR="00E87E02" w:rsidRPr="006B575D">
        <w:rPr>
          <w:noProof/>
          <w:vertAlign w:val="superscript"/>
        </w:rPr>
        <w:t>51</w:t>
      </w:r>
      <w:r w:rsidR="00764EF3" w:rsidRPr="006B575D">
        <w:fldChar w:fldCharType="end"/>
      </w:r>
      <w:r w:rsidRPr="006B575D">
        <w:t xml:space="preserve">. </w:t>
      </w:r>
      <w:proofErr w:type="gramStart"/>
      <w:r w:rsidR="00E87E02" w:rsidRPr="006B575D">
        <w:t>Clinically-based</w:t>
      </w:r>
      <w:proofErr w:type="gramEnd"/>
      <w:r w:rsidR="00E87E02" w:rsidRPr="006B575D">
        <w:t xml:space="preserve"> measures may therefore provide an affordable and accessible alternative to cell-based measures for measuring systemic deterioration tied to costs of reproduction in women. </w:t>
      </w:r>
    </w:p>
    <w:bookmarkEnd w:id="1"/>
    <w:p w14:paraId="605FFA69" w14:textId="51F28DDA" w:rsidR="000A073E" w:rsidRPr="006B575D" w:rsidRDefault="000A073E" w:rsidP="008406FB">
      <w:pPr>
        <w:shd w:val="clear" w:color="auto" w:fill="FFFFFF"/>
        <w:spacing w:line="480" w:lineRule="auto"/>
      </w:pPr>
    </w:p>
    <w:p w14:paraId="5D1685CE" w14:textId="7B1C9A14" w:rsidR="000A073E" w:rsidRPr="006B575D" w:rsidRDefault="008406FB" w:rsidP="008406FB">
      <w:pPr>
        <w:shd w:val="clear" w:color="auto" w:fill="FFFFFF"/>
        <w:spacing w:line="480" w:lineRule="auto"/>
      </w:pPr>
      <w:r w:rsidRPr="006B575D">
        <w:t xml:space="preserve">Here, we present </w:t>
      </w:r>
      <w:proofErr w:type="gramStart"/>
      <w:r w:rsidRPr="006B575D">
        <w:t>nationally-representative</w:t>
      </w:r>
      <w:proofErr w:type="gramEnd"/>
      <w:r w:rsidRPr="006B575D">
        <w:t xml:space="preserve"> estimates of the effect of parity (operationalized as number of live births) on </w:t>
      </w:r>
      <w:r w:rsidR="007466FC" w:rsidRPr="006B575D">
        <w:t>four</w:t>
      </w:r>
      <w:r w:rsidRPr="006B575D">
        <w:t xml:space="preserve"> composites of system integrity indexing biological age</w:t>
      </w:r>
      <w:r w:rsidR="00E145D9" w:rsidRPr="006B575D">
        <w:t xml:space="preserve"> and cumulative dysregulation</w:t>
      </w:r>
      <w:r w:rsidRPr="006B575D">
        <w:t xml:space="preserve">. Using cross-sectional epidemiological data collected in the United States between 1999 and 2010, we test whether parity is associated with HD, KDM, LM, </w:t>
      </w:r>
      <w:r w:rsidR="007466FC" w:rsidRPr="006B575D">
        <w:t xml:space="preserve">and AL </w:t>
      </w:r>
      <w:r w:rsidRPr="006B575D">
        <w:t xml:space="preserve">while controlling for a range of covariates (e.g., smoking, obesity) known to modulate biological age. Although each measure utilizes the same panel of biomarkers, differences in scale construction provide a varied, multifactorial approach to the study of costs of reproduction on biological aging. </w:t>
      </w:r>
      <w:bookmarkStart w:id="2" w:name="_Hlk54186469"/>
      <w:r w:rsidRPr="006B575D">
        <w:t>Based on findings from the most highly powered prior studies of all-cause mortality and parity, we hypothesized a U-shaped relationship between parity and biological aging</w:t>
      </w:r>
      <w:r w:rsidR="00E87E02" w:rsidRPr="006B575D">
        <w:t>.</w:t>
      </w:r>
      <w:r w:rsidRPr="006B575D">
        <w:t xml:space="preserve"> </w:t>
      </w:r>
      <w:r w:rsidR="00E87E02" w:rsidRPr="006B575D">
        <w:t>S</w:t>
      </w:r>
      <w:r w:rsidRPr="006B575D">
        <w:t xml:space="preserve">pecifically, </w:t>
      </w:r>
      <w:r w:rsidR="00E87E02" w:rsidRPr="006B575D">
        <w:t xml:space="preserve">we predicted </w:t>
      </w:r>
      <w:r w:rsidRPr="006B575D">
        <w:t xml:space="preserve">that accelerated biological aging would be most apparent in women with the lowest and the highest parity. </w:t>
      </w:r>
      <w:r w:rsidR="008D43A2" w:rsidRPr="006B575D">
        <w:t xml:space="preserve">We also </w:t>
      </w:r>
      <w:r w:rsidR="002533E0" w:rsidRPr="006B575D">
        <w:t xml:space="preserve">leverage this powerful dataset for preliminary tests of </w:t>
      </w:r>
      <w:r w:rsidR="008D43A2" w:rsidRPr="006B575D">
        <w:t xml:space="preserve"> whether relationships between parity and biological age are </w:t>
      </w:r>
      <w:r w:rsidR="00C079F9" w:rsidRPr="006B575D">
        <w:t>durable</w:t>
      </w:r>
      <w:r w:rsidR="008D43A2" w:rsidRPr="006B575D">
        <w:t xml:space="preserve">, such that they persist regardless of time since last birth, or </w:t>
      </w:r>
      <w:r w:rsidR="00C079F9" w:rsidRPr="006B575D">
        <w:t>transient</w:t>
      </w:r>
      <w:r w:rsidR="008D43A2" w:rsidRPr="006B575D">
        <w:t>, such that the effect of parity on biological age decreases as a function of time since last birth.</w:t>
      </w:r>
      <w:bookmarkEnd w:id="2"/>
      <w:r w:rsidR="008D43A2" w:rsidRPr="006B575D">
        <w:t xml:space="preserve"> </w:t>
      </w:r>
      <w:r w:rsidRPr="006B575D">
        <w:t xml:space="preserve">Our findings have significant theoretical implications for our understanding of the relationship between parity and health, and of putative tradeoffs between reproductive and somatic effort.    </w:t>
      </w:r>
    </w:p>
    <w:p w14:paraId="44180CBF" w14:textId="77777777" w:rsidR="000A073E" w:rsidRPr="006B575D" w:rsidRDefault="000A073E" w:rsidP="008406FB">
      <w:pPr>
        <w:shd w:val="clear" w:color="auto" w:fill="FFFFFF"/>
        <w:spacing w:line="480" w:lineRule="auto"/>
      </w:pPr>
    </w:p>
    <w:p w14:paraId="69ADDE37" w14:textId="77777777" w:rsidR="000A073E" w:rsidRPr="006B575D" w:rsidRDefault="008406FB" w:rsidP="008406FB">
      <w:pPr>
        <w:shd w:val="clear" w:color="auto" w:fill="FFFFFF"/>
        <w:spacing w:line="480" w:lineRule="auto"/>
        <w:rPr>
          <w:b/>
        </w:rPr>
      </w:pPr>
      <w:r w:rsidRPr="006B575D">
        <w:rPr>
          <w:b/>
        </w:rPr>
        <w:t>2. Materials and Methods</w:t>
      </w:r>
    </w:p>
    <w:p w14:paraId="4E32D439" w14:textId="77777777" w:rsidR="000A073E" w:rsidRPr="006B575D" w:rsidRDefault="000A073E" w:rsidP="008406FB">
      <w:pPr>
        <w:shd w:val="clear" w:color="auto" w:fill="FFFFFF"/>
        <w:spacing w:line="480" w:lineRule="auto"/>
      </w:pPr>
    </w:p>
    <w:p w14:paraId="0F046C4C" w14:textId="77777777" w:rsidR="000A073E" w:rsidRPr="006B575D" w:rsidRDefault="008406FB" w:rsidP="008406FB">
      <w:pPr>
        <w:shd w:val="clear" w:color="auto" w:fill="FFFFFF"/>
        <w:spacing w:line="480" w:lineRule="auto"/>
        <w:rPr>
          <w:i/>
        </w:rPr>
      </w:pPr>
      <w:r w:rsidRPr="006B575D">
        <w:rPr>
          <w:i/>
        </w:rPr>
        <w:t>Data source</w:t>
      </w:r>
    </w:p>
    <w:p w14:paraId="186A4075" w14:textId="0C04D494" w:rsidR="000A073E" w:rsidRPr="006B575D" w:rsidRDefault="008406FB" w:rsidP="008406FB">
      <w:pPr>
        <w:shd w:val="clear" w:color="auto" w:fill="FFFFFF"/>
        <w:spacing w:line="480" w:lineRule="auto"/>
      </w:pPr>
      <w:r w:rsidRPr="006B575D">
        <w:t xml:space="preserve">Data were collected as part of the Centers for Disease Control and Prevention’s National Health and Nutrition Examination Survey (NHANES). NHANES uses multistep cluster </w:t>
      </w:r>
      <w:proofErr w:type="gramStart"/>
      <w:r w:rsidRPr="006B575D">
        <w:t>sampling, and</w:t>
      </w:r>
      <w:proofErr w:type="gramEnd"/>
      <w:r w:rsidRPr="006B575D">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rsidRPr="006B575D">
        <w:t xml:space="preserve"> </w:t>
      </w:r>
      <w:r w:rsidR="009D7E28" w:rsidRPr="006B575D">
        <w:fldChar w:fldCharType="begin" w:fldLock="1"/>
      </w:r>
      <w:r w:rsidR="00E87E02" w:rsidRPr="006B575D">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52&lt;/sup&gt;","plainTextFormattedCitation":"52","previouslyFormattedCitation":"&lt;sup&gt;52&lt;/sup&gt;"},"properties":{"noteIndex":0},"schema":"https://github.com/citation-style-language/schema/raw/master/csl-citation.json"}</w:instrText>
      </w:r>
      <w:r w:rsidR="009D7E28" w:rsidRPr="006B575D">
        <w:fldChar w:fldCharType="separate"/>
      </w:r>
      <w:r w:rsidR="00764EF3" w:rsidRPr="006B575D">
        <w:rPr>
          <w:noProof/>
          <w:vertAlign w:val="superscript"/>
        </w:rPr>
        <w:t>52</w:t>
      </w:r>
      <w:r w:rsidR="009D7E28" w:rsidRPr="006B575D">
        <w:fldChar w:fldCharType="end"/>
      </w:r>
      <w:r w:rsidRPr="006B575D">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sidRPr="006B575D">
        <w:rPr>
          <w:b/>
        </w:rPr>
        <w:t>Figure 1</w:t>
      </w:r>
      <w:r w:rsidRPr="006B575D">
        <w:t xml:space="preserve">, and sample demographic information is presented in </w:t>
      </w:r>
      <w:r w:rsidRPr="006B575D">
        <w:rPr>
          <w:b/>
        </w:rPr>
        <w:t xml:space="preserve">Table </w:t>
      </w:r>
      <w:r w:rsidR="00693C80" w:rsidRPr="006B575D">
        <w:rPr>
          <w:b/>
        </w:rPr>
        <w:t>1</w:t>
      </w:r>
      <w:r w:rsidRPr="006B575D">
        <w:t>.</w:t>
      </w:r>
    </w:p>
    <w:p w14:paraId="75AB62E4" w14:textId="55C613E4" w:rsidR="00C37F4F" w:rsidRPr="006B575D" w:rsidRDefault="00C37F4F" w:rsidP="008406FB">
      <w:pPr>
        <w:shd w:val="clear" w:color="auto" w:fill="FFFFFF"/>
        <w:spacing w:line="480" w:lineRule="auto"/>
      </w:pPr>
    </w:p>
    <w:p w14:paraId="46DD3D5C" w14:textId="39352BA5" w:rsidR="000A308A" w:rsidRDefault="00C37F4F" w:rsidP="008406FB">
      <w:pPr>
        <w:shd w:val="clear" w:color="auto" w:fill="FFFFFF"/>
        <w:spacing w:line="480" w:lineRule="auto"/>
      </w:pPr>
      <w:bookmarkStart w:id="3" w:name="_Hlk54186604"/>
      <w:r w:rsidRPr="006B575D">
        <w:t xml:space="preserve">To assess the representativeness of participants with complete biomarker information, we compared </w:t>
      </w:r>
      <w:r w:rsidR="000A308A">
        <w:t>the subset of non-pregnant women aged 18-84 with complete biomarker data (</w:t>
      </w:r>
      <w:r w:rsidR="000A308A" w:rsidRPr="000A308A">
        <w:rPr>
          <w:i/>
          <w:iCs/>
        </w:rPr>
        <w:t>n</w:t>
      </w:r>
      <w:r w:rsidR="000A308A">
        <w:t xml:space="preserve"> = 5,870) to all non-pregnant women aged 18-84 in NHANES 1999-2010 (</w:t>
      </w:r>
      <w:r w:rsidR="000A308A" w:rsidRPr="000A308A">
        <w:rPr>
          <w:i/>
          <w:iCs/>
        </w:rPr>
        <w:t>n</w:t>
      </w:r>
      <w:r w:rsidR="000A308A">
        <w:t xml:space="preserve"> = 13,929). The two samples were similar in age, ethnicity, educational attainment, income, smoking status, menopausal status, and number of live births. However, the sample with complete biomarker data was significantly more likely to have ever been pregnant. Comparative demographics and associated tests of difference are reported in </w:t>
      </w:r>
      <w:r w:rsidR="000A308A" w:rsidRPr="000A308A">
        <w:rPr>
          <w:b/>
          <w:bCs/>
        </w:rPr>
        <w:t>ESM Table I</w:t>
      </w:r>
      <w:r w:rsidR="000A308A">
        <w:t xml:space="preserve">. </w:t>
      </w:r>
    </w:p>
    <w:bookmarkEnd w:id="3"/>
    <w:p w14:paraId="3F379861" w14:textId="77777777" w:rsidR="000A073E" w:rsidRPr="006B575D" w:rsidRDefault="000A073E" w:rsidP="008406FB">
      <w:pPr>
        <w:shd w:val="clear" w:color="auto" w:fill="FFFFFF"/>
        <w:spacing w:line="480" w:lineRule="auto"/>
      </w:pPr>
    </w:p>
    <w:p w14:paraId="52DD8CD7" w14:textId="77777777" w:rsidR="000A073E" w:rsidRPr="006B575D" w:rsidRDefault="008406FB" w:rsidP="008406FB">
      <w:pPr>
        <w:shd w:val="clear" w:color="auto" w:fill="FFFFFF"/>
        <w:spacing w:line="480" w:lineRule="auto"/>
        <w:rPr>
          <w:i/>
        </w:rPr>
      </w:pPr>
      <w:r w:rsidRPr="006B575D">
        <w:rPr>
          <w:i/>
        </w:rPr>
        <w:t>Ethical approval</w:t>
      </w:r>
    </w:p>
    <w:p w14:paraId="1870F883" w14:textId="43F22662" w:rsidR="000A073E" w:rsidRPr="006B575D" w:rsidRDefault="008406FB" w:rsidP="008406FB">
      <w:pPr>
        <w:shd w:val="clear" w:color="auto" w:fill="FFFFFF"/>
        <w:spacing w:line="480" w:lineRule="auto"/>
      </w:pPr>
      <w:r w:rsidRPr="006B575D">
        <w:lastRenderedPageBreak/>
        <w:t xml:space="preserve">All sampling procedures were approved through the National Center for Health Statistics </w:t>
      </w:r>
      <w:r w:rsidR="00937DE9" w:rsidRPr="006B575D">
        <w:t xml:space="preserve">(NCHS) </w:t>
      </w:r>
      <w:r w:rsidRPr="006B575D">
        <w:t>Ethics Review Board</w:t>
      </w:r>
      <w:r w:rsidR="00937DE9" w:rsidRPr="006B575D">
        <w:t xml:space="preserve"> and complied with all relevant human subjects protections and regulations</w:t>
      </w:r>
      <w:r w:rsidRPr="006B575D">
        <w:t xml:space="preserve">, and all participants provide informed consent before sample collection and interviews. </w:t>
      </w:r>
    </w:p>
    <w:p w14:paraId="40FA7C5A" w14:textId="77777777" w:rsidR="000A073E" w:rsidRPr="006B575D" w:rsidRDefault="000A073E" w:rsidP="008406FB">
      <w:pPr>
        <w:shd w:val="clear" w:color="auto" w:fill="FFFFFF"/>
        <w:spacing w:line="480" w:lineRule="auto"/>
      </w:pPr>
    </w:p>
    <w:p w14:paraId="64815C77" w14:textId="77777777" w:rsidR="000A073E" w:rsidRPr="006B575D" w:rsidRDefault="008406FB" w:rsidP="008406FB">
      <w:pPr>
        <w:shd w:val="clear" w:color="auto" w:fill="FFFFFF"/>
        <w:spacing w:line="480" w:lineRule="auto"/>
        <w:rPr>
          <w:i/>
        </w:rPr>
      </w:pPr>
      <w:r w:rsidRPr="006B575D">
        <w:rPr>
          <w:i/>
        </w:rPr>
        <w:t>Reproductive health and parity data</w:t>
      </w:r>
    </w:p>
    <w:p w14:paraId="51C51DEA" w14:textId="7B6530DE" w:rsidR="000A073E" w:rsidRPr="006B575D" w:rsidRDefault="008406FB" w:rsidP="008406FB">
      <w:pPr>
        <w:shd w:val="clear" w:color="auto" w:fill="FFFFFF"/>
        <w:spacing w:line="480" w:lineRule="auto"/>
      </w:pPr>
      <w:r w:rsidRPr="006B575D">
        <w:t>Women completed a computer-assisted questionnaire on their reproductive health history. Women reported whether they were currently pregnant, if they have ever been pregnant, how many pregnancies resulted in a live birth (if applicable</w:t>
      </w:r>
      <w:r w:rsidR="002C57DC" w:rsidRPr="006B575D">
        <w:t>; NHANES items RHD170 and RHQ171</w:t>
      </w:r>
      <w:r w:rsidRPr="006B575D">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rsidRPr="006B575D">
        <w:fldChar w:fldCharType="begin" w:fldLock="1"/>
      </w:r>
      <w:r w:rsidR="0075630D" w:rsidRPr="006B575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rsidRPr="006B575D">
        <w:fldChar w:fldCharType="separate"/>
      </w:r>
      <w:r w:rsidR="002679A8" w:rsidRPr="006B575D">
        <w:rPr>
          <w:noProof/>
          <w:vertAlign w:val="superscript"/>
        </w:rPr>
        <w:t>14</w:t>
      </w:r>
      <w:r w:rsidR="00B418E0" w:rsidRPr="006B575D">
        <w:fldChar w:fldCharType="end"/>
      </w:r>
      <w:r w:rsidRPr="006B575D">
        <w:t>, women who self-reported currently being pregnant were excluded from analyses</w:t>
      </w:r>
      <w:r w:rsidR="00343A24" w:rsidRPr="006B575D">
        <w:t xml:space="preserve"> (</w:t>
      </w:r>
      <w:r w:rsidR="002C57DC" w:rsidRPr="006B575D">
        <w:t xml:space="preserve">NHANES item RIDEXPRG; </w:t>
      </w:r>
      <w:r w:rsidR="00343A24" w:rsidRPr="006B575D">
        <w:rPr>
          <w:i/>
          <w:iCs/>
        </w:rPr>
        <w:t>n</w:t>
      </w:r>
      <w:r w:rsidR="00343A24" w:rsidRPr="006B575D">
        <w:t xml:space="preserve"> = </w:t>
      </w:r>
      <w:r w:rsidR="00572D4B" w:rsidRPr="006B575D">
        <w:t>1,417</w:t>
      </w:r>
      <w:r w:rsidR="00343A24" w:rsidRPr="006B575D">
        <w:t xml:space="preserve"> out of </w:t>
      </w:r>
      <w:r w:rsidR="00572D4B" w:rsidRPr="006B575D">
        <w:t>all women between 18 and 84</w:t>
      </w:r>
      <w:r w:rsidR="00343A24" w:rsidRPr="006B575D">
        <w:t>)</w:t>
      </w:r>
      <w:r w:rsidRPr="006B575D">
        <w:t xml:space="preserve">. Due to the small number of women with complete covariate information who reported </w:t>
      </w:r>
      <w:r w:rsidR="00380182" w:rsidRPr="006B575D">
        <w:t>8</w:t>
      </w:r>
      <w:r w:rsidRPr="006B575D">
        <w:t xml:space="preserve"> or more live births (</w:t>
      </w:r>
      <w:r w:rsidRPr="006B575D">
        <w:rPr>
          <w:i/>
          <w:iCs/>
        </w:rPr>
        <w:t>n</w:t>
      </w:r>
      <w:r w:rsidRPr="006B575D">
        <w:t xml:space="preserve"> = </w:t>
      </w:r>
      <w:r w:rsidR="00572D4B" w:rsidRPr="006B575D">
        <w:t>137</w:t>
      </w:r>
      <w:r w:rsidRPr="006B575D">
        <w:t xml:space="preserve">), these women were excluded from analyses. The frequency distribution for women included in our analyses is displayed in </w:t>
      </w:r>
      <w:r w:rsidRPr="006B575D">
        <w:rPr>
          <w:b/>
        </w:rPr>
        <w:t>Figure 2</w:t>
      </w:r>
      <w:r w:rsidRPr="006B575D">
        <w:t xml:space="preserve">. </w:t>
      </w:r>
      <w:bookmarkStart w:id="4" w:name="_Hlk54186390"/>
      <w:r w:rsidR="00254B2C" w:rsidRPr="006B575D">
        <w:t xml:space="preserve">NHANES does not collect fine-grained data about pregnancies that do not result in live births, rendering it impossible to estimate the length of each pregnancy, and concomitantly, the physiological cost of each pregnancy. Further, approximately 30% of implantations end in natural miscarriage </w:t>
      </w:r>
      <w:r w:rsidR="00254B2C" w:rsidRPr="006B575D">
        <w:fldChar w:fldCharType="begin" w:fldLock="1"/>
      </w:r>
      <w:r w:rsidR="00E87E02" w:rsidRPr="006B575D">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53&lt;/sup&gt;","plainTextFormattedCitation":"53","previouslyFormattedCitation":"&lt;sup&gt;53&lt;/sup&gt;"},"properties":{"noteIndex":0},"schema":"https://github.com/citation-style-language/schema/raw/master/csl-citation.json"}</w:instrText>
      </w:r>
      <w:r w:rsidR="00254B2C" w:rsidRPr="006B575D">
        <w:fldChar w:fldCharType="separate"/>
      </w:r>
      <w:r w:rsidR="00764EF3" w:rsidRPr="006B575D">
        <w:rPr>
          <w:noProof/>
          <w:vertAlign w:val="superscript"/>
        </w:rPr>
        <w:t>53</w:t>
      </w:r>
      <w:r w:rsidR="00254B2C" w:rsidRPr="006B575D">
        <w:fldChar w:fldCharType="end"/>
      </w:r>
      <w:r w:rsidR="00254B2C" w:rsidRPr="006B575D">
        <w:t>, making number of recognized pregnancies a more imprecise measure of physiological investment in reproduction as compared to number of live births.</w:t>
      </w:r>
      <w:r w:rsidR="002533E0" w:rsidRPr="006B575D">
        <w:t xml:space="preserve"> As a result, we chose to use number of live births rather than number of pregnancies.</w:t>
      </w:r>
      <w:r w:rsidR="00254B2C" w:rsidRPr="006B575D">
        <w:t xml:space="preserve"> </w:t>
      </w:r>
      <w:bookmarkEnd w:id="4"/>
      <w:r w:rsidRPr="006B575D">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Pr="006B575D" w:rsidRDefault="000A073E" w:rsidP="008406FB">
      <w:pPr>
        <w:shd w:val="clear" w:color="auto" w:fill="FFFFFF"/>
        <w:spacing w:line="480" w:lineRule="auto"/>
      </w:pPr>
    </w:p>
    <w:p w14:paraId="7974CFD9" w14:textId="491AEE88" w:rsidR="000A073E" w:rsidRPr="006B575D" w:rsidRDefault="008406FB" w:rsidP="008406FB">
      <w:pPr>
        <w:shd w:val="clear" w:color="auto" w:fill="FFFFFF"/>
        <w:spacing w:line="480" w:lineRule="auto"/>
      </w:pPr>
      <w:r w:rsidRPr="006B575D">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rsidRPr="006B575D">
        <w:fldChar w:fldCharType="begin" w:fldLock="1"/>
      </w:r>
      <w:r w:rsidR="00E87E02" w:rsidRPr="006B575D">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54&lt;/sup&gt;","plainTextFormattedCitation":"54","previouslyFormattedCitation":"&lt;sup&gt;54&lt;/sup&gt;"},"properties":{"noteIndex":0},"schema":"https://github.com/citation-style-language/schema/raw/master/csl-citation.json"}</w:instrText>
      </w:r>
      <w:r w:rsidR="00B418E0" w:rsidRPr="006B575D">
        <w:fldChar w:fldCharType="separate"/>
      </w:r>
      <w:r w:rsidR="00764EF3" w:rsidRPr="006B575D">
        <w:rPr>
          <w:noProof/>
          <w:vertAlign w:val="superscript"/>
        </w:rPr>
        <w:t>54</w:t>
      </w:r>
      <w:r w:rsidR="00B418E0" w:rsidRPr="006B575D">
        <w:fldChar w:fldCharType="end"/>
      </w:r>
      <w:r w:rsidRPr="006B575D">
        <w:t xml:space="preserve">. Women were categorized as being post-menopausal if they were older than 61, or if they reported not having regular periods over the last 12 months because of menopause. </w:t>
      </w:r>
    </w:p>
    <w:p w14:paraId="0826EADC" w14:textId="77777777" w:rsidR="000A073E" w:rsidRPr="006B575D" w:rsidRDefault="000A073E" w:rsidP="008406FB">
      <w:pPr>
        <w:shd w:val="clear" w:color="auto" w:fill="FFFFFF"/>
        <w:spacing w:line="480" w:lineRule="auto"/>
      </w:pPr>
    </w:p>
    <w:p w14:paraId="580CA6A7" w14:textId="77777777" w:rsidR="000A073E" w:rsidRPr="006B575D" w:rsidRDefault="008406FB" w:rsidP="008406FB">
      <w:pPr>
        <w:shd w:val="clear" w:color="auto" w:fill="FFFFFF"/>
        <w:spacing w:line="480" w:lineRule="auto"/>
        <w:rPr>
          <w:i/>
        </w:rPr>
      </w:pPr>
      <w:r w:rsidRPr="006B575D">
        <w:rPr>
          <w:i/>
        </w:rPr>
        <w:t>Biological aging measures</w:t>
      </w:r>
    </w:p>
    <w:p w14:paraId="78623F5D" w14:textId="17E34F96" w:rsidR="000A073E" w:rsidRPr="006B575D" w:rsidRDefault="008406FB" w:rsidP="008406FB">
      <w:pPr>
        <w:shd w:val="clear" w:color="auto" w:fill="FFFFFF"/>
        <w:spacing w:line="480" w:lineRule="auto"/>
      </w:pPr>
      <w:r w:rsidRPr="006B575D">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rsidRPr="006B575D">
        <w:t xml:space="preserve">Where appropriate, female participants from </w:t>
      </w:r>
      <w:r w:rsidRPr="006B575D">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rsidRPr="006B575D">
        <w:fldChar w:fldCharType="begin" w:fldLock="1"/>
      </w:r>
      <w:r w:rsidR="00E87E02" w:rsidRPr="006B575D">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55&lt;/sup&gt;","plainTextFormattedCitation":"55","previouslyFormattedCitation":"&lt;sup&gt;55&lt;/sup&gt;"},"properties":{"noteIndex":0},"schema":"https://github.com/citation-style-language/schema/raw/master/csl-citation.json"}</w:instrText>
      </w:r>
      <w:r w:rsidR="00B418E0" w:rsidRPr="006B575D">
        <w:fldChar w:fldCharType="separate"/>
      </w:r>
      <w:r w:rsidR="00764EF3" w:rsidRPr="006B575D">
        <w:rPr>
          <w:noProof/>
          <w:vertAlign w:val="superscript"/>
        </w:rPr>
        <w:t>55</w:t>
      </w:r>
      <w:r w:rsidR="00B418E0" w:rsidRPr="006B575D">
        <w:fldChar w:fldCharType="end"/>
      </w:r>
      <w:r w:rsidRPr="006B575D">
        <w:t xml:space="preserve">.   </w:t>
      </w:r>
    </w:p>
    <w:p w14:paraId="6C25C5CC" w14:textId="77777777" w:rsidR="000A073E" w:rsidRPr="006B575D" w:rsidRDefault="008406FB" w:rsidP="008406FB">
      <w:pPr>
        <w:shd w:val="clear" w:color="auto" w:fill="FFFFFF"/>
        <w:spacing w:line="480" w:lineRule="auto"/>
      </w:pPr>
      <w:r w:rsidRPr="006B575D">
        <w:t xml:space="preserve"> </w:t>
      </w:r>
    </w:p>
    <w:p w14:paraId="00221C6C" w14:textId="47FEDF16" w:rsidR="000A073E" w:rsidRPr="006B575D" w:rsidRDefault="008406FB" w:rsidP="008406FB">
      <w:pPr>
        <w:shd w:val="clear" w:color="auto" w:fill="FFFFFF"/>
        <w:spacing w:line="480" w:lineRule="auto"/>
      </w:pPr>
      <w:r w:rsidRPr="006B575D">
        <w:rPr>
          <w:u w:val="single"/>
        </w:rPr>
        <w:t>Homeostatic Dysregulation (HD)</w:t>
      </w:r>
      <w:r w:rsidRPr="006B575D">
        <w:t xml:space="preserve"> is a measure of </w:t>
      </w:r>
      <w:proofErr w:type="spellStart"/>
      <w:r w:rsidRPr="006B575D">
        <w:t>Mahalanobis</w:t>
      </w:r>
      <w:proofErr w:type="spellEnd"/>
      <w:r w:rsidRPr="006B575D">
        <w:t xml:space="preserve"> distance</w:t>
      </w:r>
      <w:r w:rsidR="00B66627" w:rsidRPr="006B575D">
        <w:t xml:space="preserve"> </w:t>
      </w:r>
      <w:r w:rsidR="00B66627" w:rsidRPr="006B575D">
        <w:fldChar w:fldCharType="begin" w:fldLock="1"/>
      </w:r>
      <w:r w:rsidR="00E87E02" w:rsidRPr="006B575D">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rsidRPr="006B575D">
        <w:fldChar w:fldCharType="separate"/>
      </w:r>
      <w:r w:rsidR="00764EF3" w:rsidRPr="006B575D">
        <w:rPr>
          <w:noProof/>
          <w:vertAlign w:val="superscript"/>
        </w:rPr>
        <w:t>56</w:t>
      </w:r>
      <w:r w:rsidR="00B66627" w:rsidRPr="006B575D">
        <w:fldChar w:fldCharType="end"/>
      </w:r>
      <w:r w:rsidR="00B66627" w:rsidRPr="006B575D">
        <w:t>,</w:t>
      </w:r>
      <w:r w:rsidRPr="006B575D">
        <w:t xml:space="preserve"> quantifying the deviation of a participant’s physiology from a young, healthy reference norm. Following previous work </w:t>
      </w:r>
      <w:r w:rsidR="00B418E0" w:rsidRPr="006B575D">
        <w:fldChar w:fldCharType="begin" w:fldLock="1"/>
      </w:r>
      <w:r w:rsidR="0075630D" w:rsidRPr="006B575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rsidRPr="006B575D">
        <w:fldChar w:fldCharType="separate"/>
      </w:r>
      <w:r w:rsidR="002679A8" w:rsidRPr="006B575D">
        <w:rPr>
          <w:noProof/>
          <w:vertAlign w:val="superscript"/>
        </w:rPr>
        <w:t>11</w:t>
      </w:r>
      <w:r w:rsidR="00B418E0" w:rsidRPr="006B575D">
        <w:fldChar w:fldCharType="end"/>
      </w:r>
      <w:r w:rsidRPr="006B575D">
        <w:t>, we defined our reference population as non-pregnant women from NHANES III aged 20-30 who were not obese (BMI</w:t>
      </w:r>
      <w:r w:rsidR="00380182" w:rsidRPr="006B575D">
        <w:t xml:space="preserve"> </w:t>
      </w:r>
      <w:r w:rsidRPr="006B575D">
        <w:t>&lt;</w:t>
      </w:r>
      <w:r w:rsidR="00380182" w:rsidRPr="006B575D">
        <w:t xml:space="preserve"> </w:t>
      </w:r>
      <w:r w:rsidRPr="006B575D">
        <w:t>30) and for whom all biomarkers fell within the clinically normal range for their age and sex (</w:t>
      </w:r>
      <w:r w:rsidR="00380182" w:rsidRPr="006B575D">
        <w:rPr>
          <w:i/>
          <w:iCs/>
        </w:rPr>
        <w:t>n</w:t>
      </w:r>
      <w:r w:rsidR="006A2045" w:rsidRPr="006B575D">
        <w:t xml:space="preserve"> </w:t>
      </w:r>
      <w:r w:rsidRPr="006B575D">
        <w:t>=</w:t>
      </w:r>
      <w:r w:rsidR="006A2045" w:rsidRPr="006B575D">
        <w:t xml:space="preserve"> </w:t>
      </w:r>
      <w:r w:rsidRPr="006B575D">
        <w:t>48</w:t>
      </w:r>
      <w:r w:rsidR="007466FC" w:rsidRPr="006B575D">
        <w:t>1</w:t>
      </w:r>
      <w:r w:rsidRPr="006B575D">
        <w:t xml:space="preserve">, see </w:t>
      </w:r>
      <w:r w:rsidRPr="006B575D">
        <w:rPr>
          <w:b/>
        </w:rPr>
        <w:t xml:space="preserve">ESM Tables </w:t>
      </w:r>
      <w:r w:rsidR="00CD6C9B" w:rsidRPr="006B575D">
        <w:rPr>
          <w:b/>
        </w:rPr>
        <w:t>I</w:t>
      </w:r>
      <w:r w:rsidR="00C37F4F" w:rsidRPr="006B575D">
        <w:rPr>
          <w:b/>
        </w:rPr>
        <w:t>I</w:t>
      </w:r>
      <w:r w:rsidR="00CD6C9B" w:rsidRPr="006B575D">
        <w:rPr>
          <w:b/>
        </w:rPr>
        <w:t>-I</w:t>
      </w:r>
      <w:r w:rsidR="00C37F4F" w:rsidRPr="006B575D">
        <w:rPr>
          <w:b/>
        </w:rPr>
        <w:t>V</w:t>
      </w:r>
      <w:r w:rsidRPr="006B575D">
        <w:t>)</w:t>
      </w:r>
      <w:r w:rsidRPr="006B575D">
        <w:rPr>
          <w:b/>
        </w:rPr>
        <w:t xml:space="preserve">. </w:t>
      </w:r>
      <w:r w:rsidRPr="006B575D">
        <w:t>Biomarker values from the reference population were standardized and used to compute a biomarker variance-covariance matrix (</w:t>
      </w:r>
      <w:r w:rsidRPr="006B575D">
        <w:rPr>
          <w:b/>
        </w:rPr>
        <w:t xml:space="preserve">ESM Table </w:t>
      </w:r>
      <w:r w:rsidR="00CD6C9B" w:rsidRPr="006B575D">
        <w:rPr>
          <w:b/>
        </w:rPr>
        <w:t>I</w:t>
      </w:r>
      <w:r w:rsidR="00C37F4F" w:rsidRPr="006B575D">
        <w:rPr>
          <w:b/>
        </w:rPr>
        <w:t>V</w:t>
      </w:r>
      <w:r w:rsidRPr="006B575D">
        <w:t xml:space="preserve">). Biomarker raw means, raw standard deviations, and the standardized-biomarker variance-covariance matrix are implemented within the </w:t>
      </w:r>
      <w:proofErr w:type="spellStart"/>
      <w:r w:rsidRPr="006B575D">
        <w:t>Mahalanobis</w:t>
      </w:r>
      <w:proofErr w:type="spellEnd"/>
      <w:r w:rsidRPr="006B575D">
        <w:t xml:space="preserve"> distance equation</w:t>
      </w:r>
      <w:r w:rsidR="00B66627" w:rsidRPr="006B575D">
        <w:t xml:space="preserve"> </w:t>
      </w:r>
      <w:r w:rsidR="00B66627" w:rsidRPr="006B575D">
        <w:fldChar w:fldCharType="begin" w:fldLock="1"/>
      </w:r>
      <w:r w:rsidR="00E87E02" w:rsidRPr="006B575D">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56&lt;/sup&gt;","plainTextFormattedCitation":"56","previouslyFormattedCitation":"&lt;sup&gt;56&lt;/sup&gt;"},"properties":{"noteIndex":0},"schema":"https://github.com/citation-style-language/schema/raw/master/csl-citation.json"}</w:instrText>
      </w:r>
      <w:r w:rsidR="00B66627" w:rsidRPr="006B575D">
        <w:fldChar w:fldCharType="separate"/>
      </w:r>
      <w:r w:rsidR="00764EF3" w:rsidRPr="006B575D">
        <w:rPr>
          <w:noProof/>
          <w:vertAlign w:val="superscript"/>
        </w:rPr>
        <w:t>56</w:t>
      </w:r>
      <w:r w:rsidR="00B66627" w:rsidRPr="006B575D">
        <w:fldChar w:fldCharType="end"/>
      </w:r>
      <w:r w:rsidRPr="006B575D">
        <w:t xml:space="preserve"> to form the homeostatic dysregulation (HD) algorithm: </w:t>
      </w:r>
      <w:r w:rsidRPr="006B575D">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rsidRPr="006B575D">
        <w:t xml:space="preserve">. Here, </w:t>
      </w:r>
      <w:r w:rsidRPr="006B575D">
        <w:rPr>
          <w:i/>
        </w:rPr>
        <w:t xml:space="preserve">v </w:t>
      </w:r>
      <w:r w:rsidRPr="006B575D">
        <w:t xml:space="preserve">is a vector of biomarker values for a participant in the </w:t>
      </w:r>
      <w:r w:rsidRPr="006B575D">
        <w:lastRenderedPageBreak/>
        <w:t xml:space="preserve">analysis sample; </w:t>
      </w:r>
      <w:r w:rsidRPr="006B575D">
        <w:rPr>
          <w:i/>
        </w:rPr>
        <w:t>u</w:t>
      </w:r>
      <w:r w:rsidRPr="006B575D">
        <w:t xml:space="preserve"> is a vector of biomarker means in the training sample, and </w:t>
      </w:r>
      <w:r w:rsidRPr="006B575D">
        <w:rPr>
          <w:i/>
        </w:rPr>
        <w:t>S</w:t>
      </w:r>
      <w:r w:rsidRPr="006B575D">
        <w:rPr>
          <w:vertAlign w:val="superscript"/>
        </w:rPr>
        <w:t xml:space="preserve"> </w:t>
      </w:r>
      <w:r w:rsidRPr="006B575D">
        <w:t>is</w:t>
      </w:r>
      <w:r w:rsidRPr="006B575D">
        <w:rPr>
          <w:sz w:val="13"/>
          <w:szCs w:val="13"/>
        </w:rPr>
        <w:t xml:space="preserve"> </w:t>
      </w:r>
      <w:r w:rsidRPr="006B575D">
        <w:t xml:space="preserve">the standardized-biomarker variance-covariance matrix. As HD in the full sample was significantly skewed, </w:t>
      </w:r>
      <w:r w:rsidR="007466FC" w:rsidRPr="006B575D">
        <w:t xml:space="preserve">natural </w:t>
      </w:r>
      <w:r w:rsidRPr="006B575D">
        <w:t>log-transformed HD was used as the outcome variable in all analyses.</w:t>
      </w:r>
    </w:p>
    <w:p w14:paraId="37A911B5" w14:textId="77777777" w:rsidR="000A073E" w:rsidRPr="006B575D" w:rsidRDefault="008406FB" w:rsidP="008406FB">
      <w:pPr>
        <w:shd w:val="clear" w:color="auto" w:fill="FFFFFF"/>
        <w:spacing w:line="480" w:lineRule="auto"/>
      </w:pPr>
      <w:r w:rsidRPr="006B575D">
        <w:t xml:space="preserve"> </w:t>
      </w:r>
    </w:p>
    <w:p w14:paraId="6C19289D" w14:textId="2A56A253" w:rsidR="000A073E" w:rsidRPr="006B575D" w:rsidRDefault="008406FB" w:rsidP="008406FB">
      <w:pPr>
        <w:shd w:val="clear" w:color="auto" w:fill="FFFFFF"/>
        <w:spacing w:line="480" w:lineRule="auto"/>
      </w:pPr>
      <w:r w:rsidRPr="006B575D">
        <w:rPr>
          <w:u w:val="single"/>
        </w:rPr>
        <w:t>Klemera-Doubal Method (KDM) Biological Age</w:t>
      </w:r>
      <w:r w:rsidRPr="006B575D">
        <w:t xml:space="preserve"> is computed using the Klemera-Doubal equation </w:t>
      </w:r>
      <w:r w:rsidR="00B418E0" w:rsidRPr="006B575D">
        <w:fldChar w:fldCharType="begin" w:fldLock="1"/>
      </w:r>
      <w:r w:rsidR="006F65E2" w:rsidRPr="006B575D">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48&lt;/sup&gt;","plainTextFormattedCitation":"48","previouslyFormattedCitation":"&lt;sup&gt;48&lt;/sup&gt;"},"properties":{"noteIndex":0},"schema":"https://github.com/citation-style-language/schema/raw/master/csl-citation.json"}</w:instrText>
      </w:r>
      <w:r w:rsidR="00B418E0" w:rsidRPr="006B575D">
        <w:fldChar w:fldCharType="separate"/>
      </w:r>
      <w:r w:rsidR="00E87E02" w:rsidRPr="006B575D">
        <w:rPr>
          <w:noProof/>
          <w:vertAlign w:val="superscript"/>
        </w:rPr>
        <w:t>48</w:t>
      </w:r>
      <w:r w:rsidR="00B418E0" w:rsidRPr="006B575D">
        <w:fldChar w:fldCharType="end"/>
      </w:r>
      <w:r w:rsidR="00B418E0" w:rsidRPr="006B575D">
        <w:t xml:space="preserve">, </w:t>
      </w:r>
      <w:r w:rsidRPr="006B575D">
        <w:t xml:space="preserve">which extracts information from individual regressions of chronological age onto </w:t>
      </w:r>
      <w:r w:rsidRPr="006B575D">
        <w:rPr>
          <w:i/>
        </w:rPr>
        <w:t xml:space="preserve">m </w:t>
      </w:r>
      <w:r w:rsidRPr="006B575D">
        <w:t>biomarkers:</w:t>
      </w:r>
      <w:r w:rsidR="002D3166" w:rsidRPr="006B575D">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sidRPr="006B575D">
        <w:rPr>
          <w:rFonts w:ascii="Times New Roman" w:eastAsia="Calibri" w:hAnsi="Times New Roman" w:cs="Times New Roman"/>
        </w:rPr>
        <w:t>.</w:t>
      </w:r>
      <w:r w:rsidRPr="006B575D">
        <w:t xml:space="preserve"> Here, </w:t>
      </w:r>
      <w:proofErr w:type="spellStart"/>
      <w:r w:rsidRPr="006B575D">
        <w:rPr>
          <w:i/>
        </w:rPr>
        <w:t>x</w:t>
      </w:r>
      <w:r w:rsidRPr="006B575D">
        <w:rPr>
          <w:i/>
          <w:vertAlign w:val="subscript"/>
        </w:rPr>
        <w:t>j</w:t>
      </w:r>
      <w:proofErr w:type="spellEnd"/>
      <w:r w:rsidRPr="006B575D">
        <w:t xml:space="preserve"> is the value of biomarker </w:t>
      </w:r>
      <w:r w:rsidRPr="006B575D">
        <w:rPr>
          <w:i/>
        </w:rPr>
        <w:t>j</w:t>
      </w:r>
      <w:r w:rsidRPr="006B575D">
        <w:t xml:space="preserve"> measured for an individual in the analytical sample and </w:t>
      </w:r>
      <w:r w:rsidRPr="006B575D">
        <w:rPr>
          <w:i/>
        </w:rPr>
        <w:t xml:space="preserve">CA </w:t>
      </w:r>
      <w:r w:rsidRPr="006B575D">
        <w:t xml:space="preserve">is their chronological age. For each biomarker </w:t>
      </w:r>
      <w:r w:rsidRPr="006B575D">
        <w:rPr>
          <w:i/>
        </w:rPr>
        <w:t>j</w:t>
      </w:r>
      <w:r w:rsidRPr="006B575D">
        <w:t xml:space="preserve">, the parameters </w:t>
      </w:r>
      <w:r w:rsidRPr="006B575D">
        <w:rPr>
          <w:i/>
        </w:rPr>
        <w:t xml:space="preserve">q </w:t>
      </w:r>
      <w:r w:rsidRPr="006B575D">
        <w:t xml:space="preserve">(intercept), </w:t>
      </w:r>
      <w:r w:rsidRPr="006B575D">
        <w:rPr>
          <w:i/>
        </w:rPr>
        <w:t xml:space="preserve">k </w:t>
      </w:r>
      <w:r w:rsidRPr="006B575D">
        <w:t xml:space="preserve">(slope), and </w:t>
      </w:r>
      <w:r w:rsidRPr="006B575D">
        <w:rPr>
          <w:i/>
        </w:rPr>
        <w:t xml:space="preserve">s </w:t>
      </w:r>
      <w:r w:rsidRPr="006B575D">
        <w:t xml:space="preserve">(root mean squared error) are estimated from a regression of chronological age onto the biomarker in the reference population. </w:t>
      </w:r>
      <w:proofErr w:type="spellStart"/>
      <w:r w:rsidRPr="006B575D">
        <w:rPr>
          <w:i/>
        </w:rPr>
        <w:t>sBA</w:t>
      </w:r>
      <w:proofErr w:type="spellEnd"/>
      <w:r w:rsidRPr="006B575D">
        <w:t xml:space="preserve"> is a scaling factor equal to the square root of the variance in chronological age explained by the biomarker panel in the reference population</w:t>
      </w:r>
      <w:r w:rsidR="00B66627" w:rsidRPr="006B575D">
        <w:t xml:space="preserve"> </w:t>
      </w:r>
      <w:r w:rsidR="00B66627" w:rsidRPr="006B575D">
        <w:fldChar w:fldCharType="begin" w:fldLock="1"/>
      </w:r>
      <w:r w:rsidR="006F65E2" w:rsidRPr="006B575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66627" w:rsidRPr="006B575D">
        <w:fldChar w:fldCharType="separate"/>
      </w:r>
      <w:r w:rsidR="00E87E02" w:rsidRPr="006B575D">
        <w:rPr>
          <w:noProof/>
          <w:vertAlign w:val="superscript"/>
        </w:rPr>
        <w:t>46</w:t>
      </w:r>
      <w:r w:rsidR="00B66627" w:rsidRPr="006B575D">
        <w:fldChar w:fldCharType="end"/>
      </w:r>
      <w:r w:rsidRPr="006B575D">
        <w:t xml:space="preserve"> (Eq. 5). Following previous work </w:t>
      </w:r>
      <w:r w:rsidR="00B418E0" w:rsidRPr="006B575D">
        <w:fldChar w:fldCharType="begin" w:fldLock="1"/>
      </w:r>
      <w:r w:rsidR="006F65E2" w:rsidRPr="006B575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46&lt;/sup&gt;","plainTextFormattedCitation":"46","previouslyFormattedCitation":"&lt;sup&gt;46&lt;/sup&gt;"},"properties":{"noteIndex":0},"schema":"https://github.com/citation-style-language/schema/raw/master/csl-citation.json"}</w:instrText>
      </w:r>
      <w:r w:rsidR="00B418E0" w:rsidRPr="006B575D">
        <w:fldChar w:fldCharType="separate"/>
      </w:r>
      <w:r w:rsidR="00E87E02" w:rsidRPr="006B575D">
        <w:rPr>
          <w:noProof/>
          <w:vertAlign w:val="superscript"/>
        </w:rPr>
        <w:t>46</w:t>
      </w:r>
      <w:r w:rsidR="00B418E0" w:rsidRPr="006B575D">
        <w:fldChar w:fldCharType="end"/>
      </w:r>
      <w:r w:rsidRPr="006B575D">
        <w:t>, we formed our reference population from non-pregnant women in NHANES III aged 30-75 (</w:t>
      </w:r>
      <w:r w:rsidR="00380182" w:rsidRPr="006B575D">
        <w:rPr>
          <w:i/>
          <w:iCs/>
        </w:rPr>
        <w:t>n</w:t>
      </w:r>
      <w:r w:rsidR="00B66627" w:rsidRPr="006B575D">
        <w:rPr>
          <w:i/>
          <w:iCs/>
        </w:rPr>
        <w:t xml:space="preserve"> </w:t>
      </w:r>
      <w:r w:rsidRPr="006B575D">
        <w:t>= 5,</w:t>
      </w:r>
      <w:r w:rsidR="007466FC" w:rsidRPr="006B575D">
        <w:t>453</w:t>
      </w:r>
      <w:r w:rsidRPr="006B575D">
        <w:t xml:space="preserve">, see </w:t>
      </w:r>
      <w:r w:rsidRPr="006B575D">
        <w:rPr>
          <w:b/>
        </w:rPr>
        <w:t xml:space="preserve">ESM Tables </w:t>
      </w:r>
      <w:r w:rsidR="00CD6C9B" w:rsidRPr="006B575D">
        <w:rPr>
          <w:b/>
        </w:rPr>
        <w:t>V</w:t>
      </w:r>
      <w:r w:rsidRPr="006B575D">
        <w:rPr>
          <w:b/>
        </w:rPr>
        <w:t xml:space="preserve"> and </w:t>
      </w:r>
      <w:r w:rsidR="00CD6C9B" w:rsidRPr="006B575D">
        <w:rPr>
          <w:b/>
        </w:rPr>
        <w:t>V</w:t>
      </w:r>
      <w:r w:rsidR="00C37F4F" w:rsidRPr="006B575D">
        <w:rPr>
          <w:b/>
        </w:rPr>
        <w:t>I</w:t>
      </w:r>
      <w:r w:rsidRPr="006B575D">
        <w:t>). An individual's KDM Biological Age corresponds to the average chronological age at which their physiology would be observed in</w:t>
      </w:r>
    </w:p>
    <w:p w14:paraId="1C3811CA" w14:textId="77777777" w:rsidR="000A073E" w:rsidRPr="006B575D" w:rsidRDefault="008406FB" w:rsidP="008406FB">
      <w:pPr>
        <w:shd w:val="clear" w:color="auto" w:fill="FFFFFF"/>
        <w:spacing w:line="480" w:lineRule="auto"/>
      </w:pPr>
      <w:r w:rsidRPr="006B575D">
        <w:t xml:space="preserve">the reference population. </w:t>
      </w:r>
    </w:p>
    <w:p w14:paraId="2E0F2483" w14:textId="77777777" w:rsidR="000A073E" w:rsidRPr="006B575D" w:rsidRDefault="008406FB" w:rsidP="008406FB">
      <w:pPr>
        <w:shd w:val="clear" w:color="auto" w:fill="FFFFFF"/>
        <w:spacing w:line="480" w:lineRule="auto"/>
      </w:pPr>
      <w:r w:rsidRPr="006B575D">
        <w:t xml:space="preserve"> </w:t>
      </w:r>
    </w:p>
    <w:p w14:paraId="15F87CED" w14:textId="482B6537" w:rsidR="000A073E" w:rsidRPr="006B575D" w:rsidRDefault="008406FB" w:rsidP="008406FB">
      <w:pPr>
        <w:shd w:val="clear" w:color="auto" w:fill="FFFFFF"/>
        <w:spacing w:line="480" w:lineRule="auto"/>
      </w:pPr>
      <w:r w:rsidRPr="006B575D">
        <w:rPr>
          <w:u w:val="single"/>
        </w:rPr>
        <w:t>Levine Method (LM) Biological Age</w:t>
      </w:r>
      <w:r w:rsidRPr="006B575D">
        <w:t xml:space="preserve"> is computed from a multivariate analysis of mortality hazards using NHANES III dat</w:t>
      </w:r>
      <w:r w:rsidR="00B418E0" w:rsidRPr="006B575D">
        <w:t xml:space="preserve">a </w:t>
      </w:r>
      <w:r w:rsidR="00B418E0" w:rsidRPr="006B575D">
        <w:fldChar w:fldCharType="begin" w:fldLock="1"/>
      </w:r>
      <w:r w:rsidR="006F65E2" w:rsidRPr="006B575D">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46,47&lt;/sup&gt;","plainTextFormattedCitation":"46,47","previouslyFormattedCitation":"&lt;sup&gt;46,47&lt;/sup&gt;"},"properties":{"noteIndex":0},"schema":"https://github.com/citation-style-language/schema/raw/master/csl-citation.json"}</w:instrText>
      </w:r>
      <w:r w:rsidR="00B418E0" w:rsidRPr="006B575D">
        <w:fldChar w:fldCharType="separate"/>
      </w:r>
      <w:r w:rsidR="00E87E02" w:rsidRPr="006B575D">
        <w:rPr>
          <w:noProof/>
          <w:vertAlign w:val="superscript"/>
        </w:rPr>
        <w:t>46,47</w:t>
      </w:r>
      <w:r w:rsidR="00B418E0" w:rsidRPr="006B575D">
        <w:fldChar w:fldCharType="end"/>
      </w:r>
      <w:r w:rsidRPr="006B575D">
        <w:t xml:space="preserve">. Herein, a multivariate </w:t>
      </w:r>
      <w:proofErr w:type="spellStart"/>
      <w:r w:rsidRPr="006B575D">
        <w:t>Gompertz</w:t>
      </w:r>
      <w:proofErr w:type="spellEnd"/>
      <w:r w:rsidRPr="006B575D">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rsidRPr="006B575D">
        <w:t>Gompertz</w:t>
      </w:r>
      <w:proofErr w:type="spellEnd"/>
      <w:r w:rsidRPr="006B575D">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rsidRPr="006B575D">
        <w:t xml:space="preserve"> </w:t>
      </w:r>
      <w:r w:rsidR="00B66627" w:rsidRPr="006B575D">
        <w:fldChar w:fldCharType="begin" w:fldLock="1"/>
      </w:r>
      <w:r w:rsidR="006F65E2" w:rsidRPr="006B575D">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47&lt;/sup&gt;","plainTextFormattedCitation":"47","previouslyFormattedCitation":"&lt;sup&gt;47&lt;/sup&gt;"},"properties":{"noteIndex":0},"schema":"https://github.com/citation-style-language/schema/raw/master/csl-citation.json"}</w:instrText>
      </w:r>
      <w:r w:rsidR="00B66627" w:rsidRPr="006B575D">
        <w:fldChar w:fldCharType="separate"/>
      </w:r>
      <w:r w:rsidR="00E87E02" w:rsidRPr="006B575D">
        <w:rPr>
          <w:noProof/>
          <w:vertAlign w:val="superscript"/>
        </w:rPr>
        <w:t>47</w:t>
      </w:r>
      <w:r w:rsidR="00B66627" w:rsidRPr="006B575D">
        <w:fldChar w:fldCharType="end"/>
      </w:r>
      <w:r w:rsidRPr="006B575D">
        <w:t xml:space="preserve"> to compute LM biological age for participants in our sample.  </w:t>
      </w:r>
    </w:p>
    <w:p w14:paraId="1BC0BBF8" w14:textId="786FA082" w:rsidR="007466FC" w:rsidRPr="006B575D" w:rsidRDefault="007466FC" w:rsidP="008406FB">
      <w:pPr>
        <w:shd w:val="clear" w:color="auto" w:fill="FFFFFF"/>
        <w:spacing w:line="480" w:lineRule="auto"/>
      </w:pPr>
    </w:p>
    <w:p w14:paraId="6D6D962E" w14:textId="5E87EE54" w:rsidR="007466FC" w:rsidRPr="006B575D" w:rsidRDefault="007466FC" w:rsidP="008406FB">
      <w:pPr>
        <w:shd w:val="clear" w:color="auto" w:fill="FFFFFF"/>
        <w:spacing w:line="480" w:lineRule="auto"/>
      </w:pPr>
      <w:r w:rsidRPr="006B575D">
        <w:rPr>
          <w:color w:val="000000"/>
          <w:u w:val="single"/>
        </w:rPr>
        <w:t>Allostatic Load (AL)</w:t>
      </w:r>
      <w:r w:rsidRPr="006B575D">
        <w:rPr>
          <w:color w:val="000000"/>
        </w:rPr>
        <w:t xml:space="preserve"> is computed as the proportion of biomarker values for which a participant is at risk. In accordance with recommendations from a review of AL implementation in NHANES </w:t>
      </w:r>
      <w:r w:rsidRPr="006B575D">
        <w:rPr>
          <w:color w:val="000000"/>
        </w:rPr>
        <w:fldChar w:fldCharType="begin" w:fldLock="1"/>
      </w:r>
      <w:r w:rsidR="00E87E02" w:rsidRPr="006B575D">
        <w:rPr>
          <w:color w:val="000000"/>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57&lt;/sup&gt;","plainTextFormattedCitation":"57","previouslyFormattedCitation":"&lt;sup&gt;57&lt;/sup&gt;"},"properties":{"noteIndex":0},"schema":"https://github.com/citation-style-language/schema/raw/master/csl-citation.json"}</w:instrText>
      </w:r>
      <w:r w:rsidRPr="006B575D">
        <w:rPr>
          <w:color w:val="000000"/>
        </w:rPr>
        <w:fldChar w:fldCharType="separate"/>
      </w:r>
      <w:r w:rsidR="00764EF3" w:rsidRPr="006B575D">
        <w:rPr>
          <w:noProof/>
          <w:color w:val="000000"/>
          <w:vertAlign w:val="superscript"/>
        </w:rPr>
        <w:t>57</w:t>
      </w:r>
      <w:r w:rsidRPr="006B575D">
        <w:rPr>
          <w:color w:val="000000"/>
        </w:rPr>
        <w:fldChar w:fldCharType="end"/>
      </w:r>
      <w:r w:rsidRPr="006B575D">
        <w:rPr>
          <w:color w:val="000000"/>
        </w:rPr>
        <w:t>, we defined risk as residing within the highest quartile of a given biomarker’s distribution within the sample of nonpregnant women aged 18-84 with complete biological age biomarker data, excepting albumin for which risk was defined as residing in the lowest quartile (</w:t>
      </w:r>
      <w:r w:rsidR="00380182" w:rsidRPr="006B575D">
        <w:rPr>
          <w:i/>
          <w:iCs/>
          <w:color w:val="000000"/>
        </w:rPr>
        <w:t>n</w:t>
      </w:r>
      <w:r w:rsidRPr="006B575D">
        <w:rPr>
          <w:i/>
          <w:iCs/>
          <w:color w:val="000000"/>
        </w:rPr>
        <w:t xml:space="preserve"> </w:t>
      </w:r>
      <w:r w:rsidRPr="006B575D">
        <w:rPr>
          <w:color w:val="000000"/>
        </w:rPr>
        <w:t xml:space="preserve">= 5,870; </w:t>
      </w:r>
      <w:r w:rsidRPr="006B575D">
        <w:rPr>
          <w:b/>
          <w:bCs/>
          <w:color w:val="000000"/>
        </w:rPr>
        <w:t>ESM Table V</w:t>
      </w:r>
      <w:r w:rsidR="00C37F4F" w:rsidRPr="006B575D">
        <w:rPr>
          <w:b/>
          <w:bCs/>
          <w:color w:val="000000"/>
        </w:rPr>
        <w:t>I</w:t>
      </w:r>
      <w:r w:rsidRPr="006B575D">
        <w:rPr>
          <w:b/>
          <w:bCs/>
          <w:color w:val="000000"/>
        </w:rPr>
        <w:t>I</w:t>
      </w:r>
      <w:r w:rsidRPr="006B575D">
        <w:rPr>
          <w:color w:val="000000"/>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Pr="006B575D" w:rsidRDefault="008406FB" w:rsidP="008406FB">
      <w:pPr>
        <w:shd w:val="clear" w:color="auto" w:fill="FFFFFF"/>
        <w:spacing w:line="480" w:lineRule="auto"/>
      </w:pPr>
      <w:r w:rsidRPr="006B575D">
        <w:t xml:space="preserve"> </w:t>
      </w:r>
    </w:p>
    <w:p w14:paraId="251E96D1" w14:textId="6D8057C0" w:rsidR="000A073E" w:rsidRPr="006B575D" w:rsidRDefault="002C57DC" w:rsidP="008406FB">
      <w:pPr>
        <w:shd w:val="clear" w:color="auto" w:fill="FFFFFF"/>
        <w:spacing w:line="480" w:lineRule="auto"/>
        <w:rPr>
          <w:b/>
          <w:bCs/>
          <w:color w:val="000000"/>
        </w:rPr>
      </w:pPr>
      <w:bookmarkStart w:id="5" w:name="_Hlk54186366"/>
      <w:r w:rsidRPr="006B575D">
        <w:rPr>
          <w:color w:val="000000"/>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6B575D">
        <w:rPr>
          <w:i/>
          <w:iCs/>
          <w:color w:val="000000"/>
        </w:rPr>
        <w:t>n</w:t>
      </w:r>
      <w:r w:rsidRPr="006B575D">
        <w:rPr>
          <w:color w:val="000000"/>
        </w:rPr>
        <w:t xml:space="preserve"> = 4,418) are provided in </w:t>
      </w:r>
      <w:r w:rsidRPr="006B575D">
        <w:rPr>
          <w:b/>
          <w:bCs/>
          <w:color w:val="000000"/>
        </w:rPr>
        <w:t>ESM Table VI</w:t>
      </w:r>
      <w:r w:rsidR="00C37F4F" w:rsidRPr="006B575D">
        <w:rPr>
          <w:b/>
          <w:bCs/>
          <w:color w:val="000000"/>
        </w:rPr>
        <w:t>I</w:t>
      </w:r>
      <w:r w:rsidRPr="006B575D">
        <w:rPr>
          <w:b/>
          <w:bCs/>
          <w:color w:val="000000"/>
        </w:rPr>
        <w:t>I.</w:t>
      </w:r>
    </w:p>
    <w:bookmarkEnd w:id="5"/>
    <w:p w14:paraId="2BFA5D82" w14:textId="77777777" w:rsidR="002C57DC" w:rsidRPr="006B575D" w:rsidRDefault="002C57DC" w:rsidP="008406FB">
      <w:pPr>
        <w:shd w:val="clear" w:color="auto" w:fill="FFFFFF"/>
        <w:spacing w:line="480" w:lineRule="auto"/>
      </w:pPr>
    </w:p>
    <w:p w14:paraId="14F6E446" w14:textId="04E290AA" w:rsidR="000A073E" w:rsidRPr="006B575D" w:rsidRDefault="008406FB" w:rsidP="008406FB">
      <w:pPr>
        <w:shd w:val="clear" w:color="auto" w:fill="FFFFFF"/>
        <w:spacing w:line="480" w:lineRule="auto"/>
      </w:pPr>
      <w:r w:rsidRPr="006B575D">
        <w:t xml:space="preserve">Univariate distributions, bivariate distributions, and Pearson correlations coefficients for age, LM, log-transformed HD, and KDM are displayed in </w:t>
      </w:r>
      <w:r w:rsidRPr="006B575D">
        <w:rPr>
          <w:b/>
        </w:rPr>
        <w:t>Figure 3</w:t>
      </w:r>
      <w:r w:rsidRPr="006B575D">
        <w:t xml:space="preserve">. Expectedly, all </w:t>
      </w:r>
      <w:r w:rsidR="007466FC" w:rsidRPr="006B575D">
        <w:t>four</w:t>
      </w:r>
      <w:r w:rsidRPr="006B575D">
        <w:t xml:space="preserve"> measures of biological age </w:t>
      </w:r>
      <w:r w:rsidRPr="006B575D">
        <w:lastRenderedPageBreak/>
        <w:t xml:space="preserve">were significantly correlated with chronological age, and all </w:t>
      </w:r>
      <w:r w:rsidR="007466FC" w:rsidRPr="006B575D">
        <w:t>four</w:t>
      </w:r>
      <w:r w:rsidRPr="006B575D">
        <w:t xml:space="preserve"> measures of biological age were significantly correlated with each other.  </w:t>
      </w:r>
    </w:p>
    <w:p w14:paraId="02D478AB" w14:textId="77777777" w:rsidR="00C37F4F" w:rsidRPr="006B575D" w:rsidRDefault="00C37F4F" w:rsidP="008406FB">
      <w:pPr>
        <w:shd w:val="clear" w:color="auto" w:fill="FFFFFF"/>
        <w:spacing w:line="480" w:lineRule="auto"/>
      </w:pPr>
    </w:p>
    <w:p w14:paraId="5EA00248" w14:textId="77777777" w:rsidR="000A073E" w:rsidRPr="006B575D" w:rsidRDefault="008406FB" w:rsidP="008406FB">
      <w:pPr>
        <w:shd w:val="clear" w:color="auto" w:fill="FFFFFF"/>
        <w:spacing w:line="480" w:lineRule="auto"/>
        <w:rPr>
          <w:i/>
        </w:rPr>
      </w:pPr>
      <w:r w:rsidRPr="006B575D">
        <w:rPr>
          <w:i/>
        </w:rPr>
        <w:t>Covariates</w:t>
      </w:r>
    </w:p>
    <w:p w14:paraId="3B846E7B" w14:textId="7D3BE40A" w:rsidR="000A073E" w:rsidRPr="006B575D" w:rsidRDefault="008406FB" w:rsidP="008406FB">
      <w:pPr>
        <w:shd w:val="clear" w:color="auto" w:fill="FFFFFF"/>
        <w:spacing w:line="480" w:lineRule="auto"/>
      </w:pPr>
      <w:r w:rsidRPr="006B575D">
        <w:t xml:space="preserve">Self-reported race/ethnicity </w:t>
      </w:r>
      <w:r w:rsidR="00B418E0" w:rsidRPr="006B575D">
        <w:fldChar w:fldCharType="begin" w:fldLock="1"/>
      </w:r>
      <w:r w:rsidR="00E87E02" w:rsidRPr="006B575D">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58&lt;/sup&gt;","plainTextFormattedCitation":"58","previouslyFormattedCitation":"&lt;sup&gt;58&lt;/sup&gt;"},"properties":{"noteIndex":0},"schema":"https://github.com/citation-style-language/schema/raw/master/csl-citation.json"}</w:instrText>
      </w:r>
      <w:r w:rsidR="00B418E0" w:rsidRPr="006B575D">
        <w:fldChar w:fldCharType="separate"/>
      </w:r>
      <w:r w:rsidR="00764EF3" w:rsidRPr="006B575D">
        <w:rPr>
          <w:noProof/>
          <w:vertAlign w:val="superscript"/>
        </w:rPr>
        <w:t>58</w:t>
      </w:r>
      <w:r w:rsidR="00B418E0" w:rsidRPr="006B575D">
        <w:fldChar w:fldCharType="end"/>
      </w:r>
      <w:r w:rsidRPr="006B575D">
        <w:t>, socioeconomic status (SES</w:t>
      </w:r>
      <w:r w:rsidR="009D7E28" w:rsidRPr="006B575D">
        <w:t xml:space="preserve">) </w:t>
      </w:r>
      <w:r w:rsidR="009D7E28" w:rsidRPr="006B575D">
        <w:fldChar w:fldCharType="begin" w:fldLock="1"/>
      </w:r>
      <w:r w:rsidR="00E87E02" w:rsidRPr="006B575D">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59,60&lt;/sup&gt;","plainTextFormattedCitation":"59,60","previouslyFormattedCitation":"&lt;sup&gt;59,60&lt;/sup&gt;"},"properties":{"noteIndex":0},"schema":"https://github.com/citation-style-language/schema/raw/master/csl-citation.json"}</w:instrText>
      </w:r>
      <w:r w:rsidR="009D7E28" w:rsidRPr="006B575D">
        <w:fldChar w:fldCharType="separate"/>
      </w:r>
      <w:r w:rsidR="00764EF3" w:rsidRPr="006B575D">
        <w:rPr>
          <w:noProof/>
          <w:vertAlign w:val="superscript"/>
        </w:rPr>
        <w:t>59,60</w:t>
      </w:r>
      <w:r w:rsidR="009D7E28" w:rsidRPr="006B575D">
        <w:fldChar w:fldCharType="end"/>
      </w:r>
      <w:r w:rsidRPr="006B575D">
        <w:t xml:space="preserve">, and smoking </w:t>
      </w:r>
      <w:r w:rsidR="00B418E0" w:rsidRPr="006B575D">
        <w:fldChar w:fldCharType="begin" w:fldLock="1"/>
      </w:r>
      <w:r w:rsidR="0075630D" w:rsidRPr="006B575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rsidRPr="006B575D">
        <w:fldChar w:fldCharType="separate"/>
      </w:r>
      <w:r w:rsidR="002679A8" w:rsidRPr="006B575D">
        <w:rPr>
          <w:noProof/>
          <w:vertAlign w:val="superscript"/>
        </w:rPr>
        <w:t>10</w:t>
      </w:r>
      <w:r w:rsidR="00B418E0" w:rsidRPr="006B575D">
        <w:fldChar w:fldCharType="end"/>
      </w:r>
      <w:r w:rsidRPr="006B575D">
        <w:t xml:space="preserve"> moderate the relationship between chronological age and biological aging. Self-reported race/ethnicity was categorized as non-Hispanic (NH) white, NH black, Hispanic, and ‘other’</w:t>
      </w:r>
      <w:r w:rsidR="00093C28" w:rsidRPr="006B575D">
        <w:t xml:space="preserve"> (NHANES item RIDRETH1).</w:t>
      </w:r>
      <w:r w:rsidRPr="006B575D">
        <w:t xml:space="preserve"> SES was indexed by educational attainment </w:t>
      </w:r>
      <w:r w:rsidR="00093C28" w:rsidRPr="006B575D">
        <w:t xml:space="preserve">(NHANES item DMDEDUC2) </w:t>
      </w:r>
      <w:r w:rsidRPr="006B575D">
        <w:t>and federal income-to-poverty ratio (FIPR</w:t>
      </w:r>
      <w:r w:rsidR="00093C28" w:rsidRPr="006B575D">
        <w:t>; NHANES item INDFMPIR</w:t>
      </w:r>
      <w:r w:rsidR="009A6DA9" w:rsidRPr="006B575D">
        <w:t xml:space="preserve"> as calculated per Department of Health and Human Services guidelines</w:t>
      </w:r>
      <w:r w:rsidRPr="006B575D">
        <w:t>). Height and weight were measured by an NHANES examiner, and BMI was calculated as weight (kg) divided by height (meters squared</w:t>
      </w:r>
      <w:r w:rsidR="00093C28" w:rsidRPr="006B575D">
        <w:t>; NHANES item BMXBMI</w:t>
      </w:r>
      <w:r w:rsidRPr="006B575D">
        <w:t xml:space="preserve">). As prior work has shown that BMI exhibits a U-shaped curve with negative health outcomes </w:t>
      </w:r>
      <w:r w:rsidR="00B418E0" w:rsidRPr="006B575D">
        <w:fldChar w:fldCharType="begin" w:fldLock="1"/>
      </w:r>
      <w:r w:rsidR="00E87E02" w:rsidRPr="006B575D">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61&lt;/sup&gt;","plainTextFormattedCitation":"61","previouslyFormattedCitation":"&lt;sup&gt;61&lt;/sup&gt;"},"properties":{"noteIndex":0},"schema":"https://github.com/citation-style-language/schema/raw/master/csl-citation.json"}</w:instrText>
      </w:r>
      <w:r w:rsidR="00B418E0" w:rsidRPr="006B575D">
        <w:fldChar w:fldCharType="separate"/>
      </w:r>
      <w:r w:rsidR="00764EF3" w:rsidRPr="006B575D">
        <w:rPr>
          <w:noProof/>
          <w:vertAlign w:val="superscript"/>
        </w:rPr>
        <w:t>61</w:t>
      </w:r>
      <w:r w:rsidR="00B418E0" w:rsidRPr="006B575D">
        <w:fldChar w:fldCharType="end"/>
      </w:r>
      <w:r w:rsidRPr="006B575D">
        <w:t xml:space="preserve">, our models included both linear and quadratic terms for BMI. </w:t>
      </w:r>
      <w:proofErr w:type="gramStart"/>
      <w:r w:rsidRPr="006B575D">
        <w:t>On the basis of</w:t>
      </w:r>
      <w:proofErr w:type="gramEnd"/>
      <w:r w:rsidRPr="006B575D">
        <w:t xml:space="preserve"> responses to a computer-assisted questionnaire on smoking habits, women were classified as never, past, or current smokers. To better isolate the effect of parity and biological age, our primary models controlled for the </w:t>
      </w:r>
      <w:proofErr w:type="gramStart"/>
      <w:r w:rsidRPr="006B575D">
        <w:t>aforementioned covariates</w:t>
      </w:r>
      <w:proofErr w:type="gramEnd"/>
      <w:r w:rsidRPr="006B575D">
        <w:t>.</w:t>
      </w:r>
    </w:p>
    <w:p w14:paraId="628F34DB" w14:textId="77777777" w:rsidR="000A073E" w:rsidRPr="006B575D" w:rsidRDefault="000A073E" w:rsidP="008406FB">
      <w:pPr>
        <w:shd w:val="clear" w:color="auto" w:fill="FFFFFF"/>
        <w:spacing w:line="480" w:lineRule="auto"/>
      </w:pPr>
    </w:p>
    <w:p w14:paraId="2AEB9D09" w14:textId="77777777" w:rsidR="000A073E" w:rsidRPr="006B575D" w:rsidRDefault="008406FB" w:rsidP="008406FB">
      <w:pPr>
        <w:shd w:val="clear" w:color="auto" w:fill="FFFFFF"/>
        <w:spacing w:line="480" w:lineRule="auto"/>
        <w:rPr>
          <w:i/>
        </w:rPr>
      </w:pPr>
      <w:r w:rsidRPr="006B575D">
        <w:rPr>
          <w:i/>
        </w:rPr>
        <w:t>Statistical analyses</w:t>
      </w:r>
    </w:p>
    <w:p w14:paraId="2BF43631" w14:textId="3E2E56F3" w:rsidR="000A073E" w:rsidRPr="006B575D" w:rsidRDefault="008406FB" w:rsidP="008406FB">
      <w:pPr>
        <w:shd w:val="clear" w:color="auto" w:fill="FFFFFF"/>
        <w:spacing w:line="480" w:lineRule="auto"/>
      </w:pPr>
      <w:r w:rsidRPr="006B575D">
        <w:t xml:space="preserve">All analyses were performed in R using the </w:t>
      </w:r>
      <w:r w:rsidRPr="006B575D">
        <w:rPr>
          <w:i/>
        </w:rPr>
        <w:t>survey</w:t>
      </w:r>
      <w:r w:rsidRPr="006B575D">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rsidRPr="006B575D">
        <w:t xml:space="preserve">online and can be found at </w:t>
      </w:r>
      <w:hyperlink r:id="rId8" w:history="1">
        <w:r w:rsidR="009D2296" w:rsidRPr="006B575D">
          <w:rPr>
            <w:rStyle w:val="Hyperlink"/>
          </w:rPr>
          <w:t>https://osf.io/b2jft/</w:t>
        </w:r>
      </w:hyperlink>
      <w:r w:rsidRPr="006B575D">
        <w:t>.</w:t>
      </w:r>
    </w:p>
    <w:p w14:paraId="52CFBA0F" w14:textId="77777777" w:rsidR="000A073E" w:rsidRPr="006B575D" w:rsidRDefault="000A073E" w:rsidP="008406FB">
      <w:pPr>
        <w:shd w:val="clear" w:color="auto" w:fill="FFFFFF"/>
        <w:spacing w:line="480" w:lineRule="auto"/>
      </w:pPr>
    </w:p>
    <w:p w14:paraId="513CAE67" w14:textId="69D8DCD0" w:rsidR="00093C28" w:rsidRPr="006B575D" w:rsidRDefault="008406FB" w:rsidP="008406FB">
      <w:pPr>
        <w:shd w:val="clear" w:color="auto" w:fill="FFFFFF"/>
        <w:spacing w:line="480" w:lineRule="auto"/>
      </w:pPr>
      <w:r w:rsidRPr="006B575D">
        <w:t>We followed all NHCS guidelines for the analysis of NHANES data</w:t>
      </w:r>
      <w:r w:rsidR="00B418E0" w:rsidRPr="006B575D">
        <w:t xml:space="preserve"> </w:t>
      </w:r>
      <w:r w:rsidR="00B418E0" w:rsidRPr="006B575D">
        <w:fldChar w:fldCharType="begin" w:fldLock="1"/>
      </w:r>
      <w:r w:rsidR="00E87E02" w:rsidRPr="006B575D">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62&lt;/sup&gt;","plainTextFormattedCitation":"62","previouslyFormattedCitation":"&lt;sup&gt;62&lt;/sup&gt;"},"properties":{"noteIndex":0},"schema":"https://github.com/citation-style-language/schema/raw/master/csl-citation.json"}</w:instrText>
      </w:r>
      <w:r w:rsidR="00B418E0" w:rsidRPr="006B575D">
        <w:fldChar w:fldCharType="separate"/>
      </w:r>
      <w:r w:rsidR="00764EF3" w:rsidRPr="006B575D">
        <w:rPr>
          <w:noProof/>
          <w:vertAlign w:val="superscript"/>
        </w:rPr>
        <w:t>62</w:t>
      </w:r>
      <w:r w:rsidR="00B418E0" w:rsidRPr="006B575D">
        <w:fldChar w:fldCharType="end"/>
      </w:r>
      <w:r w:rsidRPr="006B575D">
        <w:t xml:space="preserve">. As the survey weights relevant to the smallest sample subpopulation for which all data are available should be used, we used mobile examination center (MEC) weights to adjust for complex survey design, oversampling, non-coverage, </w:t>
      </w:r>
      <w:r w:rsidRPr="006B575D">
        <w:lastRenderedPageBreak/>
        <w:t xml:space="preserve">day of the week, and survey nonresponse to compute nationally representative estimates </w:t>
      </w:r>
      <w:r w:rsidR="00B418E0" w:rsidRPr="006B575D">
        <w:fldChar w:fldCharType="begin" w:fldLock="1"/>
      </w:r>
      <w:r w:rsidR="00E87E02" w:rsidRPr="006B575D">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63,64&lt;/sup&gt;","plainTextFormattedCitation":"63,64","previouslyFormattedCitation":"&lt;sup&gt;63,64&lt;/sup&gt;"},"properties":{"noteIndex":0},"schema":"https://github.com/citation-style-language/schema/raw/master/csl-citation.json"}</w:instrText>
      </w:r>
      <w:r w:rsidR="00B418E0" w:rsidRPr="006B575D">
        <w:fldChar w:fldCharType="separate"/>
      </w:r>
      <w:r w:rsidR="00764EF3" w:rsidRPr="006B575D">
        <w:rPr>
          <w:noProof/>
          <w:vertAlign w:val="superscript"/>
        </w:rPr>
        <w:t>63,64</w:t>
      </w:r>
      <w:r w:rsidR="00B418E0" w:rsidRPr="006B575D">
        <w:fldChar w:fldCharType="end"/>
      </w:r>
      <w:r w:rsidRPr="006B575D">
        <w:t xml:space="preserve">. </w:t>
      </w:r>
      <w:r w:rsidR="00093C28" w:rsidRPr="006B575D">
        <w:t>Per NHANES analytical guidelines for combining data across cycles, 12-year MEC weights were calculated using the NHANES-provided variables WTMEC4YR and WTMEC2YR as follows:</w:t>
      </w:r>
      <w:r w:rsidR="002035BD" w:rsidRPr="006B575D">
        <w:t xml:space="preserve"> </w:t>
      </w:r>
      <m:oMath>
        <m:r>
          <w:rPr>
            <w:rFonts w:ascii="Cambria Math" w:hAnsi="Cambria Math"/>
          </w:rPr>
          <m:t>WTMEC12YR=</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*WTMEC4YR for the 1999-2000 and 2001-2002 cycles</m:t>
        </m:r>
      </m:oMath>
      <w:r w:rsidR="002035BD" w:rsidRPr="006B575D">
        <w:t xml:space="preserve"> and </w:t>
      </w:r>
      <m:oMath>
        <m:r>
          <w:rPr>
            <w:rFonts w:ascii="Cambria Math" w:hAnsi="Cambria Math"/>
          </w:rPr>
          <m:t>WTMEC12YR=</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*WTMEC2YR for all subsequent cycles. </m:t>
        </m:r>
      </m:oMath>
    </w:p>
    <w:p w14:paraId="55ED7858" w14:textId="77777777" w:rsidR="00093C28" w:rsidRPr="006B575D" w:rsidRDefault="00093C28" w:rsidP="008406FB">
      <w:pPr>
        <w:shd w:val="clear" w:color="auto" w:fill="FFFFFF"/>
        <w:spacing w:line="480" w:lineRule="auto"/>
      </w:pPr>
    </w:p>
    <w:p w14:paraId="2FA59276" w14:textId="0FE7B51B" w:rsidR="002C57DC" w:rsidRPr="006B575D" w:rsidRDefault="008406FB" w:rsidP="008406FB">
      <w:pPr>
        <w:shd w:val="clear" w:color="auto" w:fill="FFFFFF"/>
        <w:spacing w:line="480" w:lineRule="auto"/>
      </w:pPr>
      <w:r w:rsidRPr="006B575D">
        <w:t xml:space="preserve">We estimated multiple linear regression models to examine the association of number of live births on biological age when controlling for </w:t>
      </w:r>
      <w:r w:rsidR="003A2854" w:rsidRPr="006B575D">
        <w:t xml:space="preserve">chronological age, </w:t>
      </w:r>
      <w:r w:rsidRPr="006B575D">
        <w:t xml:space="preserve">self-reported race/ethnicity, educational attainment, FIPR, BMI, and smoking. </w:t>
      </w:r>
      <w:r w:rsidR="000A308A">
        <w:t xml:space="preserve">To focus on biological aging, we conducted analyses using versions of each biological age measure after adjustment for chronological ae, computed as the residuals of each measure regressed only chronological age. Following adjustment, biological aging measures were no longer correlated with chronological age (ESM Table IX). </w:t>
      </w:r>
      <w:r w:rsidRPr="006B575D">
        <w:t>Separate models were estimated for LM, log-transformed HD, KDM</w:t>
      </w:r>
      <w:r w:rsidR="00A61575" w:rsidRPr="006B575D">
        <w:t>, and AL</w:t>
      </w:r>
      <w:r w:rsidRPr="006B575D">
        <w:t xml:space="preserve">. </w:t>
      </w:r>
      <w:r w:rsidR="00883B67" w:rsidRPr="006B575D">
        <w:t xml:space="preserve">Because we estimated four regressions (one per outcome measure) for each set of analyses for each analytical subset, statistical significance was set to </w:t>
      </w:r>
      <w:r w:rsidR="00883B67" w:rsidRPr="006B575D">
        <w:rPr>
          <w:i/>
        </w:rPr>
        <w:t>p</w:t>
      </w:r>
      <w:r w:rsidR="00883B67" w:rsidRPr="006B575D">
        <w:t xml:space="preserve"> &lt; 0.0125 (0.05/4) </w:t>
      </w:r>
      <w:r w:rsidR="00883B67" w:rsidRPr="006B575D">
        <w:fldChar w:fldCharType="begin" w:fldLock="1"/>
      </w:r>
      <w:r w:rsidR="00883B67" w:rsidRPr="006B575D">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65&lt;/sup&gt;","plainTextFormattedCitation":"65","previouslyFormattedCitation":"&lt;sup&gt;65&lt;/sup&gt;"},"properties":{"noteIndex":0},"schema":"https://github.com/citation-style-language/schema/raw/master/csl-citation.json"}</w:instrText>
      </w:r>
      <w:r w:rsidR="00883B67" w:rsidRPr="006B575D">
        <w:fldChar w:fldCharType="separate"/>
      </w:r>
      <w:r w:rsidR="00883B67" w:rsidRPr="006B575D">
        <w:rPr>
          <w:noProof/>
          <w:vertAlign w:val="superscript"/>
        </w:rPr>
        <w:t>65</w:t>
      </w:r>
      <w:r w:rsidR="00883B67" w:rsidRPr="006B575D">
        <w:fldChar w:fldCharType="end"/>
      </w:r>
      <w:r w:rsidR="00883B67" w:rsidRPr="006B575D">
        <w:t xml:space="preserve">. </w:t>
      </w:r>
    </w:p>
    <w:p w14:paraId="7224F27F" w14:textId="77777777" w:rsidR="002C57DC" w:rsidRPr="006B575D" w:rsidRDefault="002C57DC" w:rsidP="008406FB">
      <w:pPr>
        <w:shd w:val="clear" w:color="auto" w:fill="FFFFFF"/>
        <w:spacing w:line="480" w:lineRule="auto"/>
      </w:pPr>
    </w:p>
    <w:p w14:paraId="0A158552" w14:textId="1E8003C0" w:rsidR="000A073E" w:rsidRPr="006B575D" w:rsidRDefault="008406FB" w:rsidP="008406FB">
      <w:pPr>
        <w:shd w:val="clear" w:color="auto" w:fill="FFFFFF"/>
        <w:spacing w:line="480" w:lineRule="auto"/>
      </w:pPr>
      <w:r w:rsidRPr="006B575D">
        <w:t xml:space="preserve">We estimated both linear and quadratic terms for number of live births, as it has been previously suggested that the number of live births may exert quadratic, rather than linear, effects on morbidity and mortality </w:t>
      </w:r>
      <w:r w:rsidR="00B418E0" w:rsidRPr="006B575D">
        <w:fldChar w:fldCharType="begin" w:fldLock="1"/>
      </w:r>
      <w:r w:rsidR="0075630D" w:rsidRPr="006B575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rsidRPr="006B575D">
        <w:fldChar w:fldCharType="separate"/>
      </w:r>
      <w:r w:rsidR="002679A8" w:rsidRPr="006B575D">
        <w:rPr>
          <w:noProof/>
          <w:vertAlign w:val="superscript"/>
        </w:rPr>
        <w:t>32–34</w:t>
      </w:r>
      <w:r w:rsidR="00B418E0" w:rsidRPr="006B575D">
        <w:fldChar w:fldCharType="end"/>
      </w:r>
      <w:r w:rsidRPr="006B575D">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w:t>
      </w:r>
      <w:bookmarkStart w:id="6" w:name="_Hlk54186184"/>
      <w:r w:rsidRPr="006B575D">
        <w:t xml:space="preserve">As prior work suggests that costs of reproduction should be the most apparent after menopause </w:t>
      </w:r>
      <w:r w:rsidR="00BD06AD" w:rsidRPr="006B575D">
        <w:fldChar w:fldCharType="begin" w:fldLock="1"/>
      </w:r>
      <w:r w:rsidR="006F65E2" w:rsidRPr="006B575D">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44,66&lt;/sup&gt;","plainTextFormattedCitation":"44,66","previouslyFormattedCitation":"&lt;sup&gt;44,66&lt;/sup&gt;"},"properties":{"noteIndex":0},"schema":"https://github.com/citation-style-language/schema/raw/master/csl-citation.json"}</w:instrText>
      </w:r>
      <w:r w:rsidR="00BD06AD" w:rsidRPr="006B575D">
        <w:fldChar w:fldCharType="separate"/>
      </w:r>
      <w:r w:rsidR="00E87E02" w:rsidRPr="006B575D">
        <w:rPr>
          <w:noProof/>
          <w:vertAlign w:val="superscript"/>
        </w:rPr>
        <w:t>44,66</w:t>
      </w:r>
      <w:r w:rsidR="00BD06AD" w:rsidRPr="006B575D">
        <w:fldChar w:fldCharType="end"/>
      </w:r>
      <w:r w:rsidRPr="006B575D">
        <w:t xml:space="preserve">, </w:t>
      </w:r>
      <w:r w:rsidR="009C2E93" w:rsidRPr="006B575D">
        <w:t xml:space="preserve">models were estimated </w:t>
      </w:r>
      <w:r w:rsidR="00B71895" w:rsidRPr="006B575D">
        <w:t>separately</w:t>
      </w:r>
      <w:r w:rsidR="009C2E93" w:rsidRPr="006B575D">
        <w:t xml:space="preserve"> pre</w:t>
      </w:r>
      <w:r w:rsidR="002533E0" w:rsidRPr="006B575D">
        <w:t>-</w:t>
      </w:r>
      <w:r w:rsidR="009C2E93" w:rsidRPr="006B575D">
        <w:t>menopausal and post</w:t>
      </w:r>
      <w:r w:rsidR="002533E0" w:rsidRPr="006B575D">
        <w:t>-</w:t>
      </w:r>
      <w:r w:rsidR="009C2E93" w:rsidRPr="006B575D">
        <w:t xml:space="preserve">menopausal women. </w:t>
      </w:r>
      <w:bookmarkEnd w:id="6"/>
      <w:r w:rsidR="00017A0F" w:rsidRPr="006B575D">
        <w:t>E</w:t>
      </w:r>
      <w:r w:rsidR="008024FF" w:rsidRPr="006B575D">
        <w:t>quation</w:t>
      </w:r>
      <w:r w:rsidR="00017A0F" w:rsidRPr="006B575D">
        <w:t>s</w:t>
      </w:r>
      <w:r w:rsidR="008024FF" w:rsidRPr="006B575D">
        <w:t xml:space="preserve"> for each regression </w:t>
      </w:r>
      <w:r w:rsidR="00017A0F" w:rsidRPr="006B575D">
        <w:t xml:space="preserve">are provided in </w:t>
      </w:r>
      <w:r w:rsidR="00017A0F" w:rsidRPr="006B575D">
        <w:rPr>
          <w:b/>
          <w:bCs/>
        </w:rPr>
        <w:t>ESM Text 1</w:t>
      </w:r>
      <w:r w:rsidR="00017A0F" w:rsidRPr="006B575D">
        <w:t>.</w:t>
      </w:r>
      <w:r w:rsidR="009E19FC" w:rsidRPr="006B575D">
        <w:t xml:space="preserve"> </w:t>
      </w:r>
    </w:p>
    <w:p w14:paraId="614D281C" w14:textId="77777777" w:rsidR="00017A0F" w:rsidRPr="006B575D" w:rsidRDefault="00017A0F" w:rsidP="008406FB">
      <w:pPr>
        <w:shd w:val="clear" w:color="auto" w:fill="FFFFFF"/>
        <w:spacing w:line="480" w:lineRule="auto"/>
      </w:pPr>
    </w:p>
    <w:p w14:paraId="76A85ADA" w14:textId="1278E319" w:rsidR="000A073E" w:rsidRPr="006B575D" w:rsidRDefault="008406FB" w:rsidP="008406FB">
      <w:pPr>
        <w:shd w:val="clear" w:color="auto" w:fill="FFFFFF"/>
        <w:spacing w:line="480" w:lineRule="auto"/>
      </w:pPr>
      <w:r w:rsidRPr="006B575D">
        <w:t xml:space="preserve">Figure </w:t>
      </w:r>
      <w:r w:rsidR="00A949FD" w:rsidRPr="006B575D">
        <w:t>4</w:t>
      </w:r>
      <w:r w:rsidRPr="006B575D">
        <w:t xml:space="preserve"> was generated using Stata through post-estimation marginal standardization postestimation commands in Stata for regressions adjusting for the distribution of other covariates </w:t>
      </w:r>
      <w:r w:rsidR="00BD06AD" w:rsidRPr="006B575D">
        <w:fldChar w:fldCharType="begin" w:fldLock="1"/>
      </w:r>
      <w:r w:rsidR="00E87E02" w:rsidRPr="006B575D">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67&lt;/sup&gt;","plainTextFormattedCitation":"67","previouslyFormattedCitation":"&lt;sup&gt;67&lt;/sup&gt;"},"properties":{"noteIndex":0},"schema":"https://github.com/citation-style-language/schema/raw/master/csl-citation.json"}</w:instrText>
      </w:r>
      <w:r w:rsidR="00BD06AD" w:rsidRPr="006B575D">
        <w:fldChar w:fldCharType="separate"/>
      </w:r>
      <w:r w:rsidR="00764EF3" w:rsidRPr="006B575D">
        <w:rPr>
          <w:noProof/>
          <w:vertAlign w:val="superscript"/>
        </w:rPr>
        <w:t>67</w:t>
      </w:r>
      <w:r w:rsidR="00BD06AD" w:rsidRPr="006B575D">
        <w:fldChar w:fldCharType="end"/>
      </w:r>
      <w:r w:rsidRPr="006B575D">
        <w:t xml:space="preserve">. The y-axes in these figures represent the extent to which chronological age deviates from biological age. </w:t>
      </w:r>
      <w:bookmarkStart w:id="7" w:name="_Hlk54186141"/>
      <w:r w:rsidR="002C57DC" w:rsidRPr="006B575D">
        <w:t xml:space="preserve">For each measure, this presents the difference between </w:t>
      </w:r>
      <w:r w:rsidR="009C2E93" w:rsidRPr="006B575D">
        <w:t xml:space="preserve">observed biological age </w:t>
      </w:r>
      <w:r w:rsidR="002C57DC" w:rsidRPr="006B575D">
        <w:t xml:space="preserve">and </w:t>
      </w:r>
      <w:r w:rsidR="00A949FD" w:rsidRPr="006B575D">
        <w:t>biological</w:t>
      </w:r>
      <w:r w:rsidR="002C57DC" w:rsidRPr="006B575D">
        <w:t xml:space="preserve"> age predicted by </w:t>
      </w:r>
      <w:r w:rsidR="00A949FD" w:rsidRPr="006B575D">
        <w:t xml:space="preserve">chronological </w:t>
      </w:r>
      <w:r w:rsidR="002C57DC" w:rsidRPr="006B575D">
        <w:t xml:space="preserve">age (i.e., the residual of </w:t>
      </w:r>
      <w:r w:rsidR="00A949FD" w:rsidRPr="006B575D">
        <w:t>each biological aging measure</w:t>
      </w:r>
      <w:r w:rsidR="002C57DC" w:rsidRPr="006B575D">
        <w:t xml:space="preserve"> regressed onto the </w:t>
      </w:r>
      <w:r w:rsidR="00A949FD" w:rsidRPr="006B575D">
        <w:t>chronological age</w:t>
      </w:r>
      <w:r w:rsidR="002C57DC" w:rsidRPr="006B575D">
        <w:t xml:space="preserve">). </w:t>
      </w:r>
      <w:r w:rsidRPr="006B575D">
        <w:t xml:space="preserve">In all </w:t>
      </w:r>
      <w:r w:rsidR="007466FC" w:rsidRPr="006B575D">
        <w:t>four</w:t>
      </w:r>
      <w:r w:rsidRPr="006B575D">
        <w:t xml:space="preserve"> cases, positive values indicate aging </w:t>
      </w:r>
      <w:r w:rsidR="00A949FD" w:rsidRPr="006B575D">
        <w:t xml:space="preserve">acceleration </w:t>
      </w:r>
      <w:r w:rsidRPr="006B575D">
        <w:t>(</w:t>
      </w:r>
      <w:r w:rsidR="00A949FD" w:rsidRPr="006B575D">
        <w:t xml:space="preserve">biological </w:t>
      </w:r>
      <w:r w:rsidRPr="006B575D">
        <w:t xml:space="preserve">age &gt; </w:t>
      </w:r>
      <w:r w:rsidR="00A949FD" w:rsidRPr="006B575D">
        <w:t xml:space="preserve">chronological </w:t>
      </w:r>
      <w:r w:rsidRPr="006B575D">
        <w:t xml:space="preserve">age) while negative values indicate age </w:t>
      </w:r>
      <w:r w:rsidR="00A949FD" w:rsidRPr="006B575D">
        <w:t xml:space="preserve">deceleration </w:t>
      </w:r>
      <w:r w:rsidRPr="006B575D">
        <w:t>(</w:t>
      </w:r>
      <w:r w:rsidR="00A949FD" w:rsidRPr="006B575D">
        <w:t xml:space="preserve">biological </w:t>
      </w:r>
      <w:r w:rsidRPr="006B575D">
        <w:t xml:space="preserve">age &lt; </w:t>
      </w:r>
      <w:r w:rsidR="00A949FD" w:rsidRPr="006B575D">
        <w:t xml:space="preserve">chronological </w:t>
      </w:r>
      <w:r w:rsidRPr="006B575D">
        <w:t xml:space="preserve">age).  </w:t>
      </w:r>
      <w:bookmarkEnd w:id="7"/>
    </w:p>
    <w:p w14:paraId="33B242A6" w14:textId="77777777" w:rsidR="000A073E" w:rsidRPr="006B575D" w:rsidRDefault="000A073E" w:rsidP="008406FB">
      <w:pPr>
        <w:shd w:val="clear" w:color="auto" w:fill="FFFFFF"/>
        <w:spacing w:line="480" w:lineRule="auto"/>
      </w:pPr>
    </w:p>
    <w:p w14:paraId="58B3B20B" w14:textId="77777777" w:rsidR="000A073E" w:rsidRPr="006B575D" w:rsidRDefault="008406FB" w:rsidP="008406FB">
      <w:pPr>
        <w:shd w:val="clear" w:color="auto" w:fill="FFFFFF"/>
        <w:spacing w:line="480" w:lineRule="auto"/>
        <w:rPr>
          <w:i/>
        </w:rPr>
      </w:pPr>
      <w:r w:rsidRPr="006B575D">
        <w:rPr>
          <w:i/>
        </w:rPr>
        <w:t>Sensitivity analyses</w:t>
      </w:r>
    </w:p>
    <w:p w14:paraId="00C244BD" w14:textId="77777777" w:rsidR="000A073E" w:rsidRPr="006B575D" w:rsidRDefault="008406FB" w:rsidP="008406FB">
      <w:pPr>
        <w:shd w:val="clear" w:color="auto" w:fill="FFFFFF"/>
        <w:spacing w:line="480" w:lineRule="auto"/>
      </w:pPr>
      <w:r w:rsidRPr="006B575D">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sidRPr="006B575D">
        <w:rPr>
          <w:i/>
        </w:rPr>
        <w:t>r</w:t>
      </w:r>
      <w:r w:rsidRPr="006B575D">
        <w:t xml:space="preserve"> = 0.29 and 0.28, respectively; </w:t>
      </w:r>
      <w:r w:rsidRPr="006B575D">
        <w:rPr>
          <w:i/>
        </w:rPr>
        <w:t>p</w:t>
      </w:r>
      <w:r w:rsidRPr="006B575D">
        <w:t xml:space="preserve"> &lt; 0.001).</w:t>
      </w:r>
    </w:p>
    <w:p w14:paraId="37D3B9FD" w14:textId="77777777" w:rsidR="000A073E" w:rsidRPr="006B575D" w:rsidRDefault="000A073E" w:rsidP="008406FB">
      <w:pPr>
        <w:shd w:val="clear" w:color="auto" w:fill="FFFFFF"/>
        <w:spacing w:line="480" w:lineRule="auto"/>
      </w:pPr>
    </w:p>
    <w:p w14:paraId="5092E2A5" w14:textId="5BE3EA0A" w:rsidR="000A073E" w:rsidRPr="006B575D" w:rsidRDefault="008406FB" w:rsidP="008406FB">
      <w:pPr>
        <w:shd w:val="clear" w:color="auto" w:fill="FFFFFF"/>
        <w:spacing w:line="480" w:lineRule="auto"/>
      </w:pPr>
      <w:r w:rsidRPr="006B575D">
        <w:t xml:space="preserve">We then estimated a second </w:t>
      </w:r>
      <w:r w:rsidR="0054697D" w:rsidRPr="006B575D">
        <w:t xml:space="preserve">and third </w:t>
      </w:r>
      <w:r w:rsidRPr="006B575D">
        <w:t xml:space="preserve">set of sensitivity analyses, with time since last birth used to create additional model terms. </w:t>
      </w:r>
      <w:r w:rsidR="002533E0" w:rsidRPr="006B575D">
        <w:t xml:space="preserve">We did not include time since last birth in our primary analyses for two reasons. </w:t>
      </w:r>
      <w:r w:rsidRPr="006B575D">
        <w:t xml:space="preserve">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w:t>
      </w:r>
      <w:r w:rsidR="00C079F9" w:rsidRPr="006B575D">
        <w:t>durable</w:t>
      </w:r>
      <w:r w:rsidRPr="006B575D">
        <w:t xml:space="preserve"> and accumulate over time, or </w:t>
      </w:r>
      <w:r w:rsidR="00C079F9" w:rsidRPr="006B575D">
        <w:t>transient</w:t>
      </w:r>
      <w:r w:rsidRPr="006B575D">
        <w:t xml:space="preserve"> and only present in the postnatal period. To assess potential </w:t>
      </w:r>
      <w:r w:rsidR="00C079F9" w:rsidRPr="006B575D">
        <w:t>durable</w:t>
      </w:r>
      <w:r w:rsidRPr="006B575D">
        <w:t xml:space="preserve"> effects</w:t>
      </w:r>
      <w:r w:rsidR="002533E0" w:rsidRPr="006B575D">
        <w:t xml:space="preserve"> of parity on biological aging</w:t>
      </w:r>
      <w:r w:rsidRPr="006B575D">
        <w:t xml:space="preserve">, years since last birth was calculated for women across all survey cycles as age of last live birth subtracted from current chronological age. To assess potential </w:t>
      </w:r>
      <w:r w:rsidR="00C079F9" w:rsidRPr="006B575D">
        <w:t>transient</w:t>
      </w:r>
      <w:r w:rsidRPr="006B575D">
        <w:t xml:space="preserve"> effects data on months since </w:t>
      </w:r>
      <w:r w:rsidRPr="006B575D">
        <w:lastRenderedPageBreak/>
        <w:t xml:space="preserve">last birth was available for women sampled in the 2007-2008 and 2009-2010 cycles. We estimated one set of regressions exactly as described above for our primary </w:t>
      </w:r>
      <w:proofErr w:type="gramStart"/>
      <w:r w:rsidRPr="006B575D">
        <w:t>analyses, and</w:t>
      </w:r>
      <w:proofErr w:type="gramEnd"/>
      <w:r w:rsidRPr="006B575D">
        <w:t xml:space="preserve"> added terms for the main effect of years since last birth and interactions between years since last birth and parity</w:t>
      </w:r>
      <w:r w:rsidR="0054697D" w:rsidRPr="006B575D">
        <w:t xml:space="preserve"> (</w:t>
      </w:r>
      <w:r w:rsidR="00236A18" w:rsidRPr="006B575D">
        <w:t>s</w:t>
      </w:r>
      <w:r w:rsidR="0054697D" w:rsidRPr="006B575D">
        <w:t>ensitivity analysis 2)</w:t>
      </w:r>
      <w:r w:rsidRPr="006B575D">
        <w:t>. We then estimated a</w:t>
      </w:r>
      <w:r w:rsidR="0054697D" w:rsidRPr="006B575D">
        <w:t xml:space="preserve">dditional </w:t>
      </w:r>
      <w:r w:rsidRPr="006B575D">
        <w:t>set of regressions exactly as described above for our primary analyses and added terms for the main effect of months since last birth and interactions between months since last birth and parity</w:t>
      </w:r>
      <w:r w:rsidR="0054697D" w:rsidRPr="006B575D">
        <w:t xml:space="preserve"> (</w:t>
      </w:r>
      <w:r w:rsidR="00236A18" w:rsidRPr="006B575D">
        <w:t>s</w:t>
      </w:r>
      <w:r w:rsidR="0054697D" w:rsidRPr="006B575D">
        <w:t>ensitivity analysis 3)</w:t>
      </w:r>
      <w:r w:rsidRPr="006B575D">
        <w:t>; however,</w:t>
      </w:r>
      <w:r w:rsidR="0054697D" w:rsidRPr="006B575D">
        <w:t xml:space="preserve"> this analysis was conducted in pre</w:t>
      </w:r>
      <w:r w:rsidR="002533E0" w:rsidRPr="006B575D">
        <w:t>-</w:t>
      </w:r>
      <w:r w:rsidR="0054697D" w:rsidRPr="006B575D">
        <w:t>menopausal women only</w:t>
      </w:r>
      <w:r w:rsidRPr="006B575D">
        <w:t xml:space="preserve"> since data on months since last birth were not available for any post</w:t>
      </w:r>
      <w:r w:rsidR="002533E0" w:rsidRPr="006B575D">
        <w:t>-</w:t>
      </w:r>
      <w:r w:rsidRPr="006B575D">
        <w:t xml:space="preserve">menopausal women. </w:t>
      </w:r>
    </w:p>
    <w:p w14:paraId="2E0DC10A" w14:textId="77777777" w:rsidR="000A073E" w:rsidRPr="006B575D" w:rsidRDefault="000A073E" w:rsidP="008406FB">
      <w:pPr>
        <w:shd w:val="clear" w:color="auto" w:fill="FFFFFF"/>
        <w:spacing w:line="480" w:lineRule="auto"/>
      </w:pPr>
    </w:p>
    <w:p w14:paraId="60B36217" w14:textId="68A88674" w:rsidR="000A073E" w:rsidRPr="006B575D" w:rsidRDefault="008406FB" w:rsidP="008406FB">
      <w:pPr>
        <w:shd w:val="clear" w:color="auto" w:fill="FFFFFF"/>
        <w:spacing w:line="480" w:lineRule="auto"/>
        <w:rPr>
          <w:b/>
        </w:rPr>
      </w:pPr>
      <w:r w:rsidRPr="006B575D">
        <w:rPr>
          <w:b/>
        </w:rPr>
        <w:t>3. Results</w:t>
      </w:r>
    </w:p>
    <w:p w14:paraId="243B0807" w14:textId="77777777" w:rsidR="00DA7505" w:rsidRPr="006B575D" w:rsidRDefault="00DA7505" w:rsidP="008406FB">
      <w:pPr>
        <w:shd w:val="clear" w:color="auto" w:fill="FFFFFF"/>
        <w:spacing w:line="480" w:lineRule="auto"/>
        <w:rPr>
          <w:b/>
        </w:rPr>
      </w:pPr>
    </w:p>
    <w:p w14:paraId="569861F9" w14:textId="0B06E18C" w:rsidR="00DA7505" w:rsidRPr="006B575D" w:rsidRDefault="00DA7505" w:rsidP="00DA7505">
      <w:pPr>
        <w:shd w:val="clear" w:color="auto" w:fill="FFFFFF"/>
        <w:spacing w:line="480" w:lineRule="auto"/>
        <w:rPr>
          <w:i/>
          <w:iCs/>
        </w:rPr>
      </w:pPr>
      <w:bookmarkStart w:id="8" w:name="_Hlk54186205"/>
      <w:r w:rsidRPr="006B575D">
        <w:rPr>
          <w:i/>
          <w:iCs/>
        </w:rPr>
        <w:t>Differences between pre</w:t>
      </w:r>
      <w:r w:rsidR="002533E0" w:rsidRPr="006B575D">
        <w:rPr>
          <w:i/>
          <w:iCs/>
        </w:rPr>
        <w:t>-</w:t>
      </w:r>
      <w:r w:rsidRPr="006B575D">
        <w:rPr>
          <w:i/>
          <w:iCs/>
        </w:rPr>
        <w:t>menopausal and post</w:t>
      </w:r>
      <w:r w:rsidR="002533E0" w:rsidRPr="006B575D">
        <w:rPr>
          <w:i/>
          <w:iCs/>
        </w:rPr>
        <w:t>-</w:t>
      </w:r>
      <w:r w:rsidRPr="006B575D">
        <w:rPr>
          <w:i/>
          <w:iCs/>
        </w:rPr>
        <w:t>menopausal women</w:t>
      </w:r>
    </w:p>
    <w:p w14:paraId="5CC6F4CE" w14:textId="069E43E2" w:rsidR="000A073E" w:rsidRPr="006B575D" w:rsidRDefault="007B2EA2" w:rsidP="008406FB">
      <w:pPr>
        <w:shd w:val="clear" w:color="auto" w:fill="FFFFFF"/>
        <w:spacing w:line="480" w:lineRule="auto"/>
      </w:pPr>
      <w:r w:rsidRPr="006B575D">
        <w:t>Demographic differences and differences in biological age acceleration are presented in Table 1. When adjusting for demographic differences, pre</w:t>
      </w:r>
      <w:r w:rsidR="002533E0" w:rsidRPr="006B575D">
        <w:t>-</w:t>
      </w:r>
      <w:r w:rsidRPr="006B575D">
        <w:t>menopausal women exhibited significantly lower LM and KDM biological age acceleration relative to post</w:t>
      </w:r>
      <w:r w:rsidR="002533E0" w:rsidRPr="006B575D">
        <w:t>-</w:t>
      </w:r>
      <w:r w:rsidRPr="006B575D">
        <w:t>menopausal women.</w:t>
      </w:r>
    </w:p>
    <w:p w14:paraId="5E101550" w14:textId="77777777" w:rsidR="00DA7505" w:rsidRPr="006B575D" w:rsidRDefault="00DA7505" w:rsidP="008406FB">
      <w:pPr>
        <w:shd w:val="clear" w:color="auto" w:fill="FFFFFF"/>
        <w:spacing w:line="480" w:lineRule="auto"/>
      </w:pPr>
    </w:p>
    <w:p w14:paraId="567DC6C0" w14:textId="5F248239" w:rsidR="003811F0" w:rsidRPr="006B575D" w:rsidRDefault="003811F0" w:rsidP="008406FB">
      <w:pPr>
        <w:shd w:val="clear" w:color="auto" w:fill="FFFFFF"/>
        <w:spacing w:line="480" w:lineRule="auto"/>
        <w:rPr>
          <w:i/>
          <w:iCs/>
        </w:rPr>
      </w:pPr>
      <w:r w:rsidRPr="006B575D">
        <w:rPr>
          <w:i/>
          <w:iCs/>
        </w:rPr>
        <w:t>Pre</w:t>
      </w:r>
      <w:r w:rsidR="002533E0" w:rsidRPr="006B575D">
        <w:rPr>
          <w:i/>
          <w:iCs/>
        </w:rPr>
        <w:t>-</w:t>
      </w:r>
      <w:r w:rsidRPr="006B575D">
        <w:rPr>
          <w:i/>
          <w:iCs/>
        </w:rPr>
        <w:t xml:space="preserve">menopausal women </w:t>
      </w:r>
    </w:p>
    <w:p w14:paraId="3F3A0098" w14:textId="16F675C2" w:rsidR="000A073E" w:rsidRPr="006B575D" w:rsidRDefault="009E19FC" w:rsidP="008406FB">
      <w:pPr>
        <w:shd w:val="clear" w:color="auto" w:fill="FFFFFF"/>
        <w:spacing w:line="480" w:lineRule="auto"/>
      </w:pPr>
      <w:r w:rsidRPr="006B575D">
        <w:t>The linear effect of number of live births</w:t>
      </w:r>
      <w:r w:rsidR="009C2E93" w:rsidRPr="006B575D">
        <w:t xml:space="preserve"> and </w:t>
      </w:r>
      <w:r w:rsidR="00764EF3" w:rsidRPr="006B575D">
        <w:t xml:space="preserve">squared term, or </w:t>
      </w:r>
      <w:r w:rsidRPr="006B575D">
        <w:t>quadratic effect</w:t>
      </w:r>
      <w:r w:rsidR="00764EF3" w:rsidRPr="006B575D">
        <w:t>,</w:t>
      </w:r>
      <w:r w:rsidRPr="006B575D">
        <w:t xml:space="preserve"> of live births</w:t>
      </w:r>
      <w:r w:rsidR="009C2E93" w:rsidRPr="006B575D">
        <w:t xml:space="preserve"> </w:t>
      </w:r>
      <w:r w:rsidR="002D5B28" w:rsidRPr="006B575D">
        <w:t xml:space="preserve">was </w:t>
      </w:r>
      <w:r w:rsidRPr="006B575D">
        <w:t xml:space="preserve">not significant in any primary model </w:t>
      </w:r>
      <w:r w:rsidR="009C2E93" w:rsidRPr="006B575D">
        <w:t>in pre</w:t>
      </w:r>
      <w:r w:rsidR="002533E0" w:rsidRPr="006B575D">
        <w:t>-</w:t>
      </w:r>
      <w:r w:rsidR="009C2E93" w:rsidRPr="006B575D">
        <w:t xml:space="preserve">menopausal women </w:t>
      </w:r>
      <w:r w:rsidRPr="006B575D">
        <w:t>(</w:t>
      </w:r>
      <w:r w:rsidR="002D5B28" w:rsidRPr="006B575D">
        <w:rPr>
          <w:i/>
          <w:iCs/>
        </w:rPr>
        <w:t>n</w:t>
      </w:r>
      <w:r w:rsidR="002D5B28" w:rsidRPr="006B575D">
        <w:t xml:space="preserve"> = 2,166; </w:t>
      </w:r>
      <w:r w:rsidRPr="006B575D">
        <w:t xml:space="preserve">see </w:t>
      </w:r>
      <w:r w:rsidRPr="006B575D">
        <w:rPr>
          <w:b/>
          <w:bCs/>
        </w:rPr>
        <w:t xml:space="preserve">Table </w:t>
      </w:r>
      <w:r w:rsidR="007B2EA2" w:rsidRPr="006B575D">
        <w:rPr>
          <w:b/>
          <w:bCs/>
        </w:rPr>
        <w:t>2</w:t>
      </w:r>
      <w:r w:rsidR="002C760A" w:rsidRPr="006B575D">
        <w:rPr>
          <w:b/>
          <w:bCs/>
        </w:rPr>
        <w:t xml:space="preserve">; Figure </w:t>
      </w:r>
      <w:r w:rsidR="005E5BDB" w:rsidRPr="006B575D">
        <w:rPr>
          <w:b/>
          <w:bCs/>
        </w:rPr>
        <w:t>4</w:t>
      </w:r>
      <w:r w:rsidRPr="006B575D">
        <w:t xml:space="preserve">). </w:t>
      </w:r>
      <w:r w:rsidR="004E19F4" w:rsidRPr="006B575D">
        <w:t>S</w:t>
      </w:r>
      <w:r w:rsidR="008406FB" w:rsidRPr="006B575D">
        <w:t>ample sizes for our sensitivity analyses controlling for chronological age only were slightly larger (</w:t>
      </w:r>
      <w:r w:rsidR="008406FB" w:rsidRPr="006B575D">
        <w:rPr>
          <w:i/>
        </w:rPr>
        <w:t>n</w:t>
      </w:r>
      <w:r w:rsidR="008406FB" w:rsidRPr="006B575D">
        <w:t xml:space="preserve"> = </w:t>
      </w:r>
      <w:r w:rsidR="004E19F4" w:rsidRPr="006B575D">
        <w:t>2,686</w:t>
      </w:r>
      <w:r w:rsidR="008406FB" w:rsidRPr="006B575D">
        <w:t xml:space="preserve">), as less participants were excluded due to missing covariate information. </w:t>
      </w:r>
      <w:proofErr w:type="gramStart"/>
      <w:r w:rsidR="002C760A" w:rsidRPr="006B575D">
        <w:t>Similar to</w:t>
      </w:r>
      <w:proofErr w:type="gramEnd"/>
      <w:r w:rsidR="002C760A" w:rsidRPr="006B575D">
        <w:t xml:space="preserve"> our primary analyses, the main effects of live births (both linear and quadratic terms) were not significant across all measures of biological age (</w:t>
      </w:r>
      <w:r w:rsidR="002C760A" w:rsidRPr="006B575D">
        <w:rPr>
          <w:b/>
          <w:bCs/>
        </w:rPr>
        <w:t xml:space="preserve">Table </w:t>
      </w:r>
      <w:r w:rsidR="007B2EA2" w:rsidRPr="006B575D">
        <w:rPr>
          <w:b/>
          <w:bCs/>
        </w:rPr>
        <w:t>2</w:t>
      </w:r>
      <w:r w:rsidR="002C760A" w:rsidRPr="006B575D">
        <w:t xml:space="preserve">). </w:t>
      </w:r>
      <w:r w:rsidR="005F475E" w:rsidRPr="006B575D">
        <w:t xml:space="preserve">Repetition of these analyses in the primary analytical sample yielded the same pattern of results. </w:t>
      </w:r>
      <w:r w:rsidR="008406FB" w:rsidRPr="006B575D">
        <w:t xml:space="preserve">Of the </w:t>
      </w:r>
      <w:r w:rsidR="004E19F4" w:rsidRPr="006B575D">
        <w:t>2,166 pre</w:t>
      </w:r>
      <w:r w:rsidR="002533E0" w:rsidRPr="006B575D">
        <w:t>-</w:t>
      </w:r>
      <w:r w:rsidR="004E19F4" w:rsidRPr="006B575D">
        <w:t xml:space="preserve">menopausal </w:t>
      </w:r>
      <w:r w:rsidR="008406FB" w:rsidRPr="006B575D">
        <w:t xml:space="preserve">women in our primary analyses, data on years since last live birth were available for </w:t>
      </w:r>
      <w:r w:rsidR="004E19F4" w:rsidRPr="006B575D">
        <w:t>1,617</w:t>
      </w:r>
      <w:r w:rsidR="008406FB" w:rsidRPr="006B575D">
        <w:t xml:space="preserve">. The average years since last live birth was </w:t>
      </w:r>
      <w:r w:rsidR="004E19F4" w:rsidRPr="006B575D">
        <w:t>8.87</w:t>
      </w:r>
      <w:r w:rsidR="008406FB" w:rsidRPr="006B575D">
        <w:t xml:space="preserve"> (SE = 0.</w:t>
      </w:r>
      <w:r w:rsidR="004E19F4" w:rsidRPr="006B575D">
        <w:t>19</w:t>
      </w:r>
      <w:r w:rsidR="008406FB" w:rsidRPr="006B575D">
        <w:t xml:space="preserve">). </w:t>
      </w:r>
      <w:r w:rsidR="0069035A" w:rsidRPr="006B575D">
        <w:t>After correcting for multiple comparisons, t</w:t>
      </w:r>
      <w:r w:rsidR="008406FB" w:rsidRPr="006B575D">
        <w:t xml:space="preserve">he main effect of years since last live birth was </w:t>
      </w:r>
      <w:r w:rsidR="008406FB" w:rsidRPr="006B575D">
        <w:lastRenderedPageBreak/>
        <w:t xml:space="preserve">not significant in any model, nor were any of the interaction terms between years </w:t>
      </w:r>
      <w:r w:rsidR="0069035A" w:rsidRPr="006B575D">
        <w:t>since</w:t>
      </w:r>
      <w:r w:rsidR="008406FB" w:rsidRPr="006B575D">
        <w:t xml:space="preserve"> last live birth and parity (</w:t>
      </w:r>
      <w:r w:rsidR="0069035A" w:rsidRPr="006B575D">
        <w:rPr>
          <w:b/>
        </w:rPr>
        <w:t xml:space="preserve">Table </w:t>
      </w:r>
      <w:r w:rsidR="007B2EA2" w:rsidRPr="006B575D">
        <w:rPr>
          <w:b/>
        </w:rPr>
        <w:t>2</w:t>
      </w:r>
      <w:r w:rsidR="008406FB" w:rsidRPr="006B575D">
        <w:t>).</w:t>
      </w:r>
    </w:p>
    <w:p w14:paraId="4FD0157A" w14:textId="77777777" w:rsidR="0054697D" w:rsidRPr="006B575D" w:rsidRDefault="0054697D" w:rsidP="008406FB">
      <w:pPr>
        <w:shd w:val="clear" w:color="auto" w:fill="FFFFFF"/>
        <w:spacing w:line="480" w:lineRule="auto"/>
      </w:pPr>
    </w:p>
    <w:p w14:paraId="2B5F00B5" w14:textId="07674324" w:rsidR="0069035A" w:rsidRPr="006B575D" w:rsidRDefault="008406FB" w:rsidP="0069035A">
      <w:pPr>
        <w:shd w:val="clear" w:color="auto" w:fill="FFFFFF"/>
        <w:spacing w:line="480" w:lineRule="auto"/>
      </w:pPr>
      <w:r w:rsidRPr="006B575D">
        <w:t>Our sample size for analyses including months since last live birth (</w:t>
      </w:r>
      <w:r w:rsidRPr="006B575D">
        <w:rPr>
          <w:i/>
        </w:rPr>
        <w:t>n</w:t>
      </w:r>
      <w:r w:rsidRPr="006B575D">
        <w:t xml:space="preserve"> = 107) was significantly limited by the fact that this subsample excluded all post</w:t>
      </w:r>
      <w:r w:rsidR="002533E0" w:rsidRPr="006B575D">
        <w:t>-</w:t>
      </w:r>
      <w:r w:rsidRPr="006B575D">
        <w:t>menopausal women, and excluded women sampled prior to this question being added in the 2007-2008 cycle. On average, women with valid responses to this question gave birth 10.</w:t>
      </w:r>
      <w:r w:rsidR="006A2045" w:rsidRPr="006B575D">
        <w:t>7</w:t>
      </w:r>
      <w:r w:rsidRPr="006B575D">
        <w:t xml:space="preserve"> months ago (SE = 0.</w:t>
      </w:r>
      <w:r w:rsidR="006A2045" w:rsidRPr="006B575D">
        <w:t>63</w:t>
      </w:r>
      <w:r w:rsidRPr="006B575D">
        <w:t xml:space="preserve">). </w:t>
      </w:r>
      <w:r w:rsidR="0069035A" w:rsidRPr="006B575D">
        <w:t>After correcting for multiple comparisons, the main effects of months since last live birth and parity was not significant in any model, nor were any of the interaction terms between months since last live birth and parity (</w:t>
      </w:r>
      <w:r w:rsidR="0069035A" w:rsidRPr="006B575D">
        <w:rPr>
          <w:b/>
        </w:rPr>
        <w:t xml:space="preserve">Table </w:t>
      </w:r>
      <w:r w:rsidR="007B2EA2" w:rsidRPr="006B575D">
        <w:rPr>
          <w:b/>
        </w:rPr>
        <w:t>2</w:t>
      </w:r>
      <w:r w:rsidR="0069035A" w:rsidRPr="006B575D">
        <w:t>).</w:t>
      </w:r>
      <w:r w:rsidR="002533E0" w:rsidRPr="006B575D">
        <w:t xml:space="preserve"> These results should be interpreted with caution given the small sample size.</w:t>
      </w:r>
    </w:p>
    <w:p w14:paraId="2E7C6EF4" w14:textId="76AAD7DF" w:rsidR="0069035A" w:rsidRPr="006B575D" w:rsidRDefault="0069035A" w:rsidP="008406FB">
      <w:pPr>
        <w:shd w:val="clear" w:color="auto" w:fill="FFFFFF"/>
        <w:spacing w:line="480" w:lineRule="auto"/>
      </w:pPr>
    </w:p>
    <w:p w14:paraId="516D5A8B" w14:textId="0BDFC46B" w:rsidR="0069035A" w:rsidRPr="006B575D" w:rsidRDefault="00D534A0" w:rsidP="008406FB">
      <w:pPr>
        <w:shd w:val="clear" w:color="auto" w:fill="FFFFFF"/>
        <w:spacing w:line="480" w:lineRule="auto"/>
        <w:rPr>
          <w:i/>
          <w:iCs/>
        </w:rPr>
      </w:pPr>
      <w:r w:rsidRPr="006B575D">
        <w:rPr>
          <w:i/>
          <w:iCs/>
        </w:rPr>
        <w:t>Post</w:t>
      </w:r>
      <w:r w:rsidR="002533E0" w:rsidRPr="006B575D">
        <w:rPr>
          <w:i/>
          <w:iCs/>
        </w:rPr>
        <w:t>-</w:t>
      </w:r>
      <w:r w:rsidRPr="006B575D">
        <w:rPr>
          <w:i/>
          <w:iCs/>
        </w:rPr>
        <w:t>menopausal women</w:t>
      </w:r>
    </w:p>
    <w:p w14:paraId="6335C6E7" w14:textId="1F02F80E" w:rsidR="0054697D" w:rsidRPr="006B575D" w:rsidRDefault="009C2E93" w:rsidP="0054697D">
      <w:pPr>
        <w:shd w:val="clear" w:color="auto" w:fill="FFFFFF"/>
        <w:spacing w:line="480" w:lineRule="auto"/>
      </w:pPr>
      <w:r w:rsidRPr="006B575D">
        <w:t>Primary models in post</w:t>
      </w:r>
      <w:r w:rsidR="002533E0" w:rsidRPr="006B575D">
        <w:t>-</w:t>
      </w:r>
      <w:r w:rsidRPr="006B575D">
        <w:t xml:space="preserve">menopausal women revealed a significant linear effect of live births on biological aging indexed by </w:t>
      </w:r>
      <w:r w:rsidR="00D534A0" w:rsidRPr="006B575D">
        <w:t>LM, HD, and AL</w:t>
      </w:r>
      <w:r w:rsidR="00236A18" w:rsidRPr="006B575D">
        <w:t xml:space="preserve">; the linear effect of live births on KDM was not significant after correction for multiple comparisons </w:t>
      </w:r>
      <w:r w:rsidR="0054697D" w:rsidRPr="006B575D">
        <w:t>(</w:t>
      </w:r>
      <w:r w:rsidR="002D5B28" w:rsidRPr="006B575D">
        <w:rPr>
          <w:i/>
          <w:iCs/>
        </w:rPr>
        <w:t>n</w:t>
      </w:r>
      <w:r w:rsidR="002D5B28" w:rsidRPr="006B575D">
        <w:t xml:space="preserve"> = 2,252; </w:t>
      </w:r>
      <w:r w:rsidR="0054697D" w:rsidRPr="006B575D">
        <w:rPr>
          <w:b/>
          <w:bCs/>
        </w:rPr>
        <w:t xml:space="preserve">Table </w:t>
      </w:r>
      <w:r w:rsidR="000C69A4" w:rsidRPr="006B575D">
        <w:rPr>
          <w:b/>
          <w:bCs/>
        </w:rPr>
        <w:t>3</w:t>
      </w:r>
      <w:r w:rsidR="0054697D" w:rsidRPr="006B575D">
        <w:t xml:space="preserve">). </w:t>
      </w:r>
      <w:r w:rsidRPr="006B575D">
        <w:t xml:space="preserve">After correcting for multiple comparisons, the quadratic effect of parity </w:t>
      </w:r>
      <w:r w:rsidR="00236A18" w:rsidRPr="006B575D">
        <w:t xml:space="preserve">on </w:t>
      </w:r>
      <w:r w:rsidRPr="006B575D">
        <w:t xml:space="preserve">biological aging was significant for </w:t>
      </w:r>
      <w:r w:rsidR="002D5B28" w:rsidRPr="006B575D">
        <w:t>all measures but KDM</w:t>
      </w:r>
      <w:r w:rsidRPr="006B575D">
        <w:t>. Sample sizes for our sensitivity analyses controlling for chronological age only were slightly larger (</w:t>
      </w:r>
      <w:r w:rsidRPr="006B575D">
        <w:rPr>
          <w:i/>
        </w:rPr>
        <w:t>n</w:t>
      </w:r>
      <w:r w:rsidRPr="006B575D">
        <w:t xml:space="preserve"> = 2,498).</w:t>
      </w:r>
      <w:r w:rsidR="0054697D" w:rsidRPr="006B575D">
        <w:t xml:space="preserve"> Similar trends were observed in the first set of sensitivity analyses, wherein the linear effect of live births was significantly associated with LM, HD, and AL</w:t>
      </w:r>
      <w:r w:rsidR="00236A18" w:rsidRPr="006B575D">
        <w:t>.</w:t>
      </w:r>
      <w:r w:rsidR="0054697D" w:rsidRPr="006B575D">
        <w:t xml:space="preserve"> Moreover, the quadratic effect was significant for all four measures, giving rise to the anticipated U-shape for the overall relationship between parity a</w:t>
      </w:r>
      <w:r w:rsidR="00887FF5" w:rsidRPr="006B575D">
        <w:t>n</w:t>
      </w:r>
      <w:r w:rsidR="0054697D" w:rsidRPr="006B575D">
        <w:t>d biological aging (shown in grey on</w:t>
      </w:r>
      <w:r w:rsidR="0054697D" w:rsidRPr="006B575D">
        <w:rPr>
          <w:b/>
          <w:bCs/>
        </w:rPr>
        <w:t xml:space="preserve"> Figure 4</w:t>
      </w:r>
      <w:r w:rsidR="0054697D" w:rsidRPr="006B575D">
        <w:t xml:space="preserve">). </w:t>
      </w:r>
      <w:r w:rsidR="005F475E" w:rsidRPr="006B575D">
        <w:t xml:space="preserve">Repetition of these analyses in the primary analytical sample yielded the same pattern of results. </w:t>
      </w:r>
      <w:r w:rsidR="0054697D" w:rsidRPr="006B575D">
        <w:t>Of the 2,252 post</w:t>
      </w:r>
      <w:r w:rsidR="002533E0" w:rsidRPr="006B575D">
        <w:t>-</w:t>
      </w:r>
      <w:r w:rsidR="0054697D" w:rsidRPr="006B575D">
        <w:t>menopausal women in our primary analyses, data on years since last birth were available for 1,970. The average years since last birth was 36.09 (SE = 0.25). After correcting for multiple comparisons, the main effect of years since last live birth was not significant in any model, nor were any of the interaction terms between years since last live birth and parity (</w:t>
      </w:r>
      <w:r w:rsidR="0054697D" w:rsidRPr="006B575D">
        <w:rPr>
          <w:b/>
        </w:rPr>
        <w:t xml:space="preserve">Table </w:t>
      </w:r>
      <w:r w:rsidR="000C69A4" w:rsidRPr="006B575D">
        <w:rPr>
          <w:b/>
        </w:rPr>
        <w:t>3</w:t>
      </w:r>
      <w:r w:rsidR="0054697D" w:rsidRPr="006B575D">
        <w:t>).</w:t>
      </w:r>
    </w:p>
    <w:bookmarkEnd w:id="8"/>
    <w:p w14:paraId="68B68F29" w14:textId="77777777" w:rsidR="0054697D" w:rsidRPr="006B575D" w:rsidRDefault="0054697D" w:rsidP="008406FB">
      <w:pPr>
        <w:shd w:val="clear" w:color="auto" w:fill="FFFFFF"/>
        <w:spacing w:line="480" w:lineRule="auto"/>
      </w:pPr>
    </w:p>
    <w:p w14:paraId="2CB2B0EC" w14:textId="77777777" w:rsidR="000A073E" w:rsidRPr="006B575D" w:rsidRDefault="008406FB" w:rsidP="008406FB">
      <w:pPr>
        <w:shd w:val="clear" w:color="auto" w:fill="FFFFFF"/>
        <w:spacing w:line="480" w:lineRule="auto"/>
      </w:pPr>
      <w:r w:rsidRPr="006B575D">
        <w:rPr>
          <w:b/>
        </w:rPr>
        <w:t>4. Discussion</w:t>
      </w:r>
    </w:p>
    <w:p w14:paraId="5E3A05DB" w14:textId="77777777" w:rsidR="000A073E" w:rsidRPr="006B575D" w:rsidRDefault="000A073E" w:rsidP="008406FB">
      <w:pPr>
        <w:shd w:val="clear" w:color="auto" w:fill="FFFFFF"/>
        <w:spacing w:line="480" w:lineRule="auto"/>
      </w:pPr>
    </w:p>
    <w:p w14:paraId="1B69D907" w14:textId="7D0E47AE" w:rsidR="002533E0" w:rsidRPr="006B575D" w:rsidRDefault="002533E0" w:rsidP="002533E0">
      <w:pPr>
        <w:shd w:val="clear" w:color="auto" w:fill="FFFFFF"/>
        <w:spacing w:line="480" w:lineRule="auto"/>
      </w:pPr>
      <w:r w:rsidRPr="006B575D">
        <w:t>We tested</w:t>
      </w:r>
      <w:r w:rsidR="008406FB" w:rsidRPr="006B575D">
        <w:t xml:space="preserve"> putative physiological costs of reproduction</w:t>
      </w:r>
      <w:r w:rsidRPr="006B575D">
        <w:t xml:space="preserve"> using</w:t>
      </w:r>
      <w:r w:rsidR="008406FB" w:rsidRPr="006B575D">
        <w:t xml:space="preserve"> </w:t>
      </w:r>
      <w:r w:rsidR="007466FC" w:rsidRPr="006B575D">
        <w:t>four</w:t>
      </w:r>
      <w:r w:rsidR="008406FB" w:rsidRPr="006B575D">
        <w:t xml:space="preserve"> validated measures of biological age </w:t>
      </w:r>
      <w:r w:rsidR="007466FC" w:rsidRPr="006B575D">
        <w:t xml:space="preserve">and system integrity </w:t>
      </w:r>
      <w:r w:rsidR="008406FB" w:rsidRPr="006B575D">
        <w:t xml:space="preserve">among a </w:t>
      </w:r>
      <w:proofErr w:type="gramStart"/>
      <w:r w:rsidR="008406FB" w:rsidRPr="006B575D">
        <w:t>nationally-representative</w:t>
      </w:r>
      <w:proofErr w:type="gramEnd"/>
      <w:r w:rsidR="008406FB" w:rsidRPr="006B575D">
        <w:t xml:space="preserve"> sample of US women of reproductive and post-reproductive age. Based on </w:t>
      </w:r>
      <w:r w:rsidRPr="006B575D">
        <w:t>epidemiological studies</w:t>
      </w:r>
      <w:r w:rsidR="008406FB" w:rsidRPr="006B575D">
        <w:t xml:space="preserve">, we hypothesized a U-shaped relationship between parity and biological age. </w:t>
      </w:r>
      <w:r w:rsidRPr="006B575D">
        <w:t xml:space="preserve">Controlling for lifestyle, health-related, and demographic factors, we found evidence that parity is associated with all four measures of biological age among post-menopausal women, although this relationship was not significant for KDM after controlling for multiple comparisons. The relationship between parity and biological age in post-menopausal women is most consistent with a U-shaped pattern, with biological age acceleration reaching a minimum at </w:t>
      </w:r>
      <w:r w:rsidR="006A2E60" w:rsidRPr="006B575D">
        <w:t>3</w:t>
      </w:r>
      <w:r w:rsidRPr="006B575D">
        <w:t>-</w:t>
      </w:r>
      <w:r w:rsidR="006A2E60" w:rsidRPr="006B575D">
        <w:t>4</w:t>
      </w:r>
      <w:r w:rsidRPr="006B575D">
        <w:t xml:space="preserve"> live births and more pronounced aging at either extreme. </w:t>
      </w:r>
      <w:r w:rsidR="006A2E60" w:rsidRPr="006B575D">
        <w:t>P</w:t>
      </w:r>
      <w:r w:rsidRPr="006B575D">
        <w:t xml:space="preserve">arity was not associated with </w:t>
      </w:r>
      <w:r w:rsidR="00226DED" w:rsidRPr="006B575D">
        <w:t xml:space="preserve">any measure of </w:t>
      </w:r>
      <w:r w:rsidRPr="006B575D">
        <w:t>biological aging among pre-menopausal women. Our study represents the first application of biological age composites indexing system integrity (LM, HD, KDM, AL) to quantify costs of reproduction in both pre- and post-menopausal women, and may help to elucidate some of the physiological processes bridging cellular and epidemiological findings relating parity with health and lifespan in women.</w:t>
      </w:r>
    </w:p>
    <w:p w14:paraId="0B3122BB" w14:textId="31BCB3EC" w:rsidR="006F65E2" w:rsidRPr="006B575D" w:rsidRDefault="006F65E2" w:rsidP="002533E0">
      <w:pPr>
        <w:shd w:val="clear" w:color="auto" w:fill="FFFFFF"/>
        <w:spacing w:line="480" w:lineRule="auto"/>
      </w:pPr>
    </w:p>
    <w:p w14:paraId="3F68724F" w14:textId="2E3A4CE1" w:rsidR="006F65E2" w:rsidRPr="006B575D" w:rsidRDefault="006F65E2" w:rsidP="006F65E2">
      <w:pPr>
        <w:shd w:val="clear" w:color="auto" w:fill="FFFFFF"/>
        <w:spacing w:line="480" w:lineRule="auto"/>
      </w:pPr>
      <w:r w:rsidRPr="006B575D">
        <w:rPr>
          <w:lang w:val="en-US"/>
        </w:rPr>
        <w:t xml:space="preserve">Our findings are broadly consistent with evolutionary theory </w:t>
      </w:r>
      <w:r w:rsidRPr="006B575D">
        <w:rPr>
          <w:lang w:val="en-US"/>
        </w:rPr>
        <w:fldChar w:fldCharType="begin" w:fldLock="1"/>
      </w:r>
      <w:r w:rsidRPr="006B575D">
        <w:rPr>
          <w:lang w:val="en-US"/>
        </w:rPr>
        <w:instrText>ADDIN CSL_CITATION {"citationItems":[{"id":"ITEM-1","itemData":{"author":[{"dropping-particle":"","family":"Kirkwood","given":"T.","non-dropping-particle":"","parse-names":false,"suffix":""}],"container-title":"Nature","id":"ITEM-1","issued":{"date-parts":[["1977"]]},"page":"301-304","title":"Evolution of ageing","type":"article-journal","volume":"5635"},"uris":["http://www.mendeley.com/documents/?uuid=74470d60-8efc-4861-935c-047b64df1940"]}],"mendeley":{"formattedCitation":"&lt;sup&gt;68&lt;/sup&gt;","plainTextFormattedCitation":"68","previouslyFormattedCitation":"&lt;sup&gt;68&lt;/sup&gt;"},"properties":{"noteIndex":0},"schema":"https://github.com/citation-style-language/schema/raw/master/csl-citation.json"}</w:instrText>
      </w:r>
      <w:r w:rsidRPr="006B575D">
        <w:rPr>
          <w:lang w:val="en-US"/>
        </w:rPr>
        <w:fldChar w:fldCharType="separate"/>
      </w:r>
      <w:r w:rsidRPr="006B575D">
        <w:rPr>
          <w:noProof/>
          <w:vertAlign w:val="superscript"/>
          <w:lang w:val="en-US"/>
        </w:rPr>
        <w:t>68</w:t>
      </w:r>
      <w:r w:rsidRPr="006B575D">
        <w:rPr>
          <w:lang w:val="en-US"/>
        </w:rPr>
        <w:fldChar w:fldCharType="end"/>
      </w:r>
      <w:r w:rsidRPr="006B575D">
        <w:rPr>
          <w:lang w:val="en-US"/>
        </w:rPr>
        <w:t>, studies of cellular aging and reproduction</w:t>
      </w:r>
      <w:r w:rsidRPr="006B575D">
        <w:rPr>
          <w:lang w:val="en-US"/>
        </w:rPr>
        <w:fldChar w:fldCharType="begin" w:fldLock="1"/>
      </w:r>
      <w:r w:rsidRPr="006B575D">
        <w:rPr>
          <w:lang w:val="en-US"/>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Pr="006B575D">
        <w:rPr>
          <w:lang w:val="en-US"/>
        </w:rPr>
        <w:fldChar w:fldCharType="separate"/>
      </w:r>
      <w:r w:rsidRPr="006B575D">
        <w:rPr>
          <w:noProof/>
          <w:vertAlign w:val="superscript"/>
          <w:lang w:val="en-US"/>
        </w:rPr>
        <w:t>14</w:t>
      </w:r>
      <w:r w:rsidRPr="006B575D">
        <w:rPr>
          <w:lang w:val="en-US"/>
        </w:rPr>
        <w:fldChar w:fldCharType="end"/>
      </w:r>
      <w:r w:rsidRPr="006B575D">
        <w:rPr>
          <w:lang w:val="en-US"/>
        </w:rPr>
        <w:t xml:space="preserve">, and epidemiological studies </w:t>
      </w:r>
      <w:r w:rsidRPr="006B575D">
        <w:rPr>
          <w:lang w:val="en-US"/>
        </w:rPr>
        <w:fldChar w:fldCharType="begin" w:fldLock="1"/>
      </w:r>
      <w:r w:rsidRPr="006B575D">
        <w:rPr>
          <w:lang w:val="en-US"/>
        </w:rPr>
        <w:instrText>ADDIN CSL_CITATION {"citationItems":[{"id":"ITEM-1","itemData":{"DOI":"10.1016/j.neuroimage.2010.05.020","ISSN":"1053-8119","author":[{"dropping-particle":"","family":"Lv","given":"Bin","non-dropping-particle":"","parse-names":false,"suffix":""},{"dropping-particle":"","family":"Li","given":"Jing","non-dropping-particle":"","parse-names":false,"suffix":""},{"dropping-particle":"","family":"He","given":"Huiguang","non-dropping-particle":"","parse-names":false,"suffix":""},{"dropping-particle":"","family":"Li","given":"Meng","non-dropping-particle":"","parse-names":false,"suffix":""},{"dropping-particle":"","family":"Zhao","given":"Mingchang","non-dropping-particle":"","parse-names":false,"suffix":""},{"dropping-particle":"","family":"Ai","given":"Likun","non-dropping-particle":"","parse-names":false,"suffix":""},{"dropping-particle":"","family":"Yan","given":"Fei","non-dropping-particle":"","parse-names":false,"suffix":""},{"dropping-particle":"","family":"Xian","given":"Junfang","non-dropping-particle":"","parse-names":false,"suffix":""},{"dropping-particle":"","family":"Wang","given":"Zhenchang","non-dropping-particle":"","parse-names":false,"suffix":""}],"container-title":"NeuroImage","id":"ITEM-1","issue":"2","issued":{"date-parts":[["2010"]]},"page":"373-382","publisher":"Elsevier B.V.","title":"NeuroImage Gender consistency and difference in healthy adults revealed by cortical thickness","type":"article-journal","volume":"53"},"uris":["http://www.mendeley.com/documents/?uuid=7275856d-906b-49ab-890c-c13970712a53"]},{"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32,69&lt;/sup&gt;","plainTextFormattedCitation":"32,69","previouslyFormattedCitation":"&lt;sup&gt;32,69&lt;/sup&gt;"},"properties":{"noteIndex":0},"schema":"https://github.com/citation-style-language/schema/raw/master/csl-citation.json"}</w:instrText>
      </w:r>
      <w:r w:rsidRPr="006B575D">
        <w:rPr>
          <w:lang w:val="en-US"/>
        </w:rPr>
        <w:fldChar w:fldCharType="separate"/>
      </w:r>
      <w:r w:rsidRPr="006B575D">
        <w:rPr>
          <w:noProof/>
          <w:vertAlign w:val="superscript"/>
          <w:lang w:val="en-US"/>
        </w:rPr>
        <w:t>32,69</w:t>
      </w:r>
      <w:r w:rsidRPr="006B575D">
        <w:rPr>
          <w:lang w:val="en-US"/>
        </w:rPr>
        <w:fldChar w:fldCharType="end"/>
      </w:r>
      <w:r w:rsidRPr="006B575D">
        <w:rPr>
          <w:lang w:val="en-US"/>
        </w:rPr>
        <w:t xml:space="preserve">. Despite evidence supporting costs of reproduction in women from each of these research domains, the physiological processes underlying such costs are still unclear. </w:t>
      </w:r>
      <w:r w:rsidRPr="006B575D">
        <w:t>The composite measures used in our analysis were constructed using clinical markers of metabolic health (glucose), kidney and liver function (creatinine, albumin, alkaline phosphatase), anemia and/or red blood cell disorders (mean cell volume, red blood cell distribution width), and immune function and inflammation (CRP, lymphocyte percent, white blood cell count). Despite each composite measure weighting these clinical markers differently, we found evidence for a relationship between parity and</w:t>
      </w:r>
      <w:r w:rsidR="003115A3" w:rsidRPr="006B575D">
        <w:t xml:space="preserve"> accelerated</w:t>
      </w:r>
      <w:r w:rsidRPr="006B575D">
        <w:t xml:space="preserve"> biological aging in post-menopausal women using all four composite </w:t>
      </w:r>
      <w:r w:rsidRPr="006B575D">
        <w:lastRenderedPageBreak/>
        <w:t xml:space="preserve">measures. This suggests that parity is associated with dysregulation across a broad range of physiological systems in post-menopausal women. Such </w:t>
      </w:r>
      <w:r w:rsidR="003115A3" w:rsidRPr="006B575D">
        <w:t>broad</w:t>
      </w:r>
      <w:r w:rsidRPr="006B575D">
        <w:t xml:space="preserve"> physiological consequences of parity is consistent with the widespread metabolic, immunological, and endocrinological changes that accompany pregnancy and lactation, as well as the diverse disease risks that are both positively and negatively associated with parity in women </w:t>
      </w:r>
      <w:r w:rsidRPr="006B575D">
        <w:fldChar w:fldCharType="begin" w:fldLock="1"/>
      </w:r>
      <w:r w:rsidRPr="006B575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mendeley":{"formattedCitation":"&lt;sup&gt;26&lt;/sup&gt;","plainTextFormattedCitation":"26","previouslyFormattedCitation":"&lt;sup&gt;26&lt;/sup&gt;"},"properties":{"noteIndex":0},"schema":"https://github.com/citation-style-language/schema/raw/master/csl-citation.json"}</w:instrText>
      </w:r>
      <w:r w:rsidRPr="006B575D">
        <w:fldChar w:fldCharType="separate"/>
      </w:r>
      <w:r w:rsidRPr="006B575D">
        <w:rPr>
          <w:noProof/>
          <w:vertAlign w:val="superscript"/>
        </w:rPr>
        <w:t>26</w:t>
      </w:r>
      <w:r w:rsidRPr="006B575D">
        <w:fldChar w:fldCharType="end"/>
      </w:r>
      <w:r w:rsidRPr="006B575D">
        <w:t>. Additional research focusing on the effect of parity on the individual clinical markers used in our composite measures will be an important next step in resolving the relative contributions of different physiological processes to parity-induced biological ag</w:t>
      </w:r>
      <w:r w:rsidR="003115A3" w:rsidRPr="006B575D">
        <w:t>e acceleration</w:t>
      </w:r>
      <w:r w:rsidRPr="006B575D">
        <w:t xml:space="preserve"> in women.</w:t>
      </w:r>
    </w:p>
    <w:p w14:paraId="2F4F34D6" w14:textId="63A48F93" w:rsidR="006F65E2" w:rsidRPr="006B575D" w:rsidRDefault="006F65E2" w:rsidP="002533E0">
      <w:pPr>
        <w:shd w:val="clear" w:color="auto" w:fill="FFFFFF"/>
        <w:spacing w:line="480" w:lineRule="auto"/>
      </w:pPr>
    </w:p>
    <w:p w14:paraId="716138C4" w14:textId="4BC4745E" w:rsidR="006F65E2" w:rsidRPr="006B575D" w:rsidRDefault="006F65E2" w:rsidP="006F65E2">
      <w:pPr>
        <w:shd w:val="clear" w:color="auto" w:fill="FFFFFF"/>
        <w:spacing w:line="480" w:lineRule="auto"/>
      </w:pPr>
      <w:r w:rsidRPr="006B575D">
        <w:t xml:space="preserve">We also found evidence for a non-linear increase in biological age with parity, as evidenced by the quadratic term in our models. This is consistent with several large meta-analyses examining the relationship between parity and cardiovascular disease </w:t>
      </w:r>
      <w:r w:rsidRPr="006B575D">
        <w:fldChar w:fldCharType="begin" w:fldLock="1"/>
      </w:r>
      <w:r w:rsidRPr="006B575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Pr="006B575D">
        <w:fldChar w:fldCharType="separate"/>
      </w:r>
      <w:r w:rsidRPr="006B575D">
        <w:rPr>
          <w:noProof/>
          <w:vertAlign w:val="superscript"/>
        </w:rPr>
        <w:t>34</w:t>
      </w:r>
      <w:r w:rsidRPr="006B575D">
        <w:fldChar w:fldCharType="end"/>
      </w:r>
      <w:r w:rsidRPr="006B575D">
        <w:t xml:space="preserve"> and all-cause mortality </w:t>
      </w:r>
      <w:r w:rsidRPr="006B575D">
        <w:fldChar w:fldCharType="begin" w:fldLock="1"/>
      </w:r>
      <w:r w:rsidRPr="006B575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mendeley":{"formattedCitation":"&lt;sup&gt;32&lt;/sup&gt;","plainTextFormattedCitation":"32","previouslyFormattedCitation":"&lt;sup&gt;32&lt;/sup&gt;"},"properties":{"noteIndex":0},"schema":"https://github.com/citation-style-language/schema/raw/master/csl-citation.json"}</w:instrText>
      </w:r>
      <w:r w:rsidRPr="006B575D">
        <w:fldChar w:fldCharType="separate"/>
      </w:r>
      <w:r w:rsidRPr="006B575D">
        <w:rPr>
          <w:noProof/>
          <w:vertAlign w:val="superscript"/>
        </w:rPr>
        <w:t>32</w:t>
      </w:r>
      <w:r w:rsidRPr="006B575D">
        <w:fldChar w:fldCharType="end"/>
      </w:r>
      <w:r w:rsidRPr="006B575D">
        <w:t xml:space="preserve">. The fact that these and other large studies </w:t>
      </w:r>
      <w:r w:rsidRPr="006B575D">
        <w:fldChar w:fldCharType="begin" w:fldLock="1"/>
      </w:r>
      <w:r w:rsidRPr="006B575D">
        <w:instrText>ADDIN CSL_CITATION {"citationItems":[{"id":"ITEM-1","itemData":{"DOI":"10.1002/ajhb.20953","author":[{"dropping-particle":"","family":"Grundy","given":"Emily","non-dropping-particle":"","parse-names":false,"suffix":""}],"container-title":"American Journal of Human Biology","id":"ITEM-1","issued":{"date-parts":[["2009"]]},"page":"541-547","title":"Women’s Fertility and Mortality in Late Mid Life: A Comparison of Three Contemporary Populations","type":"article-journal","volume":"547"},"uris":["http://www.mendeley.com/documents/?uuid=e7a33319-0109-4760-a2de-89b48da767e3"]},{"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27,70&lt;/sup&gt;","plainTextFormattedCitation":"27,70","previouslyFormattedCitation":"&lt;sup&gt;27,70&lt;/sup&gt;"},"properties":{"noteIndex":0},"schema":"https://github.com/citation-style-language/schema/raw/master/csl-citation.json"}</w:instrText>
      </w:r>
      <w:r w:rsidRPr="006B575D">
        <w:fldChar w:fldCharType="separate"/>
      </w:r>
      <w:r w:rsidRPr="006B575D">
        <w:rPr>
          <w:noProof/>
          <w:vertAlign w:val="superscript"/>
        </w:rPr>
        <w:t>27,70</w:t>
      </w:r>
      <w:r w:rsidRPr="006B575D">
        <w:fldChar w:fldCharType="end"/>
      </w:r>
      <w:r w:rsidRPr="006B575D">
        <w:t xml:space="preserve"> show clear non-linear curves similar to those reported here gives us confidence in the robustness of our findings. Nevertheless, the reasons for the U-shaped relationship between parity and health and mortality are still unclear. In some cases, higher mortality among nulliparous women may be tied to selection effects whereby women with long-term illnesses or health problems may be less likely to marry or bear children </w:t>
      </w:r>
      <w:r w:rsidRPr="006B575D">
        <w:fldChar w:fldCharType="begin" w:fldLock="1"/>
      </w:r>
      <w:r w:rsidRPr="006B575D">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6B575D">
        <w:fldChar w:fldCharType="separate"/>
      </w:r>
      <w:r w:rsidRPr="006B575D">
        <w:rPr>
          <w:noProof/>
          <w:vertAlign w:val="superscript"/>
        </w:rPr>
        <w:t>70</w:t>
      </w:r>
      <w:r w:rsidRPr="006B575D">
        <w:fldChar w:fldCharType="end"/>
      </w:r>
      <w:r w:rsidRPr="006B575D">
        <w:t xml:space="preserve">. Higher mortality among women bearing one child may similarly relate to long-term health issues, including those related to their first pregnancy </w:t>
      </w:r>
      <w:r w:rsidRPr="006B575D">
        <w:fldChar w:fldCharType="begin" w:fldLock="1"/>
      </w:r>
      <w:r w:rsidRPr="006B575D">
        <w:instrText>ADDIN CSL_CITATION {"citationItems":[{"id":"ITEM-1","itemData":{"author":[{"dropping-particle":"","family":"Grundy","given":"Emily","non-dropping-particle":"","parse-names":false,"suffix":""},{"dropping-particle":"","family":"Tomassini","given":"C.","non-dropping-particle":"","parse-names":false,"suffix":""}],"container-title":"Social Science &amp; Medicine","id":"ITEM-1","issue":"1","issued":{"date-parts":[["2005"]]},"page":"217-228","title":"Fertility history and health in later life: a record linkage study in England and Wales","type":"article-journal","volume":"61"},"uris":["http://www.mendeley.com/documents/?uuid=a1c15254-a7fa-4ef6-8585-4e4dea4e9a5b"]}],"mendeley":{"formattedCitation":"&lt;sup&gt;70&lt;/sup&gt;","plainTextFormattedCitation":"70","previouslyFormattedCitation":"&lt;sup&gt;70&lt;/sup&gt;"},"properties":{"noteIndex":0},"schema":"https://github.com/citation-style-language/schema/raw/master/csl-citation.json"}</w:instrText>
      </w:r>
      <w:r w:rsidRPr="006B575D">
        <w:fldChar w:fldCharType="separate"/>
      </w:r>
      <w:r w:rsidRPr="006B575D">
        <w:rPr>
          <w:noProof/>
          <w:vertAlign w:val="superscript"/>
        </w:rPr>
        <w:t>70</w:t>
      </w:r>
      <w:r w:rsidRPr="006B575D">
        <w:fldChar w:fldCharType="end"/>
      </w:r>
      <w:r w:rsidRPr="006B575D">
        <w:t xml:space="preserve">. Women with no children or only one child may also experience lower levels of social support </w:t>
      </w:r>
      <w:r w:rsidRPr="006B575D">
        <w:fldChar w:fldCharType="begin" w:fldLock="1"/>
      </w:r>
      <w:r w:rsidRPr="006B575D">
        <w:instrText>ADDIN CSL_CITATION {"citationItems":[{"id":"ITEM-1","itemData":{"DOI":"10.1093/humrep/del327","ISSN":"14602350","PMID":"16920722","abstract":"Background: Around 4% of all couples remain involuntarily childless. These people often experience insufficient social support, which further aggravates the distress symptoms such as physical health problems, anxiety, depression and complicated grief. This study investigates the association of coping style and the degree of satisfaction regarding social support from primary support groups with distress symptoms of involuntarily childless individuals. Materials and Methods: Subjects inthis cross-sectional study were people who wanted to have children with their partner but were unable to conceive and had acknowledged their involuntary childlessness. The sample consisted of 116 persons (response 88%) with an average age of 39 years (SD = 6.0), with 75% women. The sample group completed a questionnaire consisting of passive and active coping styles from the Utrecht Coping List (UCL), the discrepancy variant of the Social Support List (SSL-D), the short version of the Questionnaire on Experienced Health Complaints (VOEG-21), the Hospital Anxiety and Depression Scale (HADS) and the Inventory of Complicated Grief-Revised (ICG-R), adapted for this study. Results: Women especially experienced more health complaints, more anxiety and depression symptoms and more complicated grief than the general population. Regression analysis shows that when controlled for sex and the duration of involuntary childlessness, the concepts passive coping style and dissatisfaction with social support were positively associated with health complaints, depression, anxiety and complicated grief. The concept active coping style was negatively associated with depression, anxiety and complicated grief. Explained variance of the different distress symptoms varied from 30 to 65%. A moderating association of perceived social support is only found between a passive coping style and health complaints. Conclusions: Psychosocial interventions should be continued after the childlessness has become definite. By teaching couples how to cope actively with their childlessness and how to ask for support, the negative consequences of their childlessness may be decreased. © 2007 Oxford University Press.","author":[{"dropping-particle":"","family":"Lechner","given":"Lilian","non-dropping-particle":"","parse-names":false,"suffix":""},{"dropping-particle":"","family":"Bolman","given":"C.","non-dropping-particle":"","parse-names":false,"suffix":""},{"dropping-particle":"","family":"Dalen","given":"A.","non-dropping-particle":"van","parse-names":false,"suffix":""}],"container-title":"Human Reproduction","id":"ITEM-1","issue":"1","issued":{"date-parts":[["2007"]]},"page":"288-294","title":"Definite involuntary childlessness: Associations between coping, social support and psychological distress","type":"article-journal","volume":"22"},"uris":["http://www.mendeley.com/documents/?uuid=668d7e57-ccfd-46ba-8e0a-814f52ee7520"]}],"mendeley":{"formattedCitation":"&lt;sup&gt;71&lt;/sup&gt;","plainTextFormattedCitation":"71","previouslyFormattedCitation":"&lt;sup&gt;71&lt;/sup&gt;"},"properties":{"noteIndex":0},"schema":"https://github.com/citation-style-language/schema/raw/master/csl-citation.json"}</w:instrText>
      </w:r>
      <w:r w:rsidRPr="006B575D">
        <w:fldChar w:fldCharType="separate"/>
      </w:r>
      <w:r w:rsidRPr="006B575D">
        <w:rPr>
          <w:noProof/>
          <w:vertAlign w:val="superscript"/>
        </w:rPr>
        <w:t>71</w:t>
      </w:r>
      <w:r w:rsidRPr="006B575D">
        <w:fldChar w:fldCharType="end"/>
      </w:r>
      <w:r w:rsidRPr="006B575D">
        <w:t xml:space="preserve">, which could have negative consequences on health later on in life </w:t>
      </w:r>
      <w:r w:rsidRPr="006B575D">
        <w:fldChar w:fldCharType="begin" w:fldLock="1"/>
      </w:r>
      <w:r w:rsidR="005719CF" w:rsidRPr="006B575D">
        <w:instrText>ADDIN CSL_CITATION {"citationItems":[{"id":"ITEM-1","itemData":{"DOI":"10.1007/BF00846149","ISSN":"01607715","PMID":"7338894","abstract":"Social support research has been hampered by a lack of clarity both in the definitions of social support and in the conceptualization of its effects on health outcomes. The present study compared social network size and three types of perceived social support-tangible, emotional, and informational -in relation to stressful life events, psychological symptoms and morale, and physical health status in a sample of 100 persons 45-64 years old. Social network size was empirically separable from, though correlated with, perceived social support and had a weaker overall relationship to outcomes than did support. Low tangible support and emotional support, in addition to certain life events, were independently related to depression and negative morale; informational support was associated with positive morale. Neither social support nor stressful life events were associated with physical health. It was concluded that social support research would benefit from attention to the multidimensionality of support and greater specificity in hypotheses about the relationship between types of support and adaptational outcomes. © 1981 Plenum Publishing Corporation.","author":[{"dropping-particle":"","family":"Schaefer","given":"Catherine","non-dropping-particle":"","parse-names":false,"suffix":""},{"dropping-particle":"","family":"Coyne","given":"James C.","non-dropping-particle":"","parse-names":false,"suffix":""},{"dropping-particle":"","family":"Lazarus","given":"Richard S.","non-dropping-particle":"","parse-names":false,"suffix":""}],"container-title":"Journal of Behavioral Medicine","id":"ITEM-1","issue":"4","issued":{"date-parts":[["1981"]]},"page":"381-406","title":"The health-related functions of social support","type":"article-journal","volume":"4"},"uris":["http://www.mendeley.com/documents/?uuid=5849e684-699e-41d0-8511-2148408a65c7"]}],"mendeley":{"formattedCitation":"&lt;sup&gt;72&lt;/sup&gt;","plainTextFormattedCitation":"72","previouslyFormattedCitation":"&lt;sup&gt;72&lt;/sup&gt;"},"properties":{"noteIndex":0},"schema":"https://github.com/citation-style-language/schema/raw/master/csl-citation.json"}</w:instrText>
      </w:r>
      <w:r w:rsidRPr="006B575D">
        <w:fldChar w:fldCharType="separate"/>
      </w:r>
      <w:r w:rsidRPr="006B575D">
        <w:rPr>
          <w:noProof/>
          <w:vertAlign w:val="superscript"/>
        </w:rPr>
        <w:t>72</w:t>
      </w:r>
      <w:r w:rsidRPr="006B575D">
        <w:fldChar w:fldCharType="end"/>
      </w:r>
      <w:r w:rsidRPr="006B575D">
        <w:t>. Additional work to help disentangle the social and environmental factors that are associated with nulliparity or single parity is warranted.</w:t>
      </w:r>
    </w:p>
    <w:p w14:paraId="3B24DB0F" w14:textId="3A263684" w:rsidR="006F65E2" w:rsidRPr="006B575D" w:rsidRDefault="006F65E2" w:rsidP="002533E0">
      <w:pPr>
        <w:shd w:val="clear" w:color="auto" w:fill="FFFFFF"/>
        <w:spacing w:line="480" w:lineRule="auto"/>
      </w:pPr>
    </w:p>
    <w:p w14:paraId="670641D0" w14:textId="7051057E" w:rsidR="006F65E2" w:rsidRPr="006B575D" w:rsidRDefault="006F65E2" w:rsidP="002533E0">
      <w:pPr>
        <w:shd w:val="clear" w:color="auto" w:fill="FFFFFF"/>
        <w:spacing w:line="480" w:lineRule="auto"/>
      </w:pPr>
      <w:r w:rsidRPr="006B575D">
        <w:t xml:space="preserve">Another explanation for the non-linear relationship between parity and biological age described here may include the interaction of countervailing physiological changes on our measures of biological aging. For example, risk increases with parity for many (i.e. CVD, diabetes, kidney cancer, hypertension, gallbladder cancer), but not all diseases (i.e. respiratory disease, breast, ovarian, </w:t>
      </w:r>
      <w:r w:rsidRPr="006B575D">
        <w:lastRenderedPageBreak/>
        <w:t>endometrial cancer)</w:t>
      </w:r>
      <w:r w:rsidR="005719CF" w:rsidRPr="006B575D">
        <w:t xml:space="preserve"> </w:t>
      </w:r>
      <w:r w:rsidR="005719CF" w:rsidRPr="006B575D">
        <w:fldChar w:fldCharType="begin" w:fldLock="1"/>
      </w:r>
      <w:r w:rsidR="005719CF" w:rsidRPr="006B575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26,31&lt;/sup&gt;","plainTextFormattedCitation":"26,31","previouslyFormattedCitation":"&lt;sup&gt;26,31&lt;/sup&gt;"},"properties":{"noteIndex":0},"schema":"https://github.com/citation-style-language/schema/raw/master/csl-citation.json"}</w:instrText>
      </w:r>
      <w:r w:rsidR="005719CF" w:rsidRPr="006B575D">
        <w:fldChar w:fldCharType="separate"/>
      </w:r>
      <w:r w:rsidR="005719CF" w:rsidRPr="006B575D">
        <w:rPr>
          <w:noProof/>
          <w:vertAlign w:val="superscript"/>
        </w:rPr>
        <w:t>26,31</w:t>
      </w:r>
      <w:r w:rsidR="005719CF" w:rsidRPr="006B575D">
        <w:fldChar w:fldCharType="end"/>
      </w:r>
      <w:r w:rsidR="005719CF" w:rsidRPr="006B575D">
        <w:t>.</w:t>
      </w:r>
      <w:r w:rsidRPr="006B575D">
        <w:t xml:space="preserve"> The non-linear relationship we observe between parity and biological age may therefore reflect the cumulative effect of both beneficial and harmful physiological accommodations necessary for reproduction in women, no doubt also mediated by individual risk factors tied to genetic variation, environment, or lifestyle.</w:t>
      </w:r>
    </w:p>
    <w:p w14:paraId="36AE3FAC" w14:textId="77777777" w:rsidR="006F65E2" w:rsidRPr="006B575D" w:rsidRDefault="006F65E2" w:rsidP="002533E0">
      <w:pPr>
        <w:shd w:val="clear" w:color="auto" w:fill="FFFFFF"/>
        <w:spacing w:line="480" w:lineRule="auto"/>
      </w:pPr>
    </w:p>
    <w:p w14:paraId="5236A56B" w14:textId="07D3E07C" w:rsidR="005719CF" w:rsidRPr="006B575D" w:rsidRDefault="005719CF" w:rsidP="005719CF">
      <w:pPr>
        <w:shd w:val="clear" w:color="auto" w:fill="FFFFFF"/>
        <w:spacing w:line="480" w:lineRule="auto"/>
      </w:pPr>
      <w:bookmarkStart w:id="9" w:name="_Hlk54186540"/>
      <w:r w:rsidRPr="006B575D">
        <w:t xml:space="preserve">That parity was not associated with biological age in pre-menopausal women along with the fact that time since last birth did not predict biological age acceleration in either pre- or post-menopausal women supports the argument that the effects of parity are durable, and not simply short-term physiological changes associated with pregnancy and breastfeeding. </w:t>
      </w:r>
      <w:bookmarkEnd w:id="9"/>
      <w:r w:rsidRPr="006B575D">
        <w:t xml:space="preserve">The reasons for our findings being limited to post-menopausal women are unclear, but are in accordance with research in both historical populations </w:t>
      </w:r>
      <w:r w:rsidRPr="006B575D">
        <w:fldChar w:fldCharType="begin" w:fldLock="1"/>
      </w:r>
      <w:r w:rsidRPr="006B575D">
        <w:instrText>ADDIN CSL_CITATION {"citationItems":[{"id":"ITEM-1","itemData":{"DOI":"10.1002/ajhb.20893.Is","author":[{"dropping-particle":"","family":"Gagnon","given":"Alain","non-dropping-particle":"","parse-names":false,"suffix":""},{"dropping-particle":"","family":"Smith","given":"K E N R","non-dropping-particle":"","parse-names":false,"suffix":""},{"dropping-particle":"","family":"Tremblay","given":"Marc","non-dropping-particle":"","parse-names":false,"suffix":""},{"dropping-particle":"","family":"Vézina","given":"Hélène","non-dropping-particle":"","parse-names":false,"suffix":""},{"dropping-particle":"","family":"Paré","given":"Philippe","non-dropping-particle":"","parse-names":false,"suffix":""},{"dropping-particle":"","family":"Desjardins","given":"Bertrand","non-dropping-particle":"","parse-names":false,"suffix":""}],"container-title":"American Journal of Human Biology","id":"ITEM-1","issue":"4","issued":{"date-parts":[["2009"]]},"page":"533-540","title":"Is there a trade-off between fertility and longevity? A comparative study of women from three large historical databses accounting for mortality selection","type":"article-journal","volume":"21"},"uris":["http://www.mendeley.com/documents/?uuid=089261a8-23f3-42f6-8e3e-59f23bd3f1e4"]},{"id":"ITEM-2","itemData":{"author":[{"dropping-particle":"","family":"Westendorp","given":"R. G.","non-dropping-particle":"","parse-names":false,"suffix":""},{"dropping-particle":"","family":"Kirkwood","given":"T.","non-dropping-particle":"","parse-names":false,"suffix":""}],"container-title":"Nature","id":"ITEM-2","issued":{"date-parts":[["1998"]]},"page":"743-746","title":"Human longevity at the cost of reproductive success","type":"article-journal","volume":"396"},"uris":["http://www.mendeley.com/documents/?uuid=4e79cb2b-df63-410e-bf3e-21ac0950a825"]}],"mendeley":{"formattedCitation":"&lt;sup&gt;66,73&lt;/sup&gt;","plainTextFormattedCitation":"66,73","previouslyFormattedCitation":"&lt;sup&gt;66,73&lt;/sup&gt;"},"properties":{"noteIndex":0},"schema":"https://github.com/citation-style-language/schema/raw/master/csl-citation.json"}</w:instrText>
      </w:r>
      <w:r w:rsidRPr="006B575D">
        <w:fldChar w:fldCharType="separate"/>
      </w:r>
      <w:r w:rsidRPr="006B575D">
        <w:rPr>
          <w:noProof/>
          <w:vertAlign w:val="superscript"/>
        </w:rPr>
        <w:t>66,73</w:t>
      </w:r>
      <w:r w:rsidRPr="006B575D">
        <w:fldChar w:fldCharType="end"/>
      </w:r>
      <w:r w:rsidRPr="006B575D">
        <w:t xml:space="preserve"> and contemporary epidemiological studies, where the relationship between parity and disease risk appears more commonly among older cohorts </w:t>
      </w:r>
      <w:r w:rsidRPr="006B575D">
        <w:fldChar w:fldCharType="begin" w:fldLock="1"/>
      </w:r>
      <w:r w:rsidRPr="006B575D">
        <w:instrText>ADDIN CSL_CITATION {"citationItems":[{"id":"ITEM-1","itemData":{"DOI":"10.1093/aje/kwm295","ISSN":"00029262","PMID":"18000019","abstract":"There is growing recognition that reproductive patterns may have long-term health implications, although most evidence is restricted to women. The authors used register data to derive fertility histories for all Norwegian men and women born in 1935-1958. Discrete-time hazard modeling was used to analyze later-life mortality by aspects of reproductive history. A total of 63,312 deaths were observed during 14.5 million person-years of follow-up in 1980-2003, when subjects were aged 45-68 years. Models included detailed information on educational qualifications and marital status. Odds of death relative to those for subjects with two children were highest for the childless (women: odds ratio (OR) = 1.50, 95% confidence interval (CI): 1.43, 1.57; men: OR = 1.35, 95% CI: 1.30, 1.40) and next highest for those with only one child (women: OR = 1.31, 95% CI: 1.26, 1.37; men: OR = 1.20, 95% CI: 1.16, 1.24). Results for the parous showed a positive association between earlier parenthood and later mortality, a reverse association with late age at last birth, and an overall negative association between higher parity and mortality. The similarity of results for women and men suggests biosocial pathways underlying associations between reproductive history and health. The lack of any high-parity disadvantage suggests that in the \"family friendly\" Norwegian environment, the health benefits of having several children may outweigh the costs. © The Author 2007. Published by the Johns Hopkins Bloomberg School of Public Health. All rights reserved.","author":[{"dropping-particle":"","family":"Grundy","given":"Emily","non-dropping-particle":"","parse-names":false,"suffix":""},{"dropping-particle":"","family":"Kravdal","given":"Øystein","non-dropping-particle":"","parse-names":false,"suffix":""}],"container-title":"American Journal of Epidemiology","id":"ITEM-1","issue":"3","issued":{"date-parts":[["2008"]]},"page":"271-279","title":"Reproductive history and mortality in late middle age among Norwegian men and women","type":"article-journal","volume":"167"},"uris":["http://www.mendeley.com/documents/?uuid=440ae10b-6c6d-4562-afa4-6b2065ffdbf5"]},{"id":"ITEM-2","itemData":{"author":[{"dropping-particle":"","family":"Grundy","given":"Emily","non-dropping-particle":"","parse-names":false,"suffix":""},{"dropping-particle":"","family":"Tomassini","given":"C.","non-dropping-particle":"","parse-names":false,"suffix":""}],"container-title":"Social Science &amp; Medicine","id":"ITEM-2","issue":"1","issued":{"date-parts":[["2005"]]},"page":"217-228","title":"Fertility history and health in later life: a record linkage study in England and Wales","type":"article-journal","volume":"61"},"uris":["http://www.mendeley.com/documents/?uuid=a1c15254-a7fa-4ef6-8585-4e4dea4e9a5b"]}],"mendeley":{"formattedCitation":"&lt;sup&gt;70,74&lt;/sup&gt;","plainTextFormattedCitation":"70,74","previouslyFormattedCitation":"&lt;sup&gt;70,74&lt;/sup&gt;"},"properties":{"noteIndex":0},"schema":"https://github.com/citation-style-language/schema/raw/master/csl-citation.json"}</w:instrText>
      </w:r>
      <w:r w:rsidRPr="006B575D">
        <w:fldChar w:fldCharType="separate"/>
      </w:r>
      <w:r w:rsidRPr="006B575D">
        <w:rPr>
          <w:noProof/>
          <w:vertAlign w:val="superscript"/>
        </w:rPr>
        <w:t>70,74</w:t>
      </w:r>
      <w:r w:rsidRPr="006B575D">
        <w:fldChar w:fldCharType="end"/>
      </w:r>
      <w:r w:rsidRPr="006B575D">
        <w:t xml:space="preserve">. </w:t>
      </w:r>
    </w:p>
    <w:p w14:paraId="5A62208F" w14:textId="77777777" w:rsidR="00331E34" w:rsidRPr="006B575D" w:rsidRDefault="00331E34" w:rsidP="00331E34">
      <w:pPr>
        <w:shd w:val="clear" w:color="auto" w:fill="FFFFFF"/>
        <w:spacing w:line="480" w:lineRule="auto"/>
      </w:pPr>
    </w:p>
    <w:p w14:paraId="5D92538D" w14:textId="14EFDEF1" w:rsidR="00331E34" w:rsidRPr="006B575D" w:rsidRDefault="00252639" w:rsidP="00331E34">
      <w:pPr>
        <w:shd w:val="clear" w:color="auto" w:fill="FFFFFF"/>
        <w:spacing w:line="480" w:lineRule="auto"/>
      </w:pPr>
      <w:r w:rsidRPr="006B575D">
        <w:t xml:space="preserve">It remains possible that parity does exert </w:t>
      </w:r>
      <w:r w:rsidR="007B2607" w:rsidRPr="006B575D">
        <w:t xml:space="preserve">durable </w:t>
      </w:r>
      <w:r w:rsidRPr="006B575D">
        <w:t xml:space="preserve">effects prior to menopause, but these effects are too benign to be detected by clinical based measures of biological aging. </w:t>
      </w:r>
      <w:r w:rsidR="00447C2C" w:rsidRPr="006B575D">
        <w:t>Notably</w:t>
      </w:r>
      <w:r w:rsidRPr="006B575D">
        <w:t>, o</w:t>
      </w:r>
      <w:r w:rsidR="00331E34" w:rsidRPr="006B575D">
        <w:t xml:space="preserve">ur findings in pre-menopausal are in contrast to </w:t>
      </w:r>
      <w:r w:rsidRPr="006B575D">
        <w:t>studies</w:t>
      </w:r>
      <w:r w:rsidR="00331E34" w:rsidRPr="006B575D">
        <w:t xml:space="preserve"> using measures of cellular aging, such as leukocyte telomere length and epigenetic age, which report evidence for a relationship between parity and accelerated cellular aging even among relatively young women </w:t>
      </w:r>
      <w:r w:rsidR="00331E34" w:rsidRPr="006B575D">
        <w:fldChar w:fldCharType="begin" w:fldLock="1"/>
      </w:r>
      <w:r w:rsidR="00331E34" w:rsidRPr="006B575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Reproduction","id":"ITEM-2","issue":"10","issued":{"date-parts":[["2019"]]},"page":"1965-1973","title":"Reproduction, DNA methylation and biological age","type":"article-journal","volume":"34"},"uris":["http://www.mendeley.com/documents/?uuid=69232213-f8e6-45f8-b70c-b711f3761dd8"]},{"id":"ITEM-3","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ONE","id":"ITEM-3","issue":"1","issued":{"date-parts":[["2016"]]},"page":"1-14","title":"Evidence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14,36,37&lt;/sup&gt;","plainTextFormattedCitation":"14,36,37","previouslyFormattedCitation":"&lt;sup&gt;14,36,37&lt;/sup&gt;"},"properties":{"noteIndex":0},"schema":"https://github.com/citation-style-language/schema/raw/master/csl-citation.json"}</w:instrText>
      </w:r>
      <w:r w:rsidR="00331E34" w:rsidRPr="006B575D">
        <w:fldChar w:fldCharType="separate"/>
      </w:r>
      <w:r w:rsidR="00331E34" w:rsidRPr="006B575D">
        <w:rPr>
          <w:noProof/>
          <w:vertAlign w:val="superscript"/>
        </w:rPr>
        <w:t>14,36,37</w:t>
      </w:r>
      <w:r w:rsidR="00331E34" w:rsidRPr="006B575D">
        <w:fldChar w:fldCharType="end"/>
      </w:r>
      <w:r w:rsidR="00331E34" w:rsidRPr="006B575D">
        <w:t xml:space="preserve">. Indeed, Pollack et al. </w:t>
      </w:r>
      <w:r w:rsidR="00331E34" w:rsidRPr="006B575D">
        <w:fldChar w:fldCharType="begin" w:fldLock="1"/>
      </w:r>
      <w:r w:rsidR="00331E34" w:rsidRPr="006B575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mendeley":{"formattedCitation":"&lt;sup&gt;13&lt;/sup&gt;","plainTextFormattedCitation":"13","previouslyFormattedCitation":"&lt;sup&gt;13&lt;/sup&gt;"},"properties":{"noteIndex":0},"schema":"https://github.com/citation-style-language/schema/raw/master/csl-citation.json"}</w:instrText>
      </w:r>
      <w:r w:rsidR="00331E34" w:rsidRPr="006B575D">
        <w:fldChar w:fldCharType="separate"/>
      </w:r>
      <w:r w:rsidR="00331E34" w:rsidRPr="006B575D">
        <w:rPr>
          <w:noProof/>
          <w:vertAlign w:val="superscript"/>
        </w:rPr>
        <w:t>13</w:t>
      </w:r>
      <w:r w:rsidR="00331E34" w:rsidRPr="006B575D">
        <w:fldChar w:fldCharType="end"/>
      </w:r>
      <w:r w:rsidR="00331E34" w:rsidRPr="006B575D">
        <w:t xml:space="preserve"> found evidence for accelerated aging in response to parity in the form of shortened leukocyte telomere length in women 20-44 from the same dataset used here. </w:t>
      </w:r>
      <w:r w:rsidR="00447C2C" w:rsidRPr="006B575D">
        <w:t>Thus,</w:t>
      </w:r>
      <w:r w:rsidR="00331E34" w:rsidRPr="006B575D">
        <w:t xml:space="preserve"> cellular measures may provide early indicators of health impacts of parity that may only be detectable in post-reproductive years using clinical measures. Additional </w:t>
      </w:r>
      <w:r w:rsidRPr="006B575D">
        <w:t xml:space="preserve">longitudinal </w:t>
      </w:r>
      <w:r w:rsidR="00331E34" w:rsidRPr="006B575D">
        <w:t xml:space="preserve">studies </w:t>
      </w:r>
      <w:r w:rsidRPr="006B575D">
        <w:t>investigating</w:t>
      </w:r>
      <w:r w:rsidR="00331E34" w:rsidRPr="006B575D">
        <w:t xml:space="preserve"> how these cellular measures of biological aging predict composite measures of biological aging </w:t>
      </w:r>
      <w:r w:rsidRPr="006B575D">
        <w:t xml:space="preserve">as individuals age </w:t>
      </w:r>
      <w:r w:rsidR="00331E34" w:rsidRPr="006B575D">
        <w:t>are therefore warranted.</w:t>
      </w:r>
    </w:p>
    <w:p w14:paraId="596C45DD" w14:textId="1142FE02" w:rsidR="005719CF" w:rsidRPr="006B575D" w:rsidRDefault="005719CF" w:rsidP="005719CF">
      <w:pPr>
        <w:shd w:val="clear" w:color="auto" w:fill="FFFFFF"/>
        <w:spacing w:line="480" w:lineRule="auto"/>
      </w:pPr>
    </w:p>
    <w:p w14:paraId="0269B47F" w14:textId="5F4D6EEE" w:rsidR="005719CF" w:rsidRPr="006B575D" w:rsidRDefault="005719CF" w:rsidP="005719CF">
      <w:pPr>
        <w:shd w:val="clear" w:color="auto" w:fill="FFFFFF"/>
        <w:spacing w:line="480" w:lineRule="auto"/>
      </w:pPr>
      <w:r w:rsidRPr="006B575D">
        <w:t xml:space="preserve">The reproductive-cell cycle theory of aging offers </w:t>
      </w:r>
      <w:r w:rsidR="007B2607" w:rsidRPr="006B575D">
        <w:t>a second</w:t>
      </w:r>
      <w:r w:rsidRPr="006B575D">
        <w:t xml:space="preserve"> potential explanation for parity-biological age acceleration relationships being present in post-, but not pre-menopausal, women.</w:t>
      </w:r>
      <w:r w:rsidR="00BA4601" w:rsidRPr="006B575D">
        <w:t xml:space="preserve"> </w:t>
      </w:r>
      <w:r w:rsidRPr="006B575D">
        <w:t xml:space="preserve">According to </w:t>
      </w:r>
      <w:r w:rsidR="003115A3" w:rsidRPr="006B575D">
        <w:lastRenderedPageBreak/>
        <w:t>this theory</w:t>
      </w:r>
      <w:r w:rsidRPr="006B575D">
        <w:t>, the protective forces acting to ensure survival during the reproductive stage of the lifespan are diminished in the post-menopausal period</w:t>
      </w:r>
      <w:r w:rsidRPr="006B575D">
        <w:fldChar w:fldCharType="begin" w:fldLock="1"/>
      </w:r>
      <w:r w:rsidRPr="006B575D">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6B575D">
        <w:fldChar w:fldCharType="separate"/>
      </w:r>
      <w:r w:rsidRPr="006B575D">
        <w:rPr>
          <w:noProof/>
          <w:vertAlign w:val="superscript"/>
        </w:rPr>
        <w:t>44</w:t>
      </w:r>
      <w:r w:rsidRPr="006B575D">
        <w:fldChar w:fldCharType="end"/>
      </w:r>
      <w:r w:rsidRPr="006B575D">
        <w:t>. Changes in hypothalamic-pituitary-gonadal (HPG) axis function</w:t>
      </w:r>
      <w:r w:rsidR="006A2E60" w:rsidRPr="006B575D">
        <w:t>ing</w:t>
      </w:r>
      <w:r w:rsidRPr="006B575D">
        <w:t xml:space="preserve"> associated with menopause are proposed as the proximate cause of the increased physiological dysregulation observed in women in their </w:t>
      </w:r>
      <w:r w:rsidR="006A2E60" w:rsidRPr="006B575D">
        <w:t>post</w:t>
      </w:r>
      <w:r w:rsidR="007B2607" w:rsidRPr="006B575D">
        <w:t>-</w:t>
      </w:r>
      <w:r w:rsidRPr="006B575D">
        <w:t xml:space="preserve">reproductive stage. It is hypothesized that the combination of higher levels of hypothalamic and pituitary hormones, coupled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osteoporosis, and cognitive decline </w:t>
      </w:r>
      <w:r w:rsidRPr="006B575D">
        <w:fldChar w:fldCharType="begin" w:fldLock="1"/>
      </w:r>
      <w:r w:rsidRPr="006B575D">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75&lt;/sup&gt;","plainTextFormattedCitation":"75","previouslyFormattedCitation":"&lt;sup&gt;75&lt;/sup&gt;"},"properties":{"noteIndex":0},"schema":"https://github.com/citation-style-language/schema/raw/master/csl-citation.json"}</w:instrText>
      </w:r>
      <w:r w:rsidRPr="006B575D">
        <w:fldChar w:fldCharType="separate"/>
      </w:r>
      <w:r w:rsidRPr="006B575D">
        <w:rPr>
          <w:noProof/>
          <w:vertAlign w:val="superscript"/>
        </w:rPr>
        <w:t>75</w:t>
      </w:r>
      <w:r w:rsidRPr="006B575D">
        <w:fldChar w:fldCharType="end"/>
      </w:r>
      <w:r w:rsidR="00BA4601" w:rsidRPr="006B575D">
        <w:t xml:space="preserve">, and menopausal status independent of age predicts biological age acceleration </w:t>
      </w:r>
      <w:r w:rsidR="00BA4601" w:rsidRPr="006B575D">
        <w:fldChar w:fldCharType="begin" w:fldLock="1"/>
      </w:r>
      <w:r w:rsidR="00BA4601" w:rsidRPr="006B575D">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76&lt;/sup&gt;","plainTextFormattedCitation":"76","previouslyFormattedCitation":"&lt;sup&gt;76&lt;/sup&gt;"},"properties":{"noteIndex":0},"schema":"https://github.com/citation-style-language/schema/raw/master/csl-citation.json"}</w:instrText>
      </w:r>
      <w:r w:rsidR="00BA4601" w:rsidRPr="006B575D">
        <w:fldChar w:fldCharType="separate"/>
      </w:r>
      <w:r w:rsidR="00BA4601" w:rsidRPr="006B575D">
        <w:rPr>
          <w:noProof/>
          <w:vertAlign w:val="superscript"/>
        </w:rPr>
        <w:t>76</w:t>
      </w:r>
      <w:r w:rsidR="00BA4601" w:rsidRPr="006B575D">
        <w:fldChar w:fldCharType="end"/>
      </w:r>
      <w:r w:rsidR="00BA4601" w:rsidRPr="006B575D">
        <w:t>, as was also found in the present study</w:t>
      </w:r>
      <w:r w:rsidRPr="006B575D">
        <w:t>. Premenopausal women who undergo an oophorectomy (surgical removal of one or both ovaries) are at higher risk of these same outcomes</w:t>
      </w:r>
      <w:r w:rsidRPr="006B575D">
        <w:fldChar w:fldCharType="begin" w:fldLock="1"/>
      </w:r>
      <w:r w:rsidR="00BA4601" w:rsidRPr="006B575D">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77,78&lt;/sup&gt;","plainTextFormattedCitation":"77,78","previouslyFormattedCitation":"&lt;sup&gt;77,78&lt;/sup&gt;"},"properties":{"noteIndex":0},"schema":"https://github.com/citation-style-language/schema/raw/master/csl-citation.json"}</w:instrText>
      </w:r>
      <w:r w:rsidRPr="006B575D">
        <w:fldChar w:fldCharType="separate"/>
      </w:r>
      <w:r w:rsidR="00BA4601" w:rsidRPr="006B575D">
        <w:rPr>
          <w:noProof/>
          <w:vertAlign w:val="superscript"/>
        </w:rPr>
        <w:t>77,78</w:t>
      </w:r>
      <w:r w:rsidRPr="006B575D">
        <w:fldChar w:fldCharType="end"/>
      </w:r>
      <w:r w:rsidRPr="006B575D">
        <w:t xml:space="preserve">,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 (reviewed in </w:t>
      </w:r>
      <w:r w:rsidRPr="006B575D">
        <w:fldChar w:fldCharType="begin" w:fldLock="1"/>
      </w:r>
      <w:r w:rsidRPr="006B575D">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44&lt;/sup&gt;","plainTextFormattedCitation":"44","previouslyFormattedCitation":"&lt;sup&gt;44&lt;/sup&gt;"},"properties":{"noteIndex":0},"schema":"https://github.com/citation-style-language/schema/raw/master/csl-citation.json"}</w:instrText>
      </w:r>
      <w:r w:rsidRPr="006B575D">
        <w:fldChar w:fldCharType="separate"/>
      </w:r>
      <w:r w:rsidRPr="006B575D">
        <w:rPr>
          <w:noProof/>
          <w:vertAlign w:val="superscript"/>
        </w:rPr>
        <w:t>44</w:t>
      </w:r>
      <w:r w:rsidRPr="006B575D">
        <w:fldChar w:fldCharType="end"/>
      </w:r>
      <w:r w:rsidRPr="006B575D">
        <w:t xml:space="preserve">). </w:t>
      </w:r>
      <w:r w:rsidR="00BA4601" w:rsidRPr="006B575D">
        <w:t>However, it remains unclear</w:t>
      </w:r>
      <w:r w:rsidR="003115A3" w:rsidRPr="006B575D">
        <w:t xml:space="preserve"> precisely</w:t>
      </w:r>
      <w:r w:rsidR="00BA4601" w:rsidRPr="006B575D">
        <w:t xml:space="preserve"> how changes in ovarian hormones associated with menopause contribute to cellular instability and aging.</w:t>
      </w:r>
      <w:r w:rsidR="003115A3" w:rsidRPr="006B575D">
        <w:t xml:space="preserve"> Thus, future work should explore different possible compensatory mechanisms buffering pre-menopausal from </w:t>
      </w:r>
      <w:r w:rsidR="007B2607" w:rsidRPr="006B575D">
        <w:t xml:space="preserve">putative </w:t>
      </w:r>
      <w:r w:rsidR="003115A3" w:rsidRPr="006B575D">
        <w:t xml:space="preserve">accelerated biological aging </w:t>
      </w:r>
      <w:r w:rsidR="00104571" w:rsidRPr="006B575D">
        <w:t>induced by parity and reproductive investment.</w:t>
      </w:r>
    </w:p>
    <w:p w14:paraId="2C3E1B31" w14:textId="77777777" w:rsidR="005719CF" w:rsidRPr="006B575D" w:rsidRDefault="005719CF" w:rsidP="005719CF">
      <w:pPr>
        <w:shd w:val="clear" w:color="auto" w:fill="FFFFFF"/>
        <w:spacing w:line="480" w:lineRule="auto"/>
      </w:pPr>
    </w:p>
    <w:p w14:paraId="2F0573B8" w14:textId="77777777" w:rsidR="000A073E" w:rsidRPr="006B575D" w:rsidRDefault="008406FB" w:rsidP="008406FB">
      <w:pPr>
        <w:shd w:val="clear" w:color="auto" w:fill="FFFFFF"/>
        <w:spacing w:line="480" w:lineRule="auto"/>
        <w:rPr>
          <w:i/>
        </w:rPr>
      </w:pPr>
      <w:r w:rsidRPr="006B575D">
        <w:rPr>
          <w:i/>
        </w:rPr>
        <w:t>Limitations</w:t>
      </w:r>
    </w:p>
    <w:p w14:paraId="772BC4E3" w14:textId="52B0B2A0" w:rsidR="00BA4601" w:rsidRPr="006B575D" w:rsidRDefault="008406FB" w:rsidP="008406FB">
      <w:pPr>
        <w:shd w:val="clear" w:color="auto" w:fill="FFFFFF"/>
        <w:spacing w:line="480" w:lineRule="auto"/>
      </w:pPr>
      <w:r w:rsidRPr="006B575D">
        <w:t>The fact that NHANES is cross-sectional rather than longitudinal in design contributes to two limitations in our study. First, its cross-sectional nature does not allow us to draw conclusions about causal relationships (or lack thereof)</w:t>
      </w:r>
      <w:r w:rsidR="00BA4601" w:rsidRPr="006B575D">
        <w:t xml:space="preserve">. It is possible that accelerated biological aging increases reproductive effort in women, or a third unmeasured variable increases both biological aging and reproductive effort. This does not appear to be the case here, however, since there was no relationship between parity and biological age in pre-menopausal women. In the absence of longitudinal sampling, we also cannot be </w:t>
      </w:r>
      <w:r w:rsidR="00BA4601" w:rsidRPr="006B575D">
        <w:lastRenderedPageBreak/>
        <w:t>certain that biomarkers measured in this cross-sectional sample are not also representative of transient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p>
    <w:p w14:paraId="33694542" w14:textId="77777777" w:rsidR="00BA4601" w:rsidRPr="006B575D" w:rsidRDefault="00BA4601" w:rsidP="008406FB">
      <w:pPr>
        <w:shd w:val="clear" w:color="auto" w:fill="FFFFFF"/>
        <w:spacing w:line="480" w:lineRule="auto"/>
      </w:pPr>
    </w:p>
    <w:p w14:paraId="5F2E2FED" w14:textId="78B15828" w:rsidR="00BA4601" w:rsidRPr="006B575D" w:rsidRDefault="00BA4601" w:rsidP="008406FB">
      <w:pPr>
        <w:shd w:val="clear" w:color="auto" w:fill="FFFFFF"/>
        <w:spacing w:line="480" w:lineRule="auto"/>
      </w:pPr>
      <w:bookmarkStart w:id="10" w:name="_Hlk54186437"/>
      <w:r w:rsidRPr="006B575D">
        <w:t xml:space="preserve">Another limitation is our reliance on the relatively crude measures of reproductive effort in women. We were restricted to a measure of life births, but do not have access to data on miscarriages or aborted pregnancies, which could also be associated with costs of reproduction. We also lack information on breastfeeding, which is energetically costly in women </w:t>
      </w:r>
      <w:r w:rsidRPr="006B575D">
        <w:fldChar w:fldCharType="begin" w:fldLock="1"/>
      </w:r>
      <w:r w:rsidRPr="006B575D">
        <w:instrText>ADDIN CSL_CITATION {"citationItems":[{"id":"ITEM-1","itemData":{"author":[{"dropping-particle":"","family":"Prentice","given":"A. M.","non-dropping-particle":"","parse-names":false,"suffix":""},{"dropping-particle":"","family":"Prentice","given":"A.","non-dropping-particle":"","parse-names":false,"suffix":""}],"container-title":"Annual Review of Nutrition","id":"ITEM-1","issue":"1","issued":{"date-parts":[["1988"]]},"page":"63-79","title":"Energy costs of lactation","type":"article-journal","volume":"8"},"uris":["http://www.mendeley.com/documents/?uuid=16700167-3492-4f44-8c2f-fdb866938c69"]}],"mendeley":{"formattedCitation":"&lt;sup&gt;79&lt;/sup&gt;","plainTextFormattedCitation":"79"},"properties":{"noteIndex":0},"schema":"https://github.com/citation-style-language/schema/raw/master/csl-citation.json"}</w:instrText>
      </w:r>
      <w:r w:rsidRPr="006B575D">
        <w:fldChar w:fldCharType="separate"/>
      </w:r>
      <w:r w:rsidRPr="006B575D">
        <w:rPr>
          <w:noProof/>
          <w:vertAlign w:val="superscript"/>
        </w:rPr>
        <w:t>79</w:t>
      </w:r>
      <w:r w:rsidRPr="006B575D">
        <w:fldChar w:fldCharType="end"/>
      </w:r>
      <w:r w:rsidRPr="006B575D">
        <w:t xml:space="preserve">. Nevertheless, the fact that we do detect a strong and robust signal of accelerated biological aging with parity in post-menopausal women implies that parity is adequate to capture important health-related costs in this population. </w:t>
      </w:r>
      <w:bookmarkEnd w:id="10"/>
      <w:r w:rsidRPr="006B575D">
        <w:t xml:space="preserve">Given the importance of hormones like estrogen in both reproduction and women’s health, it may also be important to include current use of oral contraceptives or hormone replacement therapy. Although NHANES collects data on lifetime patterns of hormonal contraceptive and hormone replacement therapy, it does not collect data on </w:t>
      </w:r>
      <w:r w:rsidRPr="006B575D">
        <w:rPr>
          <w:i/>
          <w:iCs/>
        </w:rPr>
        <w:t xml:space="preserve">current </w:t>
      </w:r>
      <w:r w:rsidRPr="006B575D">
        <w:t>use. Future studies assessing potential impacts of parity on biological age acceleration should thus consider effects of current hormone-altering medication use.</w:t>
      </w:r>
    </w:p>
    <w:p w14:paraId="2CB6BE5A" w14:textId="77777777" w:rsidR="000A073E" w:rsidRPr="006B575D" w:rsidRDefault="000A073E" w:rsidP="008406FB">
      <w:pPr>
        <w:shd w:val="clear" w:color="auto" w:fill="FFFFFF"/>
        <w:spacing w:line="480" w:lineRule="auto"/>
      </w:pPr>
    </w:p>
    <w:p w14:paraId="79B146A7" w14:textId="2DAC39AE" w:rsidR="000A073E" w:rsidRPr="006B575D" w:rsidRDefault="008406FB" w:rsidP="008406FB">
      <w:pPr>
        <w:shd w:val="clear" w:color="auto" w:fill="FFFFFF"/>
        <w:spacing w:line="480" w:lineRule="auto"/>
      </w:pPr>
      <w:r w:rsidRPr="006B575D">
        <w:t>Finally, because data were collected in the United States, it is unknown whether similar patterns would be observed outside the context of WEIRD (Western, Educated, Industrialized, Rich, and Democratic</w:t>
      </w:r>
      <w:r w:rsidR="009D7E28" w:rsidRPr="006B575D">
        <w:t xml:space="preserve">) </w:t>
      </w:r>
      <w:r w:rsidR="009D7E28" w:rsidRPr="006B575D">
        <w:fldChar w:fldCharType="begin" w:fldLock="1"/>
      </w:r>
      <w:r w:rsidR="00BA4601" w:rsidRPr="006B57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81&lt;/sup&gt;","plainTextFormattedCitation":"81","previouslyFormattedCitation":"&lt;sup&gt;89&lt;/sup&gt;"},"properties":{"noteIndex":0},"schema":"https://github.com/citation-style-language/schema/raw/master/csl-citation.json"}</w:instrText>
      </w:r>
      <w:r w:rsidR="009D7E28" w:rsidRPr="006B575D">
        <w:fldChar w:fldCharType="separate"/>
      </w:r>
      <w:r w:rsidR="00BA4601" w:rsidRPr="006B575D">
        <w:rPr>
          <w:noProof/>
          <w:vertAlign w:val="superscript"/>
        </w:rPr>
        <w:t>81</w:t>
      </w:r>
      <w:r w:rsidR="009D7E28" w:rsidRPr="006B575D">
        <w:fldChar w:fldCharType="end"/>
      </w:r>
      <w:r w:rsidRPr="006B575D">
        <w:t xml:space="preserve"> samples. WEIRD and non-WEIRD countries are characterized by significantly different activity patterns, nutrition, infectious disease ecology, and morbidity and mortality </w:t>
      </w:r>
      <w:r w:rsidR="00F60069" w:rsidRPr="006B575D">
        <w:fldChar w:fldCharType="begin" w:fldLock="1"/>
      </w:r>
      <w:r w:rsidR="00BA4601" w:rsidRPr="006B575D">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82&lt;/sup&gt;","plainTextFormattedCitation":"82","previouslyFormattedCitation":"&lt;sup&gt;90&lt;/sup&gt;"},"properties":{"noteIndex":0},"schema":"https://github.com/citation-style-language/schema/raw/master/csl-citation.json"}</w:instrText>
      </w:r>
      <w:r w:rsidR="00F60069" w:rsidRPr="006B575D">
        <w:fldChar w:fldCharType="separate"/>
      </w:r>
      <w:r w:rsidR="00BA4601" w:rsidRPr="006B575D">
        <w:rPr>
          <w:noProof/>
          <w:vertAlign w:val="superscript"/>
        </w:rPr>
        <w:t>82</w:t>
      </w:r>
      <w:r w:rsidR="00F60069" w:rsidRPr="006B575D">
        <w:fldChar w:fldCharType="end"/>
      </w:r>
      <w:r w:rsidRPr="006B575D">
        <w:t xml:space="preserve">, all of which could shape costs of reproduction. Whereas some studies have indeed examined links between parity and aging in non-Western settings </w:t>
      </w:r>
      <w:r w:rsidR="009D7E28" w:rsidRPr="006B575D">
        <w:fldChar w:fldCharType="begin" w:fldLock="1"/>
      </w:r>
      <w:r w:rsidR="00BA4601" w:rsidRPr="006B575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14,84&lt;/sup&gt;","plainTextFormattedCitation":"14,84","previouslyFormattedCitation":"&lt;sup&gt;14,92&lt;/sup&gt;"},"properties":{"noteIndex":0},"schema":"https://github.com/citation-style-language/schema/raw/master/csl-citation.json"}</w:instrText>
      </w:r>
      <w:r w:rsidR="009D7E28" w:rsidRPr="006B575D">
        <w:fldChar w:fldCharType="separate"/>
      </w:r>
      <w:r w:rsidR="00BA4601" w:rsidRPr="006B575D">
        <w:rPr>
          <w:noProof/>
          <w:vertAlign w:val="superscript"/>
        </w:rPr>
        <w:t>14,84</w:t>
      </w:r>
      <w:r w:rsidR="009D7E28" w:rsidRPr="006B575D">
        <w:fldChar w:fldCharType="end"/>
      </w:r>
      <w:r w:rsidRPr="006B575D">
        <w:t xml:space="preserve">, more research is necessary to better catalogue and understand cross-cultural variation in costs of reproduction in women.     </w:t>
      </w:r>
    </w:p>
    <w:p w14:paraId="20F06B35" w14:textId="77777777" w:rsidR="000A073E" w:rsidRPr="006B575D" w:rsidRDefault="000A073E" w:rsidP="008406FB">
      <w:pPr>
        <w:shd w:val="clear" w:color="auto" w:fill="FFFFFF"/>
        <w:spacing w:line="480" w:lineRule="auto"/>
      </w:pPr>
    </w:p>
    <w:p w14:paraId="424D9184" w14:textId="77777777" w:rsidR="000A073E" w:rsidRPr="006B575D" w:rsidRDefault="008406FB" w:rsidP="008406FB">
      <w:pPr>
        <w:shd w:val="clear" w:color="auto" w:fill="FFFFFF"/>
        <w:spacing w:line="480" w:lineRule="auto"/>
        <w:rPr>
          <w:i/>
        </w:rPr>
      </w:pPr>
      <w:r w:rsidRPr="006B575D">
        <w:rPr>
          <w:i/>
        </w:rPr>
        <w:t>Conclusions</w:t>
      </w:r>
    </w:p>
    <w:p w14:paraId="4677C68A" w14:textId="705A71E0" w:rsidR="00AA1BE0" w:rsidRPr="006B575D" w:rsidRDefault="00AA1BE0" w:rsidP="00AA1BE0">
      <w:pPr>
        <w:shd w:val="clear" w:color="auto" w:fill="FFFFFF"/>
        <w:spacing w:line="480" w:lineRule="auto"/>
      </w:pPr>
      <w:r w:rsidRPr="006B575D">
        <w:t xml:space="preserve">We analyzed links between parity and different </w:t>
      </w:r>
      <w:r w:rsidR="007B2607" w:rsidRPr="006B575D">
        <w:t xml:space="preserve">clinical-based </w:t>
      </w:r>
      <w:r w:rsidRPr="006B575D">
        <w:t xml:space="preserve">measures of biological aging using a large, </w:t>
      </w:r>
      <w:proofErr w:type="gramStart"/>
      <w:r w:rsidRPr="006B575D">
        <w:t>nationally-representative</w:t>
      </w:r>
      <w:proofErr w:type="gramEnd"/>
      <w:r w:rsidRPr="006B575D">
        <w:t xml:space="preserve"> epidemiological sample of pre- and post-menopausal women in the United States. Our results are consistent with research in both historical populations and large epidemiological studies</w:t>
      </w:r>
      <w:r w:rsidR="006A2E60" w:rsidRPr="006B575D">
        <w:t xml:space="preserve"> suggesting a nonlinear relationship between parity and </w:t>
      </w:r>
      <w:r w:rsidR="007E534F" w:rsidRPr="006B575D">
        <w:t>health outcomes</w:t>
      </w:r>
      <w:r w:rsidRPr="006B575D">
        <w:t xml:space="preserve">. Furthermore, our findings suggest these effects are only evident after menopause when </w:t>
      </w:r>
      <w:r w:rsidR="007E534F" w:rsidRPr="006B575D">
        <w:t xml:space="preserve">indexed </w:t>
      </w:r>
      <w:r w:rsidRPr="006B575D">
        <w:t xml:space="preserve">using these composite measures. </w:t>
      </w:r>
      <w:r w:rsidR="00C7766E" w:rsidRPr="006B575D">
        <w:t>This</w:t>
      </w:r>
      <w:r w:rsidRPr="006B575D">
        <w:t xml:space="preserve"> contrast</w:t>
      </w:r>
      <w:r w:rsidR="00C7766E" w:rsidRPr="006B575D">
        <w:t>s</w:t>
      </w:r>
      <w:r w:rsidRPr="006B575D">
        <w:t xml:space="preserve"> with measures with cellular aging, which appear to capture costs of reproduction in pre-menopausal women, suggesting </w:t>
      </w:r>
      <w:r w:rsidR="007E534F" w:rsidRPr="006B575D">
        <w:t xml:space="preserve">the </w:t>
      </w:r>
      <w:r w:rsidR="006A2E60" w:rsidRPr="006B575D">
        <w:t xml:space="preserve">protective forces </w:t>
      </w:r>
      <w:r w:rsidR="007E534F" w:rsidRPr="006B575D">
        <w:t xml:space="preserve">that </w:t>
      </w:r>
      <w:r w:rsidR="006A2E60" w:rsidRPr="006B575D">
        <w:t>work to prevent</w:t>
      </w:r>
      <w:r w:rsidR="007E534F" w:rsidRPr="006B575D">
        <w:t xml:space="preserve"> clinical level dysregulation </w:t>
      </w:r>
      <w:r w:rsidR="00C7766E" w:rsidRPr="006B575D">
        <w:t xml:space="preserve">induced by parity </w:t>
      </w:r>
      <w:r w:rsidR="007E534F" w:rsidRPr="006B575D">
        <w:t xml:space="preserve">during the reproductive stage </w:t>
      </w:r>
      <w:r w:rsidR="00C7766E" w:rsidRPr="006B575D">
        <w:t xml:space="preserve">may </w:t>
      </w:r>
      <w:r w:rsidR="007E534F" w:rsidRPr="006B575D">
        <w:t>be insufficient to dampen molecular level changes</w:t>
      </w:r>
      <w:r w:rsidRPr="006B575D">
        <w:t>.</w:t>
      </w:r>
      <w:r w:rsidR="00E35A3B" w:rsidRPr="006B575D">
        <w:t xml:space="preserve"> </w:t>
      </w:r>
      <w:r w:rsidR="00B97607" w:rsidRPr="006B575D">
        <w:t>Longitudinal</w:t>
      </w:r>
      <w:r w:rsidR="007B2607" w:rsidRPr="006B575D">
        <w:t xml:space="preserve"> studies are </w:t>
      </w:r>
      <w:r w:rsidR="00B97607" w:rsidRPr="006B575D">
        <w:t xml:space="preserve">critically </w:t>
      </w:r>
      <w:r w:rsidR="007B2607" w:rsidRPr="006B575D">
        <w:t xml:space="preserve">needed to evaluate </w:t>
      </w:r>
      <w:r w:rsidR="00B97607" w:rsidRPr="006B575D">
        <w:t>molecular</w:t>
      </w:r>
      <w:r w:rsidR="007B2607" w:rsidRPr="006B575D">
        <w:t xml:space="preserve">-based and clinical-based indices of biological age acceleration </w:t>
      </w:r>
      <w:r w:rsidR="00B97607" w:rsidRPr="006B575D">
        <w:t>in tandem to better understand how costs of reproduction in women may manifest over time.</w:t>
      </w:r>
    </w:p>
    <w:p w14:paraId="3672A058" w14:textId="496A9909" w:rsidR="00DE4B0E" w:rsidRPr="006B575D" w:rsidRDefault="00DE4B0E" w:rsidP="008406FB">
      <w:pPr>
        <w:shd w:val="clear" w:color="auto" w:fill="FFFFFF"/>
        <w:spacing w:line="480" w:lineRule="auto"/>
      </w:pPr>
    </w:p>
    <w:p w14:paraId="6C8E0BC4" w14:textId="0351C19A" w:rsidR="00A222E8" w:rsidRPr="006B575D" w:rsidRDefault="00A222E8" w:rsidP="00A222E8">
      <w:pPr>
        <w:shd w:val="clear" w:color="auto" w:fill="FFFFFF"/>
        <w:spacing w:line="480" w:lineRule="auto"/>
        <w:rPr>
          <w:bCs/>
        </w:rPr>
      </w:pPr>
      <w:r w:rsidRPr="006B575D">
        <w:rPr>
          <w:b/>
        </w:rPr>
        <w:t xml:space="preserve">Data availability: </w:t>
      </w:r>
      <w:r w:rsidRPr="006B575D">
        <w:rPr>
          <w:bCs/>
        </w:rPr>
        <w:t xml:space="preserve">All script and data files that accompany this paper can be found at </w:t>
      </w:r>
      <w:hyperlink r:id="rId9" w:history="1">
        <w:r w:rsidRPr="006B575D">
          <w:rPr>
            <w:rStyle w:val="Hyperlink"/>
          </w:rPr>
          <w:t>https://osf.io/b2jft/</w:t>
        </w:r>
      </w:hyperlink>
      <w:r w:rsidRPr="006B575D">
        <w:t xml:space="preserve"> (DOI: </w:t>
      </w:r>
      <w:r w:rsidRPr="006B575D">
        <w:rPr>
          <w:shd w:val="clear" w:color="auto" w:fill="FFFFFF"/>
        </w:rPr>
        <w:t>10.17605/OSF.IO/B2JFT)</w:t>
      </w:r>
      <w:r w:rsidRPr="006B575D">
        <w:rPr>
          <w:bCs/>
        </w:rPr>
        <w:t xml:space="preserve">. </w:t>
      </w:r>
    </w:p>
    <w:p w14:paraId="197DDAC5" w14:textId="77777777" w:rsidR="00A222E8" w:rsidRPr="006B575D" w:rsidRDefault="00A222E8" w:rsidP="008406FB">
      <w:pPr>
        <w:shd w:val="clear" w:color="auto" w:fill="FFFFFF"/>
        <w:spacing w:line="480" w:lineRule="auto"/>
      </w:pPr>
    </w:p>
    <w:p w14:paraId="09EDBF15" w14:textId="77777777" w:rsidR="00DE4B0E" w:rsidRPr="006B575D" w:rsidRDefault="00DE4B0E" w:rsidP="008406FB">
      <w:pPr>
        <w:shd w:val="clear" w:color="auto" w:fill="FFFFFF"/>
        <w:spacing w:line="480" w:lineRule="auto"/>
        <w:rPr>
          <w:b/>
          <w:bCs/>
        </w:rPr>
      </w:pPr>
      <w:r w:rsidRPr="006B575D">
        <w:rPr>
          <w:b/>
          <w:bCs/>
        </w:rPr>
        <w:t>References</w:t>
      </w:r>
    </w:p>
    <w:p w14:paraId="0382AA6B" w14:textId="77777777" w:rsidR="00DE4B0E" w:rsidRPr="006B575D" w:rsidRDefault="00DE4B0E" w:rsidP="008406FB">
      <w:pPr>
        <w:shd w:val="clear" w:color="auto" w:fill="FFFFFF"/>
        <w:spacing w:line="480" w:lineRule="auto"/>
        <w:rPr>
          <w:b/>
          <w:bCs/>
        </w:rPr>
      </w:pPr>
    </w:p>
    <w:p w14:paraId="60F18731" w14:textId="1B16C745" w:rsidR="00BA4601" w:rsidRPr="006B575D" w:rsidRDefault="00DE4B0E" w:rsidP="00BA4601">
      <w:pPr>
        <w:widowControl w:val="0"/>
        <w:autoSpaceDE w:val="0"/>
        <w:autoSpaceDN w:val="0"/>
        <w:adjustRightInd w:val="0"/>
        <w:spacing w:line="480" w:lineRule="auto"/>
        <w:ind w:left="640" w:hanging="640"/>
        <w:rPr>
          <w:noProof/>
          <w:szCs w:val="24"/>
        </w:rPr>
      </w:pPr>
      <w:r w:rsidRPr="006B575D">
        <w:rPr>
          <w:b/>
          <w:bCs/>
        </w:rPr>
        <w:fldChar w:fldCharType="begin" w:fldLock="1"/>
      </w:r>
      <w:r w:rsidRPr="006B575D">
        <w:rPr>
          <w:b/>
          <w:bCs/>
        </w:rPr>
        <w:instrText xml:space="preserve">ADDIN Mendeley Bibliography CSL_BIBLIOGRAPHY </w:instrText>
      </w:r>
      <w:r w:rsidRPr="006B575D">
        <w:rPr>
          <w:b/>
          <w:bCs/>
        </w:rPr>
        <w:fldChar w:fldCharType="separate"/>
      </w:r>
      <w:r w:rsidR="00BA4601" w:rsidRPr="006B575D">
        <w:rPr>
          <w:noProof/>
          <w:szCs w:val="24"/>
        </w:rPr>
        <w:t>1.</w:t>
      </w:r>
      <w:r w:rsidR="00BA4601" w:rsidRPr="006B575D">
        <w:rPr>
          <w:noProof/>
          <w:szCs w:val="24"/>
        </w:rPr>
        <w:tab/>
        <w:t xml:space="preserve">Kennedy, B. K. </w:t>
      </w:r>
      <w:r w:rsidR="00BA4601" w:rsidRPr="006B575D">
        <w:rPr>
          <w:i/>
          <w:iCs/>
          <w:noProof/>
          <w:szCs w:val="24"/>
        </w:rPr>
        <w:t>et al.</w:t>
      </w:r>
      <w:r w:rsidR="00BA4601" w:rsidRPr="006B575D">
        <w:rPr>
          <w:noProof/>
          <w:szCs w:val="24"/>
        </w:rPr>
        <w:t xml:space="preserve"> Geroscience: linking aging to chronic disease. </w:t>
      </w:r>
      <w:r w:rsidR="00BA4601" w:rsidRPr="006B575D">
        <w:rPr>
          <w:i/>
          <w:iCs/>
          <w:noProof/>
          <w:szCs w:val="24"/>
        </w:rPr>
        <w:t>Cell</w:t>
      </w:r>
      <w:r w:rsidR="00BA4601" w:rsidRPr="006B575D">
        <w:rPr>
          <w:noProof/>
          <w:szCs w:val="24"/>
        </w:rPr>
        <w:t xml:space="preserve"> </w:t>
      </w:r>
      <w:r w:rsidR="00BA4601" w:rsidRPr="006B575D">
        <w:rPr>
          <w:b/>
          <w:bCs/>
          <w:noProof/>
          <w:szCs w:val="24"/>
        </w:rPr>
        <w:t>159</w:t>
      </w:r>
      <w:r w:rsidR="00BA4601" w:rsidRPr="006B575D">
        <w:rPr>
          <w:noProof/>
          <w:szCs w:val="24"/>
        </w:rPr>
        <w:t>, 709–713 (2014).</w:t>
      </w:r>
    </w:p>
    <w:p w14:paraId="2CDC3A05"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w:t>
      </w:r>
      <w:r w:rsidRPr="006B575D">
        <w:rPr>
          <w:noProof/>
          <w:szCs w:val="24"/>
        </w:rPr>
        <w:tab/>
        <w:t xml:space="preserve">Kirkwood, T. B. Understanding the odd science of aging. </w:t>
      </w:r>
      <w:r w:rsidRPr="006B575D">
        <w:rPr>
          <w:i/>
          <w:iCs/>
          <w:noProof/>
          <w:szCs w:val="24"/>
        </w:rPr>
        <w:t>Cell</w:t>
      </w:r>
      <w:r w:rsidRPr="006B575D">
        <w:rPr>
          <w:noProof/>
          <w:szCs w:val="24"/>
        </w:rPr>
        <w:t xml:space="preserve"> </w:t>
      </w:r>
      <w:r w:rsidRPr="006B575D">
        <w:rPr>
          <w:b/>
          <w:bCs/>
          <w:noProof/>
          <w:szCs w:val="24"/>
        </w:rPr>
        <w:t>120</w:t>
      </w:r>
      <w:r w:rsidRPr="006B575D">
        <w:rPr>
          <w:noProof/>
          <w:szCs w:val="24"/>
        </w:rPr>
        <w:t>, 437–447 (2005).</w:t>
      </w:r>
    </w:p>
    <w:p w14:paraId="17AAACC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w:t>
      </w:r>
      <w:r w:rsidRPr="006B575D">
        <w:rPr>
          <w:noProof/>
          <w:szCs w:val="24"/>
        </w:rPr>
        <w:tab/>
        <w:t xml:space="preserve">Levine, M. E. &amp; Crimmins, E. M. Is 60 the New 50? Examining Changes in Biological Age Over the Past Two Decades. </w:t>
      </w:r>
      <w:r w:rsidRPr="006B575D">
        <w:rPr>
          <w:i/>
          <w:iCs/>
          <w:noProof/>
          <w:szCs w:val="24"/>
        </w:rPr>
        <w:t>Demography</w:t>
      </w:r>
      <w:r w:rsidRPr="006B575D">
        <w:rPr>
          <w:noProof/>
          <w:szCs w:val="24"/>
        </w:rPr>
        <w:t xml:space="preserve"> </w:t>
      </w:r>
      <w:r w:rsidRPr="006B575D">
        <w:rPr>
          <w:b/>
          <w:bCs/>
          <w:noProof/>
          <w:szCs w:val="24"/>
        </w:rPr>
        <w:t>55</w:t>
      </w:r>
      <w:r w:rsidRPr="006B575D">
        <w:rPr>
          <w:noProof/>
          <w:szCs w:val="24"/>
        </w:rPr>
        <w:t>, 387–402 (2018).</w:t>
      </w:r>
    </w:p>
    <w:p w14:paraId="09B33BC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w:t>
      </w:r>
      <w:r w:rsidRPr="006B575D">
        <w:rPr>
          <w:noProof/>
          <w:szCs w:val="24"/>
        </w:rPr>
        <w:tab/>
        <w:t xml:space="preserve">Kaletsky, R. &amp; Murphy, C. T. The role of insulin/IGF-like signaling in C. elegans longevity and aging. </w:t>
      </w:r>
      <w:r w:rsidRPr="006B575D">
        <w:rPr>
          <w:i/>
          <w:iCs/>
          <w:noProof/>
          <w:szCs w:val="24"/>
        </w:rPr>
        <w:t>DMM Dis. Model. Mech.</w:t>
      </w:r>
      <w:r w:rsidRPr="006B575D">
        <w:rPr>
          <w:noProof/>
          <w:szCs w:val="24"/>
        </w:rPr>
        <w:t xml:space="preserve"> </w:t>
      </w:r>
      <w:r w:rsidRPr="006B575D">
        <w:rPr>
          <w:b/>
          <w:bCs/>
          <w:noProof/>
          <w:szCs w:val="24"/>
        </w:rPr>
        <w:t>3</w:t>
      </w:r>
      <w:r w:rsidRPr="006B575D">
        <w:rPr>
          <w:noProof/>
          <w:szCs w:val="24"/>
        </w:rPr>
        <w:t>, 415–419 (2010).</w:t>
      </w:r>
    </w:p>
    <w:p w14:paraId="3C08902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w:t>
      </w:r>
      <w:r w:rsidRPr="006B575D">
        <w:rPr>
          <w:noProof/>
          <w:szCs w:val="24"/>
        </w:rPr>
        <w:tab/>
        <w:t xml:space="preserve">Shigenaga, M. K., Hagen, T. M. &amp; Ames, B. N. Oxidative damage and mitochondrial decay in </w:t>
      </w:r>
      <w:r w:rsidRPr="006B575D">
        <w:rPr>
          <w:noProof/>
          <w:szCs w:val="24"/>
        </w:rPr>
        <w:lastRenderedPageBreak/>
        <w:t xml:space="preserve">aging. </w:t>
      </w:r>
      <w:r w:rsidRPr="006B575D">
        <w:rPr>
          <w:i/>
          <w:iCs/>
          <w:noProof/>
          <w:szCs w:val="24"/>
        </w:rPr>
        <w:t>Proc. Natl. Acad. Sci. U. S. A.</w:t>
      </w:r>
      <w:r w:rsidRPr="006B575D">
        <w:rPr>
          <w:noProof/>
          <w:szCs w:val="24"/>
        </w:rPr>
        <w:t xml:space="preserve"> </w:t>
      </w:r>
      <w:r w:rsidRPr="006B575D">
        <w:rPr>
          <w:b/>
          <w:bCs/>
          <w:noProof/>
          <w:szCs w:val="24"/>
        </w:rPr>
        <w:t>91</w:t>
      </w:r>
      <w:r w:rsidRPr="006B575D">
        <w:rPr>
          <w:noProof/>
          <w:szCs w:val="24"/>
        </w:rPr>
        <w:t>, 10771–10778 (1994).</w:t>
      </w:r>
    </w:p>
    <w:p w14:paraId="2F8E88ED"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w:t>
      </w:r>
      <w:r w:rsidRPr="006B575D">
        <w:rPr>
          <w:noProof/>
          <w:szCs w:val="24"/>
        </w:rPr>
        <w:tab/>
        <w:t xml:space="preserve">Franceschi, C. &amp; Campisi, J. Chronic inflammation (Inflammaging) and its potential contribution to age-associated diseases. </w:t>
      </w:r>
      <w:r w:rsidRPr="006B575D">
        <w:rPr>
          <w:i/>
          <w:iCs/>
          <w:noProof/>
          <w:szCs w:val="24"/>
        </w:rPr>
        <w:t>Journals Gerontol. - Ser. A Biol. Sci. Med. Sci.</w:t>
      </w:r>
      <w:r w:rsidRPr="006B575D">
        <w:rPr>
          <w:noProof/>
          <w:szCs w:val="24"/>
        </w:rPr>
        <w:t xml:space="preserve"> </w:t>
      </w:r>
      <w:r w:rsidRPr="006B575D">
        <w:rPr>
          <w:b/>
          <w:bCs/>
          <w:noProof/>
          <w:szCs w:val="24"/>
        </w:rPr>
        <w:t>69</w:t>
      </w:r>
      <w:r w:rsidRPr="006B575D">
        <w:rPr>
          <w:noProof/>
          <w:szCs w:val="24"/>
        </w:rPr>
        <w:t>, S4–S9 (2014).</w:t>
      </w:r>
    </w:p>
    <w:p w14:paraId="0A27A965"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w:t>
      </w:r>
      <w:r w:rsidRPr="006B575D">
        <w:rPr>
          <w:noProof/>
          <w:szCs w:val="24"/>
        </w:rPr>
        <w:tab/>
        <w:t xml:space="preserve">Horvath, S. &amp; Raj, K. DNA methylation-based biomarkers and the epigenetic clock theory of ageing. </w:t>
      </w:r>
      <w:r w:rsidRPr="006B575D">
        <w:rPr>
          <w:i/>
          <w:iCs/>
          <w:noProof/>
          <w:szCs w:val="24"/>
        </w:rPr>
        <w:t>Nat Rev Genet</w:t>
      </w:r>
      <w:r w:rsidRPr="006B575D">
        <w:rPr>
          <w:noProof/>
          <w:szCs w:val="24"/>
        </w:rPr>
        <w:t xml:space="preserve"> </w:t>
      </w:r>
      <w:r w:rsidRPr="006B575D">
        <w:rPr>
          <w:b/>
          <w:bCs/>
          <w:noProof/>
          <w:szCs w:val="24"/>
        </w:rPr>
        <w:t>19</w:t>
      </w:r>
      <w:r w:rsidRPr="006B575D">
        <w:rPr>
          <w:noProof/>
          <w:szCs w:val="24"/>
        </w:rPr>
        <w:t>, 371–384 (2018).</w:t>
      </w:r>
    </w:p>
    <w:p w14:paraId="2E9A2B22"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8.</w:t>
      </w:r>
      <w:r w:rsidRPr="006B575D">
        <w:rPr>
          <w:noProof/>
          <w:szCs w:val="24"/>
        </w:rPr>
        <w:tab/>
        <w:t xml:space="preserve">Sanders, J. L. &amp; Newman, A. B. Telomere length in epidemiology: A biomarker of aging, age-related disease, both, or neither? </w:t>
      </w:r>
      <w:r w:rsidRPr="006B575D">
        <w:rPr>
          <w:i/>
          <w:iCs/>
          <w:noProof/>
          <w:szCs w:val="24"/>
        </w:rPr>
        <w:t>Epidemiol. Rev.</w:t>
      </w:r>
      <w:r w:rsidRPr="006B575D">
        <w:rPr>
          <w:noProof/>
          <w:szCs w:val="24"/>
        </w:rPr>
        <w:t xml:space="preserve"> </w:t>
      </w:r>
      <w:r w:rsidRPr="006B575D">
        <w:rPr>
          <w:b/>
          <w:bCs/>
          <w:noProof/>
          <w:szCs w:val="24"/>
        </w:rPr>
        <w:t>35</w:t>
      </w:r>
      <w:r w:rsidRPr="006B575D">
        <w:rPr>
          <w:noProof/>
          <w:szCs w:val="24"/>
        </w:rPr>
        <w:t>, 112–131 (2013).</w:t>
      </w:r>
    </w:p>
    <w:p w14:paraId="6B758DF7"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9.</w:t>
      </w:r>
      <w:r w:rsidRPr="006B575D">
        <w:rPr>
          <w:noProof/>
          <w:szCs w:val="24"/>
        </w:rPr>
        <w:tab/>
        <w:t xml:space="preserve">United Nations. </w:t>
      </w:r>
      <w:r w:rsidRPr="006B575D">
        <w:rPr>
          <w:i/>
          <w:iCs/>
          <w:noProof/>
          <w:szCs w:val="24"/>
        </w:rPr>
        <w:t>World Population Prospects 2019</w:t>
      </w:r>
      <w:r w:rsidRPr="006B575D">
        <w:rPr>
          <w:noProof/>
          <w:szCs w:val="24"/>
        </w:rPr>
        <w:t xml:space="preserve">. </w:t>
      </w:r>
      <w:r w:rsidRPr="006B575D">
        <w:rPr>
          <w:i/>
          <w:iCs/>
          <w:noProof/>
          <w:szCs w:val="24"/>
        </w:rPr>
        <w:t>Department of Economic and Social Affairs. World Population Prospects 2019.</w:t>
      </w:r>
      <w:r w:rsidRPr="006B575D">
        <w:rPr>
          <w:noProof/>
          <w:szCs w:val="24"/>
        </w:rPr>
        <w:t xml:space="preserve"> (2019).</w:t>
      </w:r>
    </w:p>
    <w:p w14:paraId="17D43C09"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10.</w:t>
      </w:r>
      <w:r w:rsidRPr="006B575D">
        <w:rPr>
          <w:noProof/>
          <w:szCs w:val="24"/>
        </w:rPr>
        <w:tab/>
        <w:t xml:space="preserve">Valdes, A, M. </w:t>
      </w:r>
      <w:r w:rsidRPr="006B575D">
        <w:rPr>
          <w:i/>
          <w:iCs/>
          <w:noProof/>
          <w:szCs w:val="24"/>
        </w:rPr>
        <w:t>et al.</w:t>
      </w:r>
      <w:r w:rsidRPr="006B575D">
        <w:rPr>
          <w:noProof/>
          <w:szCs w:val="24"/>
        </w:rPr>
        <w:t xml:space="preserve"> Obesity, cigarette smoking, and telomere length in women. </w:t>
      </w:r>
      <w:r w:rsidRPr="006B575D">
        <w:rPr>
          <w:i/>
          <w:iCs/>
          <w:noProof/>
          <w:szCs w:val="24"/>
        </w:rPr>
        <w:t>Lancet</w:t>
      </w:r>
      <w:r w:rsidRPr="006B575D">
        <w:rPr>
          <w:noProof/>
          <w:szCs w:val="24"/>
        </w:rPr>
        <w:t xml:space="preserve"> </w:t>
      </w:r>
      <w:r w:rsidRPr="006B575D">
        <w:rPr>
          <w:b/>
          <w:bCs/>
          <w:noProof/>
          <w:szCs w:val="24"/>
        </w:rPr>
        <w:t>366</w:t>
      </w:r>
      <w:r w:rsidRPr="006B575D">
        <w:rPr>
          <w:noProof/>
          <w:szCs w:val="24"/>
        </w:rPr>
        <w:t>, 662–664 (2005).</w:t>
      </w:r>
    </w:p>
    <w:p w14:paraId="440FF01F"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11.</w:t>
      </w:r>
      <w:r w:rsidRPr="006B575D">
        <w:rPr>
          <w:noProof/>
          <w:szCs w:val="24"/>
        </w:rPr>
        <w:tab/>
        <w:t xml:space="preserve">Hastings, W. J., Shalev, I. &amp; Belsky, D. W. Comparability of biological aging measures in the National Health and Nutrition Examination Study, 1999-2002. </w:t>
      </w:r>
      <w:r w:rsidRPr="006B575D">
        <w:rPr>
          <w:i/>
          <w:iCs/>
          <w:noProof/>
          <w:szCs w:val="24"/>
        </w:rPr>
        <w:t>Psychoneuroendocrinology</w:t>
      </w:r>
      <w:r w:rsidRPr="006B575D">
        <w:rPr>
          <w:noProof/>
          <w:szCs w:val="24"/>
        </w:rPr>
        <w:t xml:space="preserve"> </w:t>
      </w:r>
      <w:r w:rsidRPr="006B575D">
        <w:rPr>
          <w:b/>
          <w:bCs/>
          <w:noProof/>
          <w:szCs w:val="24"/>
        </w:rPr>
        <w:t>106</w:t>
      </w:r>
      <w:r w:rsidRPr="006B575D">
        <w:rPr>
          <w:noProof/>
          <w:szCs w:val="24"/>
        </w:rPr>
        <w:t>, 171–178 (2019).</w:t>
      </w:r>
    </w:p>
    <w:p w14:paraId="327BC0B6"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12.</w:t>
      </w:r>
      <w:r w:rsidRPr="006B575D">
        <w:rPr>
          <w:noProof/>
          <w:szCs w:val="24"/>
        </w:rPr>
        <w:tab/>
        <w:t xml:space="preserve">Epel, E. S. </w:t>
      </w:r>
      <w:r w:rsidRPr="006B575D">
        <w:rPr>
          <w:i/>
          <w:iCs/>
          <w:noProof/>
          <w:szCs w:val="24"/>
        </w:rPr>
        <w:t>et al.</w:t>
      </w:r>
      <w:r w:rsidRPr="006B575D">
        <w:rPr>
          <w:noProof/>
          <w:szCs w:val="24"/>
        </w:rPr>
        <w:t xml:space="preserve"> Accelerated telomere shortening in response to life stress. </w:t>
      </w:r>
      <w:r w:rsidRPr="006B575D">
        <w:rPr>
          <w:i/>
          <w:iCs/>
          <w:noProof/>
          <w:szCs w:val="24"/>
        </w:rPr>
        <w:t>Proc. Natl. Acad. Sci.</w:t>
      </w:r>
      <w:r w:rsidRPr="006B575D">
        <w:rPr>
          <w:noProof/>
          <w:szCs w:val="24"/>
        </w:rPr>
        <w:t xml:space="preserve"> </w:t>
      </w:r>
      <w:r w:rsidRPr="006B575D">
        <w:rPr>
          <w:b/>
          <w:bCs/>
          <w:noProof/>
          <w:szCs w:val="24"/>
        </w:rPr>
        <w:t>101</w:t>
      </w:r>
      <w:r w:rsidRPr="006B575D">
        <w:rPr>
          <w:noProof/>
          <w:szCs w:val="24"/>
        </w:rPr>
        <w:t>, 17312–17315 (2004).</w:t>
      </w:r>
    </w:p>
    <w:p w14:paraId="509CCBB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13.</w:t>
      </w:r>
      <w:r w:rsidRPr="006B575D">
        <w:rPr>
          <w:noProof/>
          <w:szCs w:val="24"/>
        </w:rPr>
        <w:tab/>
        <w:t xml:space="preserve">Pollack, A. Z., Rivers, K. &amp; Ahrens, K. A. Parity associated with telomere length among US reproductive age women. </w:t>
      </w:r>
      <w:r w:rsidRPr="006B575D">
        <w:rPr>
          <w:i/>
          <w:iCs/>
          <w:noProof/>
          <w:szCs w:val="24"/>
        </w:rPr>
        <w:t>Hum. Reprod.</w:t>
      </w:r>
      <w:r w:rsidRPr="006B575D">
        <w:rPr>
          <w:noProof/>
          <w:szCs w:val="24"/>
        </w:rPr>
        <w:t xml:space="preserve"> </w:t>
      </w:r>
      <w:r w:rsidRPr="006B575D">
        <w:rPr>
          <w:b/>
          <w:bCs/>
          <w:noProof/>
          <w:szCs w:val="24"/>
        </w:rPr>
        <w:t>33</w:t>
      </w:r>
      <w:r w:rsidRPr="006B575D">
        <w:rPr>
          <w:noProof/>
          <w:szCs w:val="24"/>
        </w:rPr>
        <w:t>, 736–744 (2018).</w:t>
      </w:r>
    </w:p>
    <w:p w14:paraId="2A406E9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14.</w:t>
      </w:r>
      <w:r w:rsidRPr="006B575D">
        <w:rPr>
          <w:noProof/>
          <w:szCs w:val="24"/>
        </w:rPr>
        <w:tab/>
        <w:t xml:space="preserve">Ryan, C. P. </w:t>
      </w:r>
      <w:r w:rsidRPr="006B575D">
        <w:rPr>
          <w:i/>
          <w:iCs/>
          <w:noProof/>
          <w:szCs w:val="24"/>
        </w:rPr>
        <w:t>et al.</w:t>
      </w:r>
      <w:r w:rsidRPr="006B575D">
        <w:rPr>
          <w:noProof/>
          <w:szCs w:val="24"/>
        </w:rPr>
        <w:t xml:space="preserve"> Reproduction predicts shorter telomeres and epigenetic age acceleration among young adult women. </w:t>
      </w:r>
      <w:r w:rsidRPr="006B575D">
        <w:rPr>
          <w:i/>
          <w:iCs/>
          <w:noProof/>
          <w:szCs w:val="24"/>
        </w:rPr>
        <w:t>Sci. Rep.</w:t>
      </w:r>
      <w:r w:rsidRPr="006B575D">
        <w:rPr>
          <w:noProof/>
          <w:szCs w:val="24"/>
        </w:rPr>
        <w:t xml:space="preserve"> 1–9 (2018). doi:10.1038/s41598-018-29486-4</w:t>
      </w:r>
    </w:p>
    <w:p w14:paraId="04DF96C3"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15.</w:t>
      </w:r>
      <w:r w:rsidRPr="006B575D">
        <w:rPr>
          <w:noProof/>
          <w:szCs w:val="24"/>
        </w:rPr>
        <w:tab/>
        <w:t xml:space="preserve">Tan, E. K. &amp; Tan, E. L. Alterations in physiology and anatomy during pregnancy. </w:t>
      </w:r>
      <w:r w:rsidRPr="006B575D">
        <w:rPr>
          <w:i/>
          <w:iCs/>
          <w:noProof/>
          <w:szCs w:val="24"/>
        </w:rPr>
        <w:t>Best Pract. Res. Clin. Obstet. Gynaecol.</w:t>
      </w:r>
      <w:r w:rsidRPr="006B575D">
        <w:rPr>
          <w:noProof/>
          <w:szCs w:val="24"/>
        </w:rPr>
        <w:t xml:space="preserve"> </w:t>
      </w:r>
      <w:r w:rsidRPr="006B575D">
        <w:rPr>
          <w:b/>
          <w:bCs/>
          <w:noProof/>
          <w:szCs w:val="24"/>
        </w:rPr>
        <w:t>27</w:t>
      </w:r>
      <w:r w:rsidRPr="006B575D">
        <w:rPr>
          <w:noProof/>
          <w:szCs w:val="24"/>
        </w:rPr>
        <w:t>, 791–802 (2013).</w:t>
      </w:r>
    </w:p>
    <w:p w14:paraId="10A76CA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16.</w:t>
      </w:r>
      <w:r w:rsidRPr="006B575D">
        <w:rPr>
          <w:noProof/>
          <w:szCs w:val="24"/>
        </w:rPr>
        <w:tab/>
        <w:t xml:space="preserve">Cramer, D. W. &amp; Vitonis, A. F. Signatures of reproductive events on blood counts and biomarkers of inflammation: Implications for chronic disease risk. </w:t>
      </w:r>
      <w:r w:rsidRPr="006B575D">
        <w:rPr>
          <w:i/>
          <w:iCs/>
          <w:noProof/>
          <w:szCs w:val="24"/>
        </w:rPr>
        <w:t>PLoS One</w:t>
      </w:r>
      <w:r w:rsidRPr="006B575D">
        <w:rPr>
          <w:noProof/>
          <w:szCs w:val="24"/>
        </w:rPr>
        <w:t xml:space="preserve"> </w:t>
      </w:r>
      <w:r w:rsidRPr="006B575D">
        <w:rPr>
          <w:b/>
          <w:bCs/>
          <w:noProof/>
          <w:szCs w:val="24"/>
        </w:rPr>
        <w:t>12</w:t>
      </w:r>
      <w:r w:rsidRPr="006B575D">
        <w:rPr>
          <w:noProof/>
          <w:szCs w:val="24"/>
        </w:rPr>
        <w:t>, 1–19 (2017).</w:t>
      </w:r>
    </w:p>
    <w:p w14:paraId="01FF931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17.</w:t>
      </w:r>
      <w:r w:rsidRPr="006B575D">
        <w:rPr>
          <w:noProof/>
          <w:szCs w:val="24"/>
        </w:rPr>
        <w:tab/>
        <w:t xml:space="preserve">Lurie, S., Rahamim, E., Piper, I., Golan, A. &amp; Sadan, O. Total and differential leukocyte counts percentiles in normal pregnancy. </w:t>
      </w:r>
      <w:r w:rsidRPr="006B575D">
        <w:rPr>
          <w:i/>
          <w:iCs/>
          <w:noProof/>
          <w:szCs w:val="24"/>
        </w:rPr>
        <w:t>Eur. J. Obs. Gynecol. Reprod. Biol.</w:t>
      </w:r>
      <w:r w:rsidRPr="006B575D">
        <w:rPr>
          <w:noProof/>
          <w:szCs w:val="24"/>
        </w:rPr>
        <w:t xml:space="preserve"> </w:t>
      </w:r>
      <w:r w:rsidRPr="006B575D">
        <w:rPr>
          <w:b/>
          <w:bCs/>
          <w:noProof/>
          <w:szCs w:val="24"/>
        </w:rPr>
        <w:t>136</w:t>
      </w:r>
      <w:r w:rsidRPr="006B575D">
        <w:rPr>
          <w:noProof/>
          <w:szCs w:val="24"/>
        </w:rPr>
        <w:t>, 16–19 (2008).</w:t>
      </w:r>
    </w:p>
    <w:p w14:paraId="44BAA615"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lastRenderedPageBreak/>
        <w:t>18.</w:t>
      </w:r>
      <w:r w:rsidRPr="006B575D">
        <w:rPr>
          <w:noProof/>
          <w:szCs w:val="24"/>
        </w:rPr>
        <w:tab/>
        <w:t xml:space="preserve">Faas, M. M., Spaans, F. &amp; De Vos, P. Monocytes and macrophages in pregnancy and pre-eclampsia. </w:t>
      </w:r>
      <w:r w:rsidRPr="006B575D">
        <w:rPr>
          <w:i/>
          <w:iCs/>
          <w:noProof/>
          <w:szCs w:val="24"/>
        </w:rPr>
        <w:t>Front. Immunol.</w:t>
      </w:r>
      <w:r w:rsidRPr="006B575D">
        <w:rPr>
          <w:noProof/>
          <w:szCs w:val="24"/>
        </w:rPr>
        <w:t xml:space="preserve"> </w:t>
      </w:r>
      <w:r w:rsidRPr="006B575D">
        <w:rPr>
          <w:b/>
          <w:bCs/>
          <w:noProof/>
          <w:szCs w:val="24"/>
        </w:rPr>
        <w:t>5</w:t>
      </w:r>
      <w:r w:rsidRPr="006B575D">
        <w:rPr>
          <w:noProof/>
          <w:szCs w:val="24"/>
        </w:rPr>
        <w:t>, 1–11 (2014).</w:t>
      </w:r>
    </w:p>
    <w:p w14:paraId="47824D7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19.</w:t>
      </w:r>
      <w:r w:rsidRPr="006B575D">
        <w:rPr>
          <w:noProof/>
          <w:szCs w:val="24"/>
        </w:rPr>
        <w:tab/>
        <w:t xml:space="preserve">Soma-Pillay, P., Nelson-piercy, C., Tolppanen, H. &amp; Mebazaa, A. Physiological changes in pregnancy. </w:t>
      </w:r>
      <w:r w:rsidRPr="006B575D">
        <w:rPr>
          <w:i/>
          <w:iCs/>
          <w:noProof/>
          <w:szCs w:val="24"/>
        </w:rPr>
        <w:t>Cardiovasc. J. Afr.</w:t>
      </w:r>
      <w:r w:rsidRPr="006B575D">
        <w:rPr>
          <w:noProof/>
          <w:szCs w:val="24"/>
        </w:rPr>
        <w:t xml:space="preserve"> </w:t>
      </w:r>
      <w:r w:rsidRPr="006B575D">
        <w:rPr>
          <w:b/>
          <w:bCs/>
          <w:noProof/>
          <w:szCs w:val="24"/>
        </w:rPr>
        <w:t>27</w:t>
      </w:r>
      <w:r w:rsidRPr="006B575D">
        <w:rPr>
          <w:noProof/>
          <w:szCs w:val="24"/>
        </w:rPr>
        <w:t>, 89–94 (2016).</w:t>
      </w:r>
    </w:p>
    <w:p w14:paraId="6CE2DD4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20.</w:t>
      </w:r>
      <w:r w:rsidRPr="006B575D">
        <w:rPr>
          <w:noProof/>
          <w:szCs w:val="24"/>
        </w:rPr>
        <w:tab/>
        <w:t xml:space="preserve">Fried, R. L., Mayol, N. L., McDade, T. W. &amp; Kuzawa, C. W. Maternal metabolic adaptations to pregnancy among young women in Cebu, Philippines. </w:t>
      </w:r>
      <w:r w:rsidRPr="006B575D">
        <w:rPr>
          <w:i/>
          <w:iCs/>
          <w:noProof/>
          <w:szCs w:val="24"/>
        </w:rPr>
        <w:t>Am. J. Hum. Biol.</w:t>
      </w:r>
      <w:r w:rsidRPr="006B575D">
        <w:rPr>
          <w:noProof/>
          <w:szCs w:val="24"/>
        </w:rPr>
        <w:t xml:space="preserve"> </w:t>
      </w:r>
      <w:r w:rsidRPr="006B575D">
        <w:rPr>
          <w:b/>
          <w:bCs/>
          <w:noProof/>
          <w:szCs w:val="24"/>
        </w:rPr>
        <w:t>29</w:t>
      </w:r>
      <w:r w:rsidRPr="006B575D">
        <w:rPr>
          <w:noProof/>
          <w:szCs w:val="24"/>
        </w:rPr>
        <w:t>, e23011 (2017).</w:t>
      </w:r>
    </w:p>
    <w:p w14:paraId="564F7063"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21.</w:t>
      </w:r>
      <w:r w:rsidRPr="006B575D">
        <w:rPr>
          <w:noProof/>
          <w:szCs w:val="24"/>
        </w:rPr>
        <w:tab/>
        <w:t xml:space="preserve">Sanghavi, M. &amp; Rutherford, J. D. Cardiovascular physiology of pregnancy. </w:t>
      </w:r>
      <w:r w:rsidRPr="006B575D">
        <w:rPr>
          <w:i/>
          <w:iCs/>
          <w:noProof/>
          <w:szCs w:val="24"/>
        </w:rPr>
        <w:t>Circulation</w:t>
      </w:r>
      <w:r w:rsidRPr="006B575D">
        <w:rPr>
          <w:noProof/>
          <w:szCs w:val="24"/>
        </w:rPr>
        <w:t xml:space="preserve"> </w:t>
      </w:r>
      <w:r w:rsidRPr="006B575D">
        <w:rPr>
          <w:b/>
          <w:bCs/>
          <w:noProof/>
          <w:szCs w:val="24"/>
        </w:rPr>
        <w:t>130</w:t>
      </w:r>
      <w:r w:rsidRPr="006B575D">
        <w:rPr>
          <w:noProof/>
          <w:szCs w:val="24"/>
        </w:rPr>
        <w:t>, 1003–1008 (2014).</w:t>
      </w:r>
    </w:p>
    <w:p w14:paraId="40977B61"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22.</w:t>
      </w:r>
      <w:r w:rsidRPr="006B575D">
        <w:rPr>
          <w:noProof/>
          <w:szCs w:val="24"/>
        </w:rPr>
        <w:tab/>
        <w:t xml:space="preserve">Cheung, K. L. &amp; Lafayette, R. A. Renal physiology of pregnancy. </w:t>
      </w:r>
      <w:r w:rsidRPr="006B575D">
        <w:rPr>
          <w:i/>
          <w:iCs/>
          <w:noProof/>
          <w:szCs w:val="24"/>
        </w:rPr>
        <w:t>Adv. Chronic Kidney Dis.</w:t>
      </w:r>
      <w:r w:rsidRPr="006B575D">
        <w:rPr>
          <w:noProof/>
          <w:szCs w:val="24"/>
        </w:rPr>
        <w:t xml:space="preserve"> </w:t>
      </w:r>
      <w:r w:rsidRPr="006B575D">
        <w:rPr>
          <w:b/>
          <w:bCs/>
          <w:noProof/>
          <w:szCs w:val="24"/>
        </w:rPr>
        <w:t>20</w:t>
      </w:r>
      <w:r w:rsidRPr="006B575D">
        <w:rPr>
          <w:noProof/>
          <w:szCs w:val="24"/>
        </w:rPr>
        <w:t>, 209–214 (2013).</w:t>
      </w:r>
    </w:p>
    <w:p w14:paraId="0E6503EB"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23.</w:t>
      </w:r>
      <w:r w:rsidRPr="006B575D">
        <w:rPr>
          <w:noProof/>
          <w:szCs w:val="24"/>
        </w:rPr>
        <w:tab/>
        <w:t xml:space="preserve">Kovacs, C. S. &amp; Deal, C. </w:t>
      </w:r>
      <w:r w:rsidRPr="006B575D">
        <w:rPr>
          <w:i/>
          <w:iCs/>
          <w:noProof/>
          <w:szCs w:val="24"/>
        </w:rPr>
        <w:t>Maternal-Fetal and Neonatal Endocrinology: Physiology, Pathophysiology, and Clinical Management</w:t>
      </w:r>
      <w:r w:rsidRPr="006B575D">
        <w:rPr>
          <w:noProof/>
          <w:szCs w:val="24"/>
        </w:rPr>
        <w:t>. (Academic Press, 2019).</w:t>
      </w:r>
    </w:p>
    <w:p w14:paraId="54541361"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24.</w:t>
      </w:r>
      <w:r w:rsidRPr="006B575D">
        <w:rPr>
          <w:noProof/>
          <w:szCs w:val="24"/>
        </w:rPr>
        <w:tab/>
        <w:t xml:space="preserve">Harshman, L. G. &amp; Zera, A. J. The cost of reproduction: The devil in the details. </w:t>
      </w:r>
      <w:r w:rsidRPr="006B575D">
        <w:rPr>
          <w:i/>
          <w:iCs/>
          <w:noProof/>
          <w:szCs w:val="24"/>
        </w:rPr>
        <w:t>Trends Ecol. Evol.</w:t>
      </w:r>
      <w:r w:rsidRPr="006B575D">
        <w:rPr>
          <w:noProof/>
          <w:szCs w:val="24"/>
        </w:rPr>
        <w:t xml:space="preserve"> </w:t>
      </w:r>
      <w:r w:rsidRPr="006B575D">
        <w:rPr>
          <w:b/>
          <w:bCs/>
          <w:noProof/>
          <w:szCs w:val="24"/>
        </w:rPr>
        <w:t>22</w:t>
      </w:r>
      <w:r w:rsidRPr="006B575D">
        <w:rPr>
          <w:noProof/>
          <w:szCs w:val="24"/>
        </w:rPr>
        <w:t>, 80–86 (2006).</w:t>
      </w:r>
    </w:p>
    <w:p w14:paraId="3878553E"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25.</w:t>
      </w:r>
      <w:r w:rsidRPr="006B575D">
        <w:rPr>
          <w:noProof/>
          <w:szCs w:val="24"/>
        </w:rPr>
        <w:tab/>
        <w:t xml:space="preserve">Jasienska, G. Costs of reproduction and ageing in the human female. </w:t>
      </w:r>
      <w:r w:rsidRPr="006B575D">
        <w:rPr>
          <w:i/>
          <w:iCs/>
          <w:noProof/>
          <w:szCs w:val="24"/>
        </w:rPr>
        <w:t>Philos. Trans. R. Soc. B Biol. Sci.</w:t>
      </w:r>
      <w:r w:rsidRPr="006B575D">
        <w:rPr>
          <w:noProof/>
          <w:szCs w:val="24"/>
        </w:rPr>
        <w:t xml:space="preserve"> </w:t>
      </w:r>
      <w:r w:rsidRPr="006B575D">
        <w:rPr>
          <w:b/>
          <w:bCs/>
          <w:noProof/>
          <w:szCs w:val="24"/>
        </w:rPr>
        <w:t>375</w:t>
      </w:r>
      <w:r w:rsidRPr="006B575D">
        <w:rPr>
          <w:noProof/>
          <w:szCs w:val="24"/>
        </w:rPr>
        <w:t>, 20190615 (2020).</w:t>
      </w:r>
    </w:p>
    <w:p w14:paraId="7B6AFFA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26.</w:t>
      </w:r>
      <w:r w:rsidRPr="006B575D">
        <w:rPr>
          <w:noProof/>
          <w:szCs w:val="24"/>
        </w:rPr>
        <w:tab/>
        <w:t xml:space="preserve">Beral, V. &amp; Beral, V. Long term effects of childbearing. </w:t>
      </w:r>
      <w:r w:rsidRPr="006B575D">
        <w:rPr>
          <w:i/>
          <w:iCs/>
          <w:noProof/>
          <w:szCs w:val="24"/>
        </w:rPr>
        <w:t>J. Epidemiol. Community Health</w:t>
      </w:r>
      <w:r w:rsidRPr="006B575D">
        <w:rPr>
          <w:noProof/>
          <w:szCs w:val="24"/>
        </w:rPr>
        <w:t xml:space="preserve"> </w:t>
      </w:r>
      <w:r w:rsidRPr="006B575D">
        <w:rPr>
          <w:b/>
          <w:bCs/>
          <w:noProof/>
          <w:szCs w:val="24"/>
        </w:rPr>
        <w:t>39</w:t>
      </w:r>
      <w:r w:rsidRPr="006B575D">
        <w:rPr>
          <w:noProof/>
          <w:szCs w:val="24"/>
        </w:rPr>
        <w:t>, 343–346 (1985).</w:t>
      </w:r>
    </w:p>
    <w:p w14:paraId="52DF1C49"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27.</w:t>
      </w:r>
      <w:r w:rsidRPr="006B575D">
        <w:rPr>
          <w:noProof/>
          <w:szCs w:val="24"/>
        </w:rPr>
        <w:tab/>
        <w:t xml:space="preserve">Grundy, E. Women’s Fertility and Mortality in Late Mid Life: A Comparison of Three Contemporary Populations. </w:t>
      </w:r>
      <w:r w:rsidRPr="006B575D">
        <w:rPr>
          <w:i/>
          <w:iCs/>
          <w:noProof/>
          <w:szCs w:val="24"/>
        </w:rPr>
        <w:t>Am. J. Hum. Biol.</w:t>
      </w:r>
      <w:r w:rsidRPr="006B575D">
        <w:rPr>
          <w:noProof/>
          <w:szCs w:val="24"/>
        </w:rPr>
        <w:t xml:space="preserve"> </w:t>
      </w:r>
      <w:r w:rsidRPr="006B575D">
        <w:rPr>
          <w:b/>
          <w:bCs/>
          <w:noProof/>
          <w:szCs w:val="24"/>
        </w:rPr>
        <w:t>547</w:t>
      </w:r>
      <w:r w:rsidRPr="006B575D">
        <w:rPr>
          <w:noProof/>
          <w:szCs w:val="24"/>
        </w:rPr>
        <w:t>, 541–547 (2009).</w:t>
      </w:r>
    </w:p>
    <w:p w14:paraId="544CFC5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28.</w:t>
      </w:r>
      <w:r w:rsidRPr="006B575D">
        <w:rPr>
          <w:noProof/>
          <w:szCs w:val="24"/>
        </w:rPr>
        <w:tab/>
        <w:t xml:space="preserve">Lund, E. Number of children and death from hormone-dependent cancers. </w:t>
      </w:r>
      <w:r w:rsidRPr="006B575D">
        <w:rPr>
          <w:i/>
          <w:iCs/>
          <w:noProof/>
          <w:szCs w:val="24"/>
        </w:rPr>
        <w:t>Int. J. Cancer</w:t>
      </w:r>
      <w:r w:rsidRPr="006B575D">
        <w:rPr>
          <w:noProof/>
          <w:szCs w:val="24"/>
        </w:rPr>
        <w:t xml:space="preserve"> </w:t>
      </w:r>
      <w:r w:rsidRPr="006B575D">
        <w:rPr>
          <w:b/>
          <w:bCs/>
          <w:noProof/>
          <w:szCs w:val="24"/>
        </w:rPr>
        <w:t>46</w:t>
      </w:r>
      <w:r w:rsidRPr="006B575D">
        <w:rPr>
          <w:noProof/>
          <w:szCs w:val="24"/>
        </w:rPr>
        <w:t>, 998–1000 (1990).</w:t>
      </w:r>
    </w:p>
    <w:p w14:paraId="2879EEC0"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29.</w:t>
      </w:r>
      <w:r w:rsidRPr="006B575D">
        <w:rPr>
          <w:noProof/>
          <w:szCs w:val="24"/>
        </w:rPr>
        <w:tab/>
        <w:t xml:space="preserve">Hurt, L. S. </w:t>
      </w:r>
      <w:r w:rsidRPr="006B575D">
        <w:rPr>
          <w:i/>
          <w:iCs/>
          <w:noProof/>
          <w:szCs w:val="24"/>
        </w:rPr>
        <w:t>et al.</w:t>
      </w:r>
      <w:r w:rsidRPr="006B575D">
        <w:rPr>
          <w:noProof/>
          <w:szCs w:val="24"/>
        </w:rPr>
        <w:t xml:space="preserve"> The effect of number of births on women’s mortality: Systematic review of the evidence for women who have completed their childbearing. </w:t>
      </w:r>
      <w:r w:rsidRPr="006B575D">
        <w:rPr>
          <w:i/>
          <w:iCs/>
          <w:noProof/>
          <w:szCs w:val="24"/>
        </w:rPr>
        <w:t>Popul. Stud. (NY).</w:t>
      </w:r>
      <w:r w:rsidRPr="006B575D">
        <w:rPr>
          <w:noProof/>
          <w:szCs w:val="24"/>
        </w:rPr>
        <w:t xml:space="preserve"> </w:t>
      </w:r>
      <w:r w:rsidRPr="006B575D">
        <w:rPr>
          <w:b/>
          <w:bCs/>
          <w:noProof/>
          <w:szCs w:val="24"/>
        </w:rPr>
        <w:t>60</w:t>
      </w:r>
      <w:r w:rsidRPr="006B575D">
        <w:rPr>
          <w:noProof/>
          <w:szCs w:val="24"/>
        </w:rPr>
        <w:t>, 55–71 (2006).</w:t>
      </w:r>
    </w:p>
    <w:p w14:paraId="68C8FE5C"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30.</w:t>
      </w:r>
      <w:r w:rsidRPr="006B575D">
        <w:rPr>
          <w:noProof/>
          <w:szCs w:val="24"/>
        </w:rPr>
        <w:tab/>
        <w:t xml:space="preserve">Lawlor, D. A. </w:t>
      </w:r>
      <w:r w:rsidRPr="006B575D">
        <w:rPr>
          <w:i/>
          <w:iCs/>
          <w:noProof/>
          <w:szCs w:val="24"/>
        </w:rPr>
        <w:t>et al.</w:t>
      </w:r>
      <w:r w:rsidRPr="006B575D">
        <w:rPr>
          <w:noProof/>
          <w:szCs w:val="24"/>
        </w:rPr>
        <w:t xml:space="preserve"> Is the association between parity and coronary heart disease due to biological </w:t>
      </w:r>
      <w:r w:rsidRPr="006B575D">
        <w:rPr>
          <w:noProof/>
          <w:szCs w:val="24"/>
        </w:rPr>
        <w:lastRenderedPageBreak/>
        <w:t xml:space="preserve">effects of pregnancy or adverse lifestyle risk factors associated with child-rearing? Findings from the British Women’s Heart and Health Study and the British Regional Heart St. </w:t>
      </w:r>
      <w:r w:rsidRPr="006B575D">
        <w:rPr>
          <w:i/>
          <w:iCs/>
          <w:noProof/>
          <w:szCs w:val="24"/>
        </w:rPr>
        <w:t>Circulation</w:t>
      </w:r>
      <w:r w:rsidRPr="006B575D">
        <w:rPr>
          <w:noProof/>
          <w:szCs w:val="24"/>
        </w:rPr>
        <w:t xml:space="preserve"> </w:t>
      </w:r>
      <w:r w:rsidRPr="006B575D">
        <w:rPr>
          <w:b/>
          <w:bCs/>
          <w:noProof/>
          <w:szCs w:val="24"/>
        </w:rPr>
        <w:t>107</w:t>
      </w:r>
      <w:r w:rsidRPr="006B575D">
        <w:rPr>
          <w:noProof/>
          <w:szCs w:val="24"/>
        </w:rPr>
        <w:t>, 1260–1264 (2003).</w:t>
      </w:r>
    </w:p>
    <w:p w14:paraId="01D2FB9F"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31.</w:t>
      </w:r>
      <w:r w:rsidRPr="006B575D">
        <w:rPr>
          <w:noProof/>
          <w:szCs w:val="24"/>
        </w:rPr>
        <w:tab/>
        <w:t xml:space="preserve">Simons, L. A., Simons, J., Friedlander, Y. &amp; McCallum, J. Childbearing history and late-life mortality: The Dubbo study of Australian elderly. </w:t>
      </w:r>
      <w:r w:rsidRPr="006B575D">
        <w:rPr>
          <w:i/>
          <w:iCs/>
          <w:noProof/>
          <w:szCs w:val="24"/>
        </w:rPr>
        <w:t>Age Ageing</w:t>
      </w:r>
      <w:r w:rsidRPr="006B575D">
        <w:rPr>
          <w:noProof/>
          <w:szCs w:val="24"/>
        </w:rPr>
        <w:t xml:space="preserve"> </w:t>
      </w:r>
      <w:r w:rsidRPr="006B575D">
        <w:rPr>
          <w:b/>
          <w:bCs/>
          <w:noProof/>
          <w:szCs w:val="24"/>
        </w:rPr>
        <w:t>41</w:t>
      </w:r>
      <w:r w:rsidRPr="006B575D">
        <w:rPr>
          <w:noProof/>
          <w:szCs w:val="24"/>
        </w:rPr>
        <w:t>, 523–528 (2012).</w:t>
      </w:r>
    </w:p>
    <w:p w14:paraId="160BC15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32.</w:t>
      </w:r>
      <w:r w:rsidRPr="006B575D">
        <w:rPr>
          <w:noProof/>
          <w:szCs w:val="24"/>
        </w:rPr>
        <w:tab/>
        <w:t xml:space="preserve">Zeng, Y. </w:t>
      </w:r>
      <w:r w:rsidRPr="006B575D">
        <w:rPr>
          <w:i/>
          <w:iCs/>
          <w:noProof/>
          <w:szCs w:val="24"/>
        </w:rPr>
        <w:t>et al.</w:t>
      </w:r>
      <w:r w:rsidRPr="006B575D">
        <w:rPr>
          <w:noProof/>
          <w:szCs w:val="24"/>
        </w:rPr>
        <w:t xml:space="preserve"> Parity and All-cause Mortality in Women and Men: A Dose-Response Meta-Analysis of Cohort Studies. </w:t>
      </w:r>
      <w:r w:rsidRPr="006B575D">
        <w:rPr>
          <w:i/>
          <w:iCs/>
          <w:noProof/>
          <w:szCs w:val="24"/>
        </w:rPr>
        <w:t>Sci. Rep.</w:t>
      </w:r>
      <w:r w:rsidRPr="006B575D">
        <w:rPr>
          <w:noProof/>
          <w:szCs w:val="24"/>
        </w:rPr>
        <w:t xml:space="preserve"> </w:t>
      </w:r>
      <w:r w:rsidRPr="006B575D">
        <w:rPr>
          <w:b/>
          <w:bCs/>
          <w:noProof/>
          <w:szCs w:val="24"/>
        </w:rPr>
        <w:t>6:19351</w:t>
      </w:r>
      <w:r w:rsidRPr="006B575D">
        <w:rPr>
          <w:noProof/>
          <w:szCs w:val="24"/>
        </w:rPr>
        <w:t>, 1–11 (2016).</w:t>
      </w:r>
    </w:p>
    <w:p w14:paraId="5C0480B1"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33.</w:t>
      </w:r>
      <w:r w:rsidRPr="006B575D">
        <w:rPr>
          <w:noProof/>
          <w:szCs w:val="24"/>
        </w:rPr>
        <w:tab/>
        <w:t xml:space="preserve">Dior, U. P. </w:t>
      </w:r>
      <w:r w:rsidRPr="006B575D">
        <w:rPr>
          <w:i/>
          <w:iCs/>
          <w:noProof/>
          <w:szCs w:val="24"/>
        </w:rPr>
        <w:t>et al.</w:t>
      </w:r>
      <w:r w:rsidRPr="006B575D">
        <w:rPr>
          <w:noProof/>
          <w:szCs w:val="24"/>
        </w:rPr>
        <w:t xml:space="preserve"> Association between number of children and mortality of mothers: Results of a 37-year follow-up study. </w:t>
      </w:r>
      <w:r w:rsidRPr="006B575D">
        <w:rPr>
          <w:i/>
          <w:iCs/>
          <w:noProof/>
          <w:szCs w:val="24"/>
        </w:rPr>
        <w:t>Ann. Epidemiol.</w:t>
      </w:r>
      <w:r w:rsidRPr="006B575D">
        <w:rPr>
          <w:noProof/>
          <w:szCs w:val="24"/>
        </w:rPr>
        <w:t xml:space="preserve"> </w:t>
      </w:r>
      <w:r w:rsidRPr="006B575D">
        <w:rPr>
          <w:b/>
          <w:bCs/>
          <w:noProof/>
          <w:szCs w:val="24"/>
        </w:rPr>
        <w:t>23</w:t>
      </w:r>
      <w:r w:rsidRPr="006B575D">
        <w:rPr>
          <w:noProof/>
          <w:szCs w:val="24"/>
        </w:rPr>
        <w:t>, 13–18 (2013).</w:t>
      </w:r>
    </w:p>
    <w:p w14:paraId="33C9FA97"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34.</w:t>
      </w:r>
      <w:r w:rsidRPr="006B575D">
        <w:rPr>
          <w:noProof/>
          <w:szCs w:val="24"/>
        </w:rPr>
        <w:tab/>
        <w:t xml:space="preserve">Lv, H., Wu, H., Yin, J., Qian, J. &amp; Ge, J. Parity and Cardiovascular Disease Mortality: a Dose-Response Meta- Analysis of Cohort Studies. </w:t>
      </w:r>
      <w:r w:rsidRPr="006B575D">
        <w:rPr>
          <w:i/>
          <w:iCs/>
          <w:noProof/>
          <w:szCs w:val="24"/>
        </w:rPr>
        <w:t>Sci. Rep.</w:t>
      </w:r>
      <w:r w:rsidRPr="006B575D">
        <w:rPr>
          <w:noProof/>
          <w:szCs w:val="24"/>
        </w:rPr>
        <w:t xml:space="preserve"> </w:t>
      </w:r>
      <w:r w:rsidRPr="006B575D">
        <w:rPr>
          <w:b/>
          <w:bCs/>
          <w:noProof/>
          <w:szCs w:val="24"/>
        </w:rPr>
        <w:t>5:13411</w:t>
      </w:r>
      <w:r w:rsidRPr="006B575D">
        <w:rPr>
          <w:noProof/>
          <w:szCs w:val="24"/>
        </w:rPr>
        <w:t>, 1–9 (2015).</w:t>
      </w:r>
    </w:p>
    <w:p w14:paraId="669F4919"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35.</w:t>
      </w:r>
      <w:r w:rsidRPr="006B575D">
        <w:rPr>
          <w:noProof/>
          <w:szCs w:val="24"/>
        </w:rPr>
        <w:tab/>
        <w:t xml:space="preserve">Guan, H., Wu, Q. &amp; Gong, T. Parity and Kidney Cancer Risk: Evidence from Epidemiologic Studies. </w:t>
      </w:r>
      <w:r w:rsidRPr="006B575D">
        <w:rPr>
          <w:i/>
          <w:iCs/>
          <w:noProof/>
          <w:szCs w:val="24"/>
        </w:rPr>
        <w:t>Cancer Epidemiol. Biomarkers Prev.</w:t>
      </w:r>
      <w:r w:rsidRPr="006B575D">
        <w:rPr>
          <w:noProof/>
          <w:szCs w:val="24"/>
        </w:rPr>
        <w:t xml:space="preserve"> </w:t>
      </w:r>
      <w:r w:rsidRPr="006B575D">
        <w:rPr>
          <w:b/>
          <w:bCs/>
          <w:noProof/>
          <w:szCs w:val="24"/>
        </w:rPr>
        <w:t>22</w:t>
      </w:r>
      <w:r w:rsidRPr="006B575D">
        <w:rPr>
          <w:noProof/>
          <w:szCs w:val="24"/>
        </w:rPr>
        <w:t>, 2345–2354 (2013).</w:t>
      </w:r>
    </w:p>
    <w:p w14:paraId="07C4208C"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36.</w:t>
      </w:r>
      <w:r w:rsidRPr="006B575D">
        <w:rPr>
          <w:noProof/>
          <w:szCs w:val="24"/>
        </w:rPr>
        <w:tab/>
        <w:t xml:space="preserve">Ziomkiewicz, A., Sancilio, A., Galbarczyk, A. &amp; Klimek, M. Evidence for the cost of reproduction in humans: High lifetime reproductive effort is associated with greater oxidative stress in post-menopausal women. </w:t>
      </w:r>
      <w:r w:rsidRPr="006B575D">
        <w:rPr>
          <w:i/>
          <w:iCs/>
          <w:noProof/>
          <w:szCs w:val="24"/>
        </w:rPr>
        <w:t>PLoS One</w:t>
      </w:r>
      <w:r w:rsidRPr="006B575D">
        <w:rPr>
          <w:noProof/>
          <w:szCs w:val="24"/>
        </w:rPr>
        <w:t xml:space="preserve"> </w:t>
      </w:r>
      <w:r w:rsidRPr="006B575D">
        <w:rPr>
          <w:b/>
          <w:bCs/>
          <w:noProof/>
          <w:szCs w:val="24"/>
        </w:rPr>
        <w:t>11</w:t>
      </w:r>
      <w:r w:rsidRPr="006B575D">
        <w:rPr>
          <w:noProof/>
          <w:szCs w:val="24"/>
        </w:rPr>
        <w:t>, 1–14 (2016).</w:t>
      </w:r>
    </w:p>
    <w:p w14:paraId="0A2153E2"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37.</w:t>
      </w:r>
      <w:r w:rsidRPr="006B575D">
        <w:rPr>
          <w:noProof/>
          <w:szCs w:val="24"/>
        </w:rPr>
        <w:tab/>
        <w:t xml:space="preserve">Kresovich, J. K. </w:t>
      </w:r>
      <w:r w:rsidRPr="006B575D">
        <w:rPr>
          <w:i/>
          <w:iCs/>
          <w:noProof/>
          <w:szCs w:val="24"/>
        </w:rPr>
        <w:t>et al.</w:t>
      </w:r>
      <w:r w:rsidRPr="006B575D">
        <w:rPr>
          <w:noProof/>
          <w:szCs w:val="24"/>
        </w:rPr>
        <w:t xml:space="preserve"> Reproduction, DNA methylation and biological age. </w:t>
      </w:r>
      <w:r w:rsidRPr="006B575D">
        <w:rPr>
          <w:i/>
          <w:iCs/>
          <w:noProof/>
          <w:szCs w:val="24"/>
        </w:rPr>
        <w:t>Hum. Reprod.</w:t>
      </w:r>
      <w:r w:rsidRPr="006B575D">
        <w:rPr>
          <w:noProof/>
          <w:szCs w:val="24"/>
        </w:rPr>
        <w:t xml:space="preserve"> </w:t>
      </w:r>
      <w:r w:rsidRPr="006B575D">
        <w:rPr>
          <w:b/>
          <w:bCs/>
          <w:noProof/>
          <w:szCs w:val="24"/>
        </w:rPr>
        <w:t>34</w:t>
      </w:r>
      <w:r w:rsidRPr="006B575D">
        <w:rPr>
          <w:noProof/>
          <w:szCs w:val="24"/>
        </w:rPr>
        <w:t>, 1965–1973 (2019).</w:t>
      </w:r>
    </w:p>
    <w:p w14:paraId="3B9BC15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38.</w:t>
      </w:r>
      <w:r w:rsidRPr="006B575D">
        <w:rPr>
          <w:noProof/>
          <w:szCs w:val="24"/>
        </w:rPr>
        <w:tab/>
        <w:t xml:space="preserve">Harley, C. B., Vaziri, H., Counter, C. M. &amp; Allsopp, R. C. The telomere hypothesis of cellular aging. </w:t>
      </w:r>
      <w:r w:rsidRPr="006B575D">
        <w:rPr>
          <w:i/>
          <w:iCs/>
          <w:noProof/>
          <w:szCs w:val="24"/>
        </w:rPr>
        <w:t>Exp Gerontol</w:t>
      </w:r>
      <w:r w:rsidRPr="006B575D">
        <w:rPr>
          <w:noProof/>
          <w:szCs w:val="24"/>
        </w:rPr>
        <w:t xml:space="preserve"> </w:t>
      </w:r>
      <w:r w:rsidRPr="006B575D">
        <w:rPr>
          <w:b/>
          <w:bCs/>
          <w:noProof/>
          <w:szCs w:val="24"/>
        </w:rPr>
        <w:t>27</w:t>
      </w:r>
      <w:r w:rsidRPr="006B575D">
        <w:rPr>
          <w:noProof/>
          <w:szCs w:val="24"/>
        </w:rPr>
        <w:t>, 375–382 (1992).</w:t>
      </w:r>
    </w:p>
    <w:p w14:paraId="6155284E"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39.</w:t>
      </w:r>
      <w:r w:rsidRPr="006B575D">
        <w:rPr>
          <w:noProof/>
          <w:szCs w:val="24"/>
        </w:rPr>
        <w:tab/>
        <w:t xml:space="preserve">Marioni, R. E. </w:t>
      </w:r>
      <w:r w:rsidRPr="006B575D">
        <w:rPr>
          <w:i/>
          <w:iCs/>
          <w:noProof/>
          <w:szCs w:val="24"/>
        </w:rPr>
        <w:t>et al.</w:t>
      </w:r>
      <w:r w:rsidRPr="006B575D">
        <w:rPr>
          <w:noProof/>
          <w:szCs w:val="24"/>
        </w:rPr>
        <w:t xml:space="preserve"> The epigenetic clock and telomere length are independently associated with chronological age and mortality. </w:t>
      </w:r>
      <w:r w:rsidRPr="006B575D">
        <w:rPr>
          <w:i/>
          <w:iCs/>
          <w:noProof/>
          <w:szCs w:val="24"/>
        </w:rPr>
        <w:t>Int J Epidemiol</w:t>
      </w:r>
      <w:r w:rsidRPr="006B575D">
        <w:rPr>
          <w:noProof/>
          <w:szCs w:val="24"/>
        </w:rPr>
        <w:t xml:space="preserve"> (2016). doi:10.1093/ije/dyw041</w:t>
      </w:r>
    </w:p>
    <w:p w14:paraId="1AF8224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40.</w:t>
      </w:r>
      <w:r w:rsidRPr="006B575D">
        <w:rPr>
          <w:noProof/>
          <w:szCs w:val="24"/>
        </w:rPr>
        <w:tab/>
        <w:t xml:space="preserve">McCrory, C. </w:t>
      </w:r>
      <w:r w:rsidRPr="006B575D">
        <w:rPr>
          <w:i/>
          <w:iCs/>
          <w:noProof/>
          <w:szCs w:val="24"/>
        </w:rPr>
        <w:t>et al.</w:t>
      </w:r>
      <w:r w:rsidRPr="006B575D">
        <w:rPr>
          <w:noProof/>
          <w:szCs w:val="24"/>
        </w:rPr>
        <w:t xml:space="preserve"> Association of 4 epigenetic clocks with measures of functional health, cognition, and all-cause mortality in The Irish Longitudinal Study on Ageing (TILDA). </w:t>
      </w:r>
      <w:r w:rsidRPr="006B575D">
        <w:rPr>
          <w:i/>
          <w:iCs/>
          <w:noProof/>
          <w:szCs w:val="24"/>
        </w:rPr>
        <w:t>bioRxiv</w:t>
      </w:r>
      <w:r w:rsidRPr="006B575D">
        <w:rPr>
          <w:noProof/>
          <w:szCs w:val="24"/>
        </w:rPr>
        <w:t xml:space="preserve"> 2020.04.27.063164 (2020). doi:10.1101/2020.04.27.063164</w:t>
      </w:r>
    </w:p>
    <w:p w14:paraId="3C481E37"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41.</w:t>
      </w:r>
      <w:r w:rsidRPr="006B575D">
        <w:rPr>
          <w:noProof/>
          <w:szCs w:val="24"/>
        </w:rPr>
        <w:tab/>
        <w:t xml:space="preserve">Ahrens, K. A., Rossen, L. M. &amp; Simon, A. E. Relationship Between Mean Leucocyte Telomere </w:t>
      </w:r>
      <w:r w:rsidRPr="006B575D">
        <w:rPr>
          <w:noProof/>
          <w:szCs w:val="24"/>
        </w:rPr>
        <w:lastRenderedPageBreak/>
        <w:t xml:space="preserve">Length and Measures of Allostatic Load in US Reproductive-Aged Women, NHANES 1999–2002. </w:t>
      </w:r>
      <w:r w:rsidRPr="006B575D">
        <w:rPr>
          <w:i/>
          <w:iCs/>
          <w:noProof/>
          <w:szCs w:val="24"/>
        </w:rPr>
        <w:t>Paediatr. Perinat. Epidemiol.</w:t>
      </w:r>
      <w:r w:rsidRPr="006B575D">
        <w:rPr>
          <w:noProof/>
          <w:szCs w:val="24"/>
        </w:rPr>
        <w:t xml:space="preserve"> </w:t>
      </w:r>
      <w:r w:rsidRPr="006B575D">
        <w:rPr>
          <w:b/>
          <w:bCs/>
          <w:noProof/>
          <w:szCs w:val="24"/>
        </w:rPr>
        <w:t>30</w:t>
      </w:r>
      <w:r w:rsidRPr="006B575D">
        <w:rPr>
          <w:noProof/>
          <w:szCs w:val="24"/>
        </w:rPr>
        <w:t>, 325–335 (2016).</w:t>
      </w:r>
    </w:p>
    <w:p w14:paraId="35BBF9B3"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42.</w:t>
      </w:r>
      <w:r w:rsidRPr="006B575D">
        <w:rPr>
          <w:noProof/>
          <w:szCs w:val="24"/>
        </w:rPr>
        <w:tab/>
        <w:t xml:space="preserve">Belsky, D. W. </w:t>
      </w:r>
      <w:r w:rsidRPr="006B575D">
        <w:rPr>
          <w:i/>
          <w:iCs/>
          <w:noProof/>
          <w:szCs w:val="24"/>
        </w:rPr>
        <w:t>et al.</w:t>
      </w:r>
      <w:r w:rsidRPr="006B575D">
        <w:rPr>
          <w:noProof/>
          <w:szCs w:val="24"/>
        </w:rPr>
        <w:t xml:space="preserve"> Eleven Telomere, Epigenetic Clock, and Biomarker-Composite Quantifications of Biological Aging: Do They Measure the Same Thing? </w:t>
      </w:r>
      <w:r w:rsidRPr="006B575D">
        <w:rPr>
          <w:i/>
          <w:iCs/>
          <w:noProof/>
          <w:szCs w:val="24"/>
        </w:rPr>
        <w:t>Am J Epidemiol</w:t>
      </w:r>
      <w:r w:rsidRPr="006B575D">
        <w:rPr>
          <w:noProof/>
          <w:szCs w:val="24"/>
        </w:rPr>
        <w:t xml:space="preserve"> </w:t>
      </w:r>
      <w:r w:rsidRPr="006B575D">
        <w:rPr>
          <w:b/>
          <w:bCs/>
          <w:noProof/>
          <w:szCs w:val="24"/>
        </w:rPr>
        <w:t>187</w:t>
      </w:r>
      <w:r w:rsidRPr="006B575D">
        <w:rPr>
          <w:noProof/>
          <w:szCs w:val="24"/>
        </w:rPr>
        <w:t>, 1220–1230 (2017).</w:t>
      </w:r>
    </w:p>
    <w:p w14:paraId="07671A1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43.</w:t>
      </w:r>
      <w:r w:rsidRPr="006B575D">
        <w:rPr>
          <w:noProof/>
          <w:szCs w:val="24"/>
        </w:rPr>
        <w:tab/>
        <w:t xml:space="preserve">Marioni, R. E. </w:t>
      </w:r>
      <w:r w:rsidRPr="006B575D">
        <w:rPr>
          <w:i/>
          <w:iCs/>
          <w:noProof/>
          <w:szCs w:val="24"/>
        </w:rPr>
        <w:t>et al.</w:t>
      </w:r>
      <w:r w:rsidRPr="006B575D">
        <w:rPr>
          <w:noProof/>
          <w:szCs w:val="24"/>
        </w:rPr>
        <w:t xml:space="preserve"> The epigenetic clock is correlated with physical and cognitive fitness in the Lothian Birth Cohort 1936. </w:t>
      </w:r>
      <w:r w:rsidRPr="006B575D">
        <w:rPr>
          <w:i/>
          <w:iCs/>
          <w:noProof/>
          <w:szCs w:val="24"/>
        </w:rPr>
        <w:t>Int. J. Epidemiol.</w:t>
      </w:r>
      <w:r w:rsidRPr="006B575D">
        <w:rPr>
          <w:noProof/>
          <w:szCs w:val="24"/>
        </w:rPr>
        <w:t xml:space="preserve"> </w:t>
      </w:r>
      <w:r w:rsidRPr="006B575D">
        <w:rPr>
          <w:b/>
          <w:bCs/>
          <w:noProof/>
          <w:szCs w:val="24"/>
        </w:rPr>
        <w:t>44</w:t>
      </w:r>
      <w:r w:rsidRPr="006B575D">
        <w:rPr>
          <w:noProof/>
          <w:szCs w:val="24"/>
        </w:rPr>
        <w:t>, 1388–1396 (2015).</w:t>
      </w:r>
    </w:p>
    <w:p w14:paraId="196020C6"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44.</w:t>
      </w:r>
      <w:r w:rsidRPr="006B575D">
        <w:rPr>
          <w:noProof/>
          <w:szCs w:val="24"/>
        </w:rPr>
        <w:tab/>
        <w:t xml:space="preserve">Atwood, C. S. &amp; Bowen, R. L. The reproductive-cell cycle theory of aging: An update. </w:t>
      </w:r>
      <w:r w:rsidRPr="006B575D">
        <w:rPr>
          <w:i/>
          <w:iCs/>
          <w:noProof/>
          <w:szCs w:val="24"/>
        </w:rPr>
        <w:t>Exp. Gerontol.</w:t>
      </w:r>
      <w:r w:rsidRPr="006B575D">
        <w:rPr>
          <w:noProof/>
          <w:szCs w:val="24"/>
        </w:rPr>
        <w:t xml:space="preserve"> </w:t>
      </w:r>
      <w:r w:rsidRPr="006B575D">
        <w:rPr>
          <w:b/>
          <w:bCs/>
          <w:noProof/>
          <w:szCs w:val="24"/>
        </w:rPr>
        <w:t>46</w:t>
      </w:r>
      <w:r w:rsidRPr="006B575D">
        <w:rPr>
          <w:noProof/>
          <w:szCs w:val="24"/>
        </w:rPr>
        <w:t>, 100–107 (2011).</w:t>
      </w:r>
    </w:p>
    <w:p w14:paraId="17D6058D"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45.</w:t>
      </w:r>
      <w:r w:rsidRPr="006B575D">
        <w:rPr>
          <w:noProof/>
          <w:szCs w:val="24"/>
        </w:rPr>
        <w:tab/>
        <w:t xml:space="preserve">Cohen, A. A. </w:t>
      </w:r>
      <w:r w:rsidRPr="006B575D">
        <w:rPr>
          <w:i/>
          <w:iCs/>
          <w:noProof/>
          <w:szCs w:val="24"/>
        </w:rPr>
        <w:t>et al.</w:t>
      </w:r>
      <w:r w:rsidRPr="006B575D">
        <w:rPr>
          <w:noProof/>
          <w:szCs w:val="24"/>
        </w:rPr>
        <w:t xml:space="preserve"> A novel statistical approach shows evidence for multi-system physiological dysregulation during aging. </w:t>
      </w:r>
      <w:r w:rsidRPr="006B575D">
        <w:rPr>
          <w:i/>
          <w:iCs/>
          <w:noProof/>
          <w:szCs w:val="24"/>
        </w:rPr>
        <w:t>Mech. Ageing Dev.</w:t>
      </w:r>
      <w:r w:rsidRPr="006B575D">
        <w:rPr>
          <w:noProof/>
          <w:szCs w:val="24"/>
        </w:rPr>
        <w:t xml:space="preserve"> </w:t>
      </w:r>
      <w:r w:rsidRPr="006B575D">
        <w:rPr>
          <w:b/>
          <w:bCs/>
          <w:noProof/>
          <w:szCs w:val="24"/>
        </w:rPr>
        <w:t>134</w:t>
      </w:r>
      <w:r w:rsidRPr="006B575D">
        <w:rPr>
          <w:noProof/>
          <w:szCs w:val="24"/>
        </w:rPr>
        <w:t>, 110–117 (2013).</w:t>
      </w:r>
    </w:p>
    <w:p w14:paraId="089FBFD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46.</w:t>
      </w:r>
      <w:r w:rsidRPr="006B575D">
        <w:rPr>
          <w:noProof/>
          <w:szCs w:val="24"/>
        </w:rPr>
        <w:tab/>
        <w:t xml:space="preserve">Levine, M. E. Modeling the Rate of Senescence: Can Estimated Biological Age Predict Mortality More Accurately Than Chronological Age? </w:t>
      </w:r>
      <w:r w:rsidRPr="006B575D">
        <w:rPr>
          <w:i/>
          <w:iCs/>
          <w:noProof/>
          <w:szCs w:val="24"/>
        </w:rPr>
        <w:t>Journals Gerontol. Ser. a-Biological Sci. Med. Sci.</w:t>
      </w:r>
      <w:r w:rsidRPr="006B575D">
        <w:rPr>
          <w:noProof/>
          <w:szCs w:val="24"/>
        </w:rPr>
        <w:t xml:space="preserve"> </w:t>
      </w:r>
      <w:r w:rsidRPr="006B575D">
        <w:rPr>
          <w:b/>
          <w:bCs/>
          <w:noProof/>
          <w:szCs w:val="24"/>
        </w:rPr>
        <w:t>68</w:t>
      </w:r>
      <w:r w:rsidRPr="006B575D">
        <w:rPr>
          <w:noProof/>
          <w:szCs w:val="24"/>
        </w:rPr>
        <w:t>, 667–674 (2013).</w:t>
      </w:r>
    </w:p>
    <w:p w14:paraId="738FC890"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47.</w:t>
      </w:r>
      <w:r w:rsidRPr="006B575D">
        <w:rPr>
          <w:noProof/>
          <w:szCs w:val="24"/>
        </w:rPr>
        <w:tab/>
        <w:t xml:space="preserve">Liu, Z. </w:t>
      </w:r>
      <w:r w:rsidRPr="006B575D">
        <w:rPr>
          <w:i/>
          <w:iCs/>
          <w:noProof/>
          <w:szCs w:val="24"/>
        </w:rPr>
        <w:t>et al.</w:t>
      </w:r>
      <w:r w:rsidRPr="006B575D">
        <w:rPr>
          <w:noProof/>
          <w:szCs w:val="24"/>
        </w:rPr>
        <w:t xml:space="preserve"> A new aging measure captures morbidity and mortality risk across diverse subpopulations from NHANES IV: A cohort study. </w:t>
      </w:r>
      <w:r w:rsidRPr="006B575D">
        <w:rPr>
          <w:i/>
          <w:iCs/>
          <w:noProof/>
          <w:szCs w:val="24"/>
        </w:rPr>
        <w:t>PLoS Med</w:t>
      </w:r>
      <w:r w:rsidRPr="006B575D">
        <w:rPr>
          <w:noProof/>
          <w:szCs w:val="24"/>
        </w:rPr>
        <w:t xml:space="preserve"> </w:t>
      </w:r>
      <w:r w:rsidRPr="006B575D">
        <w:rPr>
          <w:b/>
          <w:bCs/>
          <w:noProof/>
          <w:szCs w:val="24"/>
        </w:rPr>
        <w:t>15</w:t>
      </w:r>
      <w:r w:rsidRPr="006B575D">
        <w:rPr>
          <w:noProof/>
          <w:szCs w:val="24"/>
        </w:rPr>
        <w:t>, e1002718 (2018).</w:t>
      </w:r>
    </w:p>
    <w:p w14:paraId="6E0E2941"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48.</w:t>
      </w:r>
      <w:r w:rsidRPr="006B575D">
        <w:rPr>
          <w:noProof/>
          <w:szCs w:val="24"/>
        </w:rPr>
        <w:tab/>
        <w:t xml:space="preserve">Klemera, P. &amp; Doubal, S. A new approach to the concept and computation of biological age. </w:t>
      </w:r>
      <w:r w:rsidRPr="006B575D">
        <w:rPr>
          <w:i/>
          <w:iCs/>
          <w:noProof/>
          <w:szCs w:val="24"/>
        </w:rPr>
        <w:t>Mech. Ageing Dev.</w:t>
      </w:r>
      <w:r w:rsidRPr="006B575D">
        <w:rPr>
          <w:noProof/>
          <w:szCs w:val="24"/>
        </w:rPr>
        <w:t xml:space="preserve"> </w:t>
      </w:r>
      <w:r w:rsidRPr="006B575D">
        <w:rPr>
          <w:b/>
          <w:bCs/>
          <w:noProof/>
          <w:szCs w:val="24"/>
        </w:rPr>
        <w:t>127</w:t>
      </w:r>
      <w:r w:rsidRPr="006B575D">
        <w:rPr>
          <w:noProof/>
          <w:szCs w:val="24"/>
        </w:rPr>
        <w:t>, 240–248 (2006).</w:t>
      </w:r>
    </w:p>
    <w:p w14:paraId="3051A703"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49.</w:t>
      </w:r>
      <w:r w:rsidRPr="006B575D">
        <w:rPr>
          <w:noProof/>
          <w:szCs w:val="24"/>
        </w:rPr>
        <w:tab/>
        <w:t xml:space="preserve">McEwen, B. S. Stress, adaptation and disease: Allostatis and allostatic load. </w:t>
      </w:r>
      <w:r w:rsidRPr="006B575D">
        <w:rPr>
          <w:i/>
          <w:iCs/>
          <w:noProof/>
          <w:szCs w:val="24"/>
        </w:rPr>
        <w:t>Ann. N. Y. Acad. Sci.</w:t>
      </w:r>
      <w:r w:rsidRPr="006B575D">
        <w:rPr>
          <w:noProof/>
          <w:szCs w:val="24"/>
        </w:rPr>
        <w:t xml:space="preserve"> </w:t>
      </w:r>
      <w:r w:rsidRPr="006B575D">
        <w:rPr>
          <w:b/>
          <w:bCs/>
          <w:noProof/>
          <w:szCs w:val="24"/>
        </w:rPr>
        <w:t>840</w:t>
      </w:r>
      <w:r w:rsidRPr="006B575D">
        <w:rPr>
          <w:noProof/>
          <w:szCs w:val="24"/>
        </w:rPr>
        <w:t>, 33–44 (1998).</w:t>
      </w:r>
    </w:p>
    <w:p w14:paraId="4780F66E"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50.</w:t>
      </w:r>
      <w:r w:rsidRPr="006B575D">
        <w:rPr>
          <w:noProof/>
          <w:szCs w:val="24"/>
        </w:rPr>
        <w:tab/>
        <w:t xml:space="preserve">Santos-Lozada, A. R. &amp; Howard, J. T. Using allostatic load to validate self-rated health for racial/ethnic groups in the United States. </w:t>
      </w:r>
      <w:r w:rsidRPr="006B575D">
        <w:rPr>
          <w:i/>
          <w:iCs/>
          <w:noProof/>
          <w:szCs w:val="24"/>
        </w:rPr>
        <w:t>Biodemography Soc. Biol.</w:t>
      </w:r>
      <w:r w:rsidRPr="006B575D">
        <w:rPr>
          <w:noProof/>
          <w:szCs w:val="24"/>
        </w:rPr>
        <w:t xml:space="preserve"> </w:t>
      </w:r>
      <w:r w:rsidRPr="006B575D">
        <w:rPr>
          <w:b/>
          <w:bCs/>
          <w:noProof/>
          <w:szCs w:val="24"/>
        </w:rPr>
        <w:t>64</w:t>
      </w:r>
      <w:r w:rsidRPr="006B575D">
        <w:rPr>
          <w:noProof/>
          <w:szCs w:val="24"/>
        </w:rPr>
        <w:t>, 1–14 (2018).</w:t>
      </w:r>
    </w:p>
    <w:p w14:paraId="397AB9B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51.</w:t>
      </w:r>
      <w:r w:rsidRPr="006B575D">
        <w:rPr>
          <w:noProof/>
          <w:szCs w:val="24"/>
        </w:rPr>
        <w:tab/>
        <w:t xml:space="preserve">Hastings, W. J., Shalev, I. &amp; Almeida, D. M. Allostatic load and biological aging in the MIDUS National Survey. in </w:t>
      </w:r>
      <w:r w:rsidRPr="006B575D">
        <w:rPr>
          <w:i/>
          <w:iCs/>
          <w:noProof/>
          <w:szCs w:val="24"/>
        </w:rPr>
        <w:t>GSA 2020 Annual Scientific Meeting</w:t>
      </w:r>
      <w:r w:rsidRPr="006B575D">
        <w:rPr>
          <w:noProof/>
          <w:szCs w:val="24"/>
        </w:rPr>
        <w:t xml:space="preserve"> (2020).</w:t>
      </w:r>
    </w:p>
    <w:p w14:paraId="3433A6EE"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52.</w:t>
      </w:r>
      <w:r w:rsidRPr="006B575D">
        <w:rPr>
          <w:noProof/>
          <w:szCs w:val="24"/>
        </w:rPr>
        <w:tab/>
        <w:t>Centers for Disease Control and Prevention, N. C. for H. S. (NCHS). National Health and Nutrition Examination Survey Data. (2018).</w:t>
      </w:r>
    </w:p>
    <w:p w14:paraId="3C97BF32"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lastRenderedPageBreak/>
        <w:t>53.</w:t>
      </w:r>
      <w:r w:rsidRPr="006B575D">
        <w:rPr>
          <w:noProof/>
          <w:szCs w:val="24"/>
        </w:rPr>
        <w:tab/>
        <w:t xml:space="preserve">Wilcox, A. J. </w:t>
      </w:r>
      <w:r w:rsidRPr="006B575D">
        <w:rPr>
          <w:i/>
          <w:iCs/>
          <w:noProof/>
          <w:szCs w:val="24"/>
        </w:rPr>
        <w:t>et al.</w:t>
      </w:r>
      <w:r w:rsidRPr="006B575D">
        <w:rPr>
          <w:noProof/>
          <w:szCs w:val="24"/>
        </w:rPr>
        <w:t xml:space="preserve"> Incidence of Early Loss of Pregnancy. </w:t>
      </w:r>
      <w:r w:rsidRPr="006B575D">
        <w:rPr>
          <w:i/>
          <w:iCs/>
          <w:noProof/>
          <w:szCs w:val="24"/>
        </w:rPr>
        <w:t>N. Engl. J. Med.</w:t>
      </w:r>
      <w:r w:rsidRPr="006B575D">
        <w:rPr>
          <w:noProof/>
          <w:szCs w:val="24"/>
        </w:rPr>
        <w:t xml:space="preserve"> </w:t>
      </w:r>
      <w:r w:rsidRPr="006B575D">
        <w:rPr>
          <w:b/>
          <w:bCs/>
          <w:noProof/>
          <w:szCs w:val="24"/>
        </w:rPr>
        <w:t>319</w:t>
      </w:r>
      <w:r w:rsidRPr="006B575D">
        <w:rPr>
          <w:noProof/>
          <w:szCs w:val="24"/>
        </w:rPr>
        <w:t>, 189–194 (1988).</w:t>
      </w:r>
    </w:p>
    <w:p w14:paraId="248EA6A0"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54.</w:t>
      </w:r>
      <w:r w:rsidRPr="006B575D">
        <w:rPr>
          <w:noProof/>
          <w:szCs w:val="24"/>
        </w:rPr>
        <w:tab/>
        <w:t xml:space="preserve">Lobo, R. A. </w:t>
      </w:r>
      <w:r w:rsidRPr="006B575D">
        <w:rPr>
          <w:i/>
          <w:iCs/>
          <w:noProof/>
          <w:szCs w:val="24"/>
        </w:rPr>
        <w:t>Menopause and Aging</w:t>
      </w:r>
      <w:r w:rsidRPr="006B575D">
        <w:rPr>
          <w:noProof/>
          <w:szCs w:val="24"/>
        </w:rPr>
        <w:t xml:space="preserve">. </w:t>
      </w:r>
      <w:r w:rsidRPr="006B575D">
        <w:rPr>
          <w:i/>
          <w:iCs/>
          <w:noProof/>
          <w:szCs w:val="24"/>
        </w:rPr>
        <w:t>Yen and Jaffe’s Reproductive Endocrinology: Seventh Edition</w:t>
      </w:r>
      <w:r w:rsidRPr="006B575D">
        <w:rPr>
          <w:noProof/>
          <w:szCs w:val="24"/>
        </w:rPr>
        <w:t xml:space="preserve"> (Elsevier, 2013). doi:10.1016/B978-1-4557-2758-2.00015-9</w:t>
      </w:r>
    </w:p>
    <w:p w14:paraId="0F9B0A37"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55.</w:t>
      </w:r>
      <w:r w:rsidRPr="006B575D">
        <w:rPr>
          <w:noProof/>
          <w:szCs w:val="24"/>
        </w:rPr>
        <w:tab/>
        <w:t xml:space="preserve">Selvin, E. </w:t>
      </w:r>
      <w:r w:rsidRPr="006B575D">
        <w:rPr>
          <w:i/>
          <w:iCs/>
          <w:noProof/>
          <w:szCs w:val="24"/>
        </w:rPr>
        <w:t>et al.</w:t>
      </w:r>
      <w:r w:rsidRPr="006B575D">
        <w:rPr>
          <w:noProof/>
          <w:szCs w:val="24"/>
        </w:rPr>
        <w:t xml:space="preserve"> Calibration of serum creatinine in the National Health and Nutrition Examination Surveys (NHANES) 1988-1994, 1999-2004. </w:t>
      </w:r>
      <w:r w:rsidRPr="006B575D">
        <w:rPr>
          <w:i/>
          <w:iCs/>
          <w:noProof/>
          <w:szCs w:val="24"/>
        </w:rPr>
        <w:t>Am. J. Kidney Dis.</w:t>
      </w:r>
      <w:r w:rsidRPr="006B575D">
        <w:rPr>
          <w:noProof/>
          <w:szCs w:val="24"/>
        </w:rPr>
        <w:t xml:space="preserve"> </w:t>
      </w:r>
      <w:r w:rsidRPr="006B575D">
        <w:rPr>
          <w:b/>
          <w:bCs/>
          <w:noProof/>
          <w:szCs w:val="24"/>
        </w:rPr>
        <w:t>50</w:t>
      </w:r>
      <w:r w:rsidRPr="006B575D">
        <w:rPr>
          <w:noProof/>
          <w:szCs w:val="24"/>
        </w:rPr>
        <w:t>, 918–926 (2007).</w:t>
      </w:r>
    </w:p>
    <w:p w14:paraId="49E39B66"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56.</w:t>
      </w:r>
      <w:r w:rsidRPr="006B575D">
        <w:rPr>
          <w:noProof/>
          <w:szCs w:val="24"/>
        </w:rPr>
        <w:tab/>
        <w:t xml:space="preserve">Mahalanobis, P. C. Mahalanobis distance. </w:t>
      </w:r>
      <w:r w:rsidRPr="006B575D">
        <w:rPr>
          <w:i/>
          <w:iCs/>
          <w:noProof/>
          <w:szCs w:val="24"/>
        </w:rPr>
        <w:t>Proc. Natl. Inst. Sci. India</w:t>
      </w:r>
      <w:r w:rsidRPr="006B575D">
        <w:rPr>
          <w:noProof/>
          <w:szCs w:val="24"/>
        </w:rPr>
        <w:t xml:space="preserve"> </w:t>
      </w:r>
      <w:r w:rsidRPr="006B575D">
        <w:rPr>
          <w:b/>
          <w:bCs/>
          <w:noProof/>
          <w:szCs w:val="24"/>
        </w:rPr>
        <w:t>49</w:t>
      </w:r>
      <w:r w:rsidRPr="006B575D">
        <w:rPr>
          <w:noProof/>
          <w:szCs w:val="24"/>
        </w:rPr>
        <w:t>, 234–256 (1936).</w:t>
      </w:r>
    </w:p>
    <w:p w14:paraId="3BCD737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57.</w:t>
      </w:r>
      <w:r w:rsidRPr="006B575D">
        <w:rPr>
          <w:noProof/>
          <w:szCs w:val="24"/>
        </w:rPr>
        <w:tab/>
        <w:t xml:space="preserve">Duong, M. T., Bingham, B. A., Aldana, P. C., Chung, S. T. &amp; Sumner, A. E. Variation in the calculation of allostatic load score: 21 examples from NHANES. </w:t>
      </w:r>
      <w:r w:rsidRPr="006B575D">
        <w:rPr>
          <w:i/>
          <w:iCs/>
          <w:noProof/>
          <w:szCs w:val="24"/>
        </w:rPr>
        <w:t>J. Racial Ethn. Heal. Disparities</w:t>
      </w:r>
      <w:r w:rsidRPr="006B575D">
        <w:rPr>
          <w:noProof/>
          <w:szCs w:val="24"/>
        </w:rPr>
        <w:t xml:space="preserve"> </w:t>
      </w:r>
      <w:r w:rsidRPr="006B575D">
        <w:rPr>
          <w:b/>
          <w:bCs/>
          <w:noProof/>
          <w:szCs w:val="24"/>
        </w:rPr>
        <w:t>4</w:t>
      </w:r>
      <w:r w:rsidRPr="006B575D">
        <w:rPr>
          <w:noProof/>
          <w:szCs w:val="24"/>
        </w:rPr>
        <w:t>, 455–461 (2017).</w:t>
      </w:r>
    </w:p>
    <w:p w14:paraId="53D38D26"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58.</w:t>
      </w:r>
      <w:r w:rsidRPr="006B575D">
        <w:rPr>
          <w:noProof/>
          <w:szCs w:val="24"/>
        </w:rPr>
        <w:tab/>
        <w:t xml:space="preserve">Levine, M. E. &amp; Crimmins, E. M. Evidence of accelerated aging among African Americans and its implications for mortality. </w:t>
      </w:r>
      <w:r w:rsidRPr="006B575D">
        <w:rPr>
          <w:i/>
          <w:iCs/>
          <w:noProof/>
          <w:szCs w:val="24"/>
        </w:rPr>
        <w:t>Soc. Sci. Med.</w:t>
      </w:r>
      <w:r w:rsidRPr="006B575D">
        <w:rPr>
          <w:noProof/>
          <w:szCs w:val="24"/>
        </w:rPr>
        <w:t xml:space="preserve"> </w:t>
      </w:r>
      <w:r w:rsidRPr="006B575D">
        <w:rPr>
          <w:b/>
          <w:bCs/>
          <w:noProof/>
          <w:szCs w:val="24"/>
        </w:rPr>
        <w:t>118</w:t>
      </w:r>
      <w:r w:rsidRPr="006B575D">
        <w:rPr>
          <w:noProof/>
          <w:szCs w:val="24"/>
        </w:rPr>
        <w:t>, 27–32 (2014).</w:t>
      </w:r>
    </w:p>
    <w:p w14:paraId="75DABA60"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59.</w:t>
      </w:r>
      <w:r w:rsidRPr="006B575D">
        <w:rPr>
          <w:noProof/>
          <w:szCs w:val="24"/>
        </w:rPr>
        <w:tab/>
        <w:t xml:space="preserve">Steptoe, A. </w:t>
      </w:r>
      <w:r w:rsidRPr="006B575D">
        <w:rPr>
          <w:i/>
          <w:iCs/>
          <w:noProof/>
          <w:szCs w:val="24"/>
        </w:rPr>
        <w:t>et al.</w:t>
      </w:r>
      <w:r w:rsidRPr="006B575D">
        <w:rPr>
          <w:noProof/>
          <w:szCs w:val="24"/>
        </w:rPr>
        <w:t xml:space="preserve"> Educational attainment but not measures of current socioeconomic circumstances are associated with leukocyte telomere length in healthy older men and women. </w:t>
      </w:r>
      <w:r w:rsidRPr="006B575D">
        <w:rPr>
          <w:i/>
          <w:iCs/>
          <w:noProof/>
          <w:szCs w:val="24"/>
        </w:rPr>
        <w:t>Brain. Behav. Immun.</w:t>
      </w:r>
      <w:r w:rsidRPr="006B575D">
        <w:rPr>
          <w:noProof/>
          <w:szCs w:val="24"/>
        </w:rPr>
        <w:t xml:space="preserve"> </w:t>
      </w:r>
      <w:r w:rsidRPr="006B575D">
        <w:rPr>
          <w:b/>
          <w:bCs/>
          <w:noProof/>
          <w:szCs w:val="24"/>
        </w:rPr>
        <w:t>25</w:t>
      </w:r>
      <w:r w:rsidRPr="006B575D">
        <w:rPr>
          <w:noProof/>
          <w:szCs w:val="24"/>
        </w:rPr>
        <w:t>, 1292–1298 (2011).</w:t>
      </w:r>
    </w:p>
    <w:p w14:paraId="632CF15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60.</w:t>
      </w:r>
      <w:r w:rsidRPr="006B575D">
        <w:rPr>
          <w:noProof/>
          <w:szCs w:val="24"/>
        </w:rPr>
        <w:tab/>
        <w:t xml:space="preserve">Robertson, T. </w:t>
      </w:r>
      <w:r w:rsidRPr="006B575D">
        <w:rPr>
          <w:i/>
          <w:iCs/>
          <w:noProof/>
          <w:szCs w:val="24"/>
        </w:rPr>
        <w:t>et al.</w:t>
      </w:r>
      <w:r w:rsidRPr="006B575D">
        <w:rPr>
          <w:noProof/>
          <w:szCs w:val="24"/>
        </w:rPr>
        <w:t xml:space="preserve"> Is socioeconomic status associated with biological aging as measured by telomere length? </w:t>
      </w:r>
      <w:r w:rsidRPr="006B575D">
        <w:rPr>
          <w:i/>
          <w:iCs/>
          <w:noProof/>
          <w:szCs w:val="24"/>
        </w:rPr>
        <w:t>Epidemiol. Rev.</w:t>
      </w:r>
      <w:r w:rsidRPr="006B575D">
        <w:rPr>
          <w:noProof/>
          <w:szCs w:val="24"/>
        </w:rPr>
        <w:t xml:space="preserve"> </w:t>
      </w:r>
      <w:r w:rsidRPr="006B575D">
        <w:rPr>
          <w:b/>
          <w:bCs/>
          <w:noProof/>
          <w:szCs w:val="24"/>
        </w:rPr>
        <w:t>35</w:t>
      </w:r>
      <w:r w:rsidRPr="006B575D">
        <w:rPr>
          <w:noProof/>
          <w:szCs w:val="24"/>
        </w:rPr>
        <w:t>, 98–111 (2013).</w:t>
      </w:r>
    </w:p>
    <w:p w14:paraId="4E33187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61.</w:t>
      </w:r>
      <w:r w:rsidRPr="006B575D">
        <w:rPr>
          <w:noProof/>
          <w:szCs w:val="24"/>
        </w:rPr>
        <w:tab/>
        <w:t xml:space="preserve">Lewis, C. E. </w:t>
      </w:r>
      <w:r w:rsidRPr="006B575D">
        <w:rPr>
          <w:i/>
          <w:iCs/>
          <w:noProof/>
          <w:szCs w:val="24"/>
        </w:rPr>
        <w:t>et al.</w:t>
      </w:r>
      <w:r w:rsidRPr="006B575D">
        <w:rPr>
          <w:noProof/>
          <w:szCs w:val="24"/>
        </w:rPr>
        <w:t xml:space="preserve"> Mortality, health outcomes, and body mass index in the overweight range. </w:t>
      </w:r>
      <w:r w:rsidRPr="006B575D">
        <w:rPr>
          <w:i/>
          <w:iCs/>
          <w:noProof/>
          <w:szCs w:val="24"/>
        </w:rPr>
        <w:t>Circulation</w:t>
      </w:r>
      <w:r w:rsidRPr="006B575D">
        <w:rPr>
          <w:noProof/>
          <w:szCs w:val="24"/>
        </w:rPr>
        <w:t xml:space="preserve"> </w:t>
      </w:r>
      <w:r w:rsidRPr="006B575D">
        <w:rPr>
          <w:b/>
          <w:bCs/>
          <w:noProof/>
          <w:szCs w:val="24"/>
        </w:rPr>
        <w:t>119</w:t>
      </w:r>
      <w:r w:rsidRPr="006B575D">
        <w:rPr>
          <w:noProof/>
          <w:szCs w:val="24"/>
        </w:rPr>
        <w:t>, 3263–3271 (2009).</w:t>
      </w:r>
    </w:p>
    <w:p w14:paraId="193EEEEB"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62.</w:t>
      </w:r>
      <w:r w:rsidRPr="006B575D">
        <w:rPr>
          <w:noProof/>
          <w:szCs w:val="24"/>
        </w:rPr>
        <w:tab/>
        <w:t>National Center for Health Statistics. NHANES survey methods and analytic guidelines. (2018). Available at: https://wwwn.cdc.gov/nchs/nhanes/AnalyticGuidelines.aspx. (Accessed: 4th February 2020)</w:t>
      </w:r>
    </w:p>
    <w:p w14:paraId="1E6064BF"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63.</w:t>
      </w:r>
      <w:r w:rsidRPr="006B575D">
        <w:rPr>
          <w:noProof/>
          <w:szCs w:val="24"/>
        </w:rPr>
        <w:tab/>
        <w:t xml:space="preserve">Korn, E. L. &amp; Graubard, B. I. </w:t>
      </w:r>
      <w:r w:rsidRPr="006B575D">
        <w:rPr>
          <w:i/>
          <w:iCs/>
          <w:noProof/>
          <w:szCs w:val="24"/>
        </w:rPr>
        <w:t>Analysis of health surveys</w:t>
      </w:r>
      <w:r w:rsidRPr="006B575D">
        <w:rPr>
          <w:noProof/>
          <w:szCs w:val="24"/>
        </w:rPr>
        <w:t>. (John Wiley &amp; Sons, 1999).</w:t>
      </w:r>
    </w:p>
    <w:p w14:paraId="7305AFC7"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64.</w:t>
      </w:r>
      <w:r w:rsidRPr="006B575D">
        <w:rPr>
          <w:noProof/>
          <w:szCs w:val="24"/>
        </w:rPr>
        <w:tab/>
        <w:t xml:space="preserve">Rosinger, A. Y. &amp; Ice, G. Secondary data analysis to answer questions in human biology. </w:t>
      </w:r>
      <w:r w:rsidRPr="006B575D">
        <w:rPr>
          <w:i/>
          <w:iCs/>
          <w:noProof/>
          <w:szCs w:val="24"/>
        </w:rPr>
        <w:t>Am. J. Hum. Biol.</w:t>
      </w:r>
      <w:r w:rsidRPr="006B575D">
        <w:rPr>
          <w:noProof/>
          <w:szCs w:val="24"/>
        </w:rPr>
        <w:t xml:space="preserve"> </w:t>
      </w:r>
      <w:r w:rsidRPr="006B575D">
        <w:rPr>
          <w:b/>
          <w:bCs/>
          <w:noProof/>
          <w:szCs w:val="24"/>
        </w:rPr>
        <w:t>31</w:t>
      </w:r>
      <w:r w:rsidRPr="006B575D">
        <w:rPr>
          <w:noProof/>
          <w:szCs w:val="24"/>
        </w:rPr>
        <w:t>, 1–19 (2019).</w:t>
      </w:r>
    </w:p>
    <w:p w14:paraId="3C354E91"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65.</w:t>
      </w:r>
      <w:r w:rsidRPr="006B575D">
        <w:rPr>
          <w:noProof/>
          <w:szCs w:val="24"/>
        </w:rPr>
        <w:tab/>
        <w:t xml:space="preserve">Abdi, H. The Bonferonni and Šidák Corrections for Multiple Comparisons. in </w:t>
      </w:r>
      <w:r w:rsidRPr="006B575D">
        <w:rPr>
          <w:i/>
          <w:iCs/>
          <w:noProof/>
          <w:szCs w:val="24"/>
        </w:rPr>
        <w:t>Encyclopedia of Measurement and Statistics</w:t>
      </w:r>
      <w:r w:rsidRPr="006B575D">
        <w:rPr>
          <w:noProof/>
          <w:szCs w:val="24"/>
        </w:rPr>
        <w:t xml:space="preserve"> (ed. Salkind, N.) 1–9 (Sage, 2007). doi:10.4135/9781412952644</w:t>
      </w:r>
    </w:p>
    <w:p w14:paraId="6413F275"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lastRenderedPageBreak/>
        <w:t>66.</w:t>
      </w:r>
      <w:r w:rsidRPr="006B575D">
        <w:rPr>
          <w:noProof/>
          <w:szCs w:val="24"/>
        </w:rPr>
        <w:tab/>
        <w:t xml:space="preserve">Westendorp, R. G. &amp; Kirkwood, T. Human longevity at the cost of reproductive success. </w:t>
      </w:r>
      <w:r w:rsidRPr="006B575D">
        <w:rPr>
          <w:i/>
          <w:iCs/>
          <w:noProof/>
          <w:szCs w:val="24"/>
        </w:rPr>
        <w:t>Nature</w:t>
      </w:r>
      <w:r w:rsidRPr="006B575D">
        <w:rPr>
          <w:noProof/>
          <w:szCs w:val="24"/>
        </w:rPr>
        <w:t xml:space="preserve"> </w:t>
      </w:r>
      <w:r w:rsidRPr="006B575D">
        <w:rPr>
          <w:b/>
          <w:bCs/>
          <w:noProof/>
          <w:szCs w:val="24"/>
        </w:rPr>
        <w:t>396</w:t>
      </w:r>
      <w:r w:rsidRPr="006B575D">
        <w:rPr>
          <w:noProof/>
          <w:szCs w:val="24"/>
        </w:rPr>
        <w:t>, 743–746 (1998).</w:t>
      </w:r>
    </w:p>
    <w:p w14:paraId="6C494DE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67.</w:t>
      </w:r>
      <w:r w:rsidRPr="006B575D">
        <w:rPr>
          <w:noProof/>
          <w:szCs w:val="24"/>
        </w:rPr>
        <w:tab/>
        <w:t xml:space="preserve">Graubard, B. I. &amp; Korn, E. L. Predictive margins with survey data. </w:t>
      </w:r>
      <w:r w:rsidRPr="006B575D">
        <w:rPr>
          <w:i/>
          <w:iCs/>
          <w:noProof/>
          <w:szCs w:val="24"/>
        </w:rPr>
        <w:t>Biometrics</w:t>
      </w:r>
      <w:r w:rsidRPr="006B575D">
        <w:rPr>
          <w:noProof/>
          <w:szCs w:val="24"/>
        </w:rPr>
        <w:t xml:space="preserve"> </w:t>
      </w:r>
      <w:r w:rsidRPr="006B575D">
        <w:rPr>
          <w:b/>
          <w:bCs/>
          <w:noProof/>
          <w:szCs w:val="24"/>
        </w:rPr>
        <w:t>55</w:t>
      </w:r>
      <w:r w:rsidRPr="006B575D">
        <w:rPr>
          <w:noProof/>
          <w:szCs w:val="24"/>
        </w:rPr>
        <w:t>, 652–659 (1999).</w:t>
      </w:r>
    </w:p>
    <w:p w14:paraId="533EFAED"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68.</w:t>
      </w:r>
      <w:r w:rsidRPr="006B575D">
        <w:rPr>
          <w:noProof/>
          <w:szCs w:val="24"/>
        </w:rPr>
        <w:tab/>
        <w:t xml:space="preserve">Kirkwood, T. Evolution of ageing. </w:t>
      </w:r>
      <w:r w:rsidRPr="006B575D">
        <w:rPr>
          <w:i/>
          <w:iCs/>
          <w:noProof/>
          <w:szCs w:val="24"/>
        </w:rPr>
        <w:t>Nature</w:t>
      </w:r>
      <w:r w:rsidRPr="006B575D">
        <w:rPr>
          <w:noProof/>
          <w:szCs w:val="24"/>
        </w:rPr>
        <w:t xml:space="preserve"> </w:t>
      </w:r>
      <w:r w:rsidRPr="006B575D">
        <w:rPr>
          <w:b/>
          <w:bCs/>
          <w:noProof/>
          <w:szCs w:val="24"/>
        </w:rPr>
        <w:t>5635</w:t>
      </w:r>
      <w:r w:rsidRPr="006B575D">
        <w:rPr>
          <w:noProof/>
          <w:szCs w:val="24"/>
        </w:rPr>
        <w:t>, 301–304 (1977).</w:t>
      </w:r>
    </w:p>
    <w:p w14:paraId="322D25BF"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69.</w:t>
      </w:r>
      <w:r w:rsidRPr="006B575D">
        <w:rPr>
          <w:noProof/>
          <w:szCs w:val="24"/>
        </w:rPr>
        <w:tab/>
        <w:t xml:space="preserve">Lv, B. </w:t>
      </w:r>
      <w:r w:rsidRPr="006B575D">
        <w:rPr>
          <w:i/>
          <w:iCs/>
          <w:noProof/>
          <w:szCs w:val="24"/>
        </w:rPr>
        <w:t>et al.</w:t>
      </w:r>
      <w:r w:rsidRPr="006B575D">
        <w:rPr>
          <w:noProof/>
          <w:szCs w:val="24"/>
        </w:rPr>
        <w:t xml:space="preserve"> NeuroImage Gender consistency and difference in healthy adults revealed by cortical thickness. </w:t>
      </w:r>
      <w:r w:rsidRPr="006B575D">
        <w:rPr>
          <w:i/>
          <w:iCs/>
          <w:noProof/>
          <w:szCs w:val="24"/>
        </w:rPr>
        <w:t>Neuroimage</w:t>
      </w:r>
      <w:r w:rsidRPr="006B575D">
        <w:rPr>
          <w:noProof/>
          <w:szCs w:val="24"/>
        </w:rPr>
        <w:t xml:space="preserve"> </w:t>
      </w:r>
      <w:r w:rsidRPr="006B575D">
        <w:rPr>
          <w:b/>
          <w:bCs/>
          <w:noProof/>
          <w:szCs w:val="24"/>
        </w:rPr>
        <w:t>53</w:t>
      </w:r>
      <w:r w:rsidRPr="006B575D">
        <w:rPr>
          <w:noProof/>
          <w:szCs w:val="24"/>
        </w:rPr>
        <w:t>, 373–382 (2010).</w:t>
      </w:r>
    </w:p>
    <w:p w14:paraId="090DED7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70.</w:t>
      </w:r>
      <w:r w:rsidRPr="006B575D">
        <w:rPr>
          <w:noProof/>
          <w:szCs w:val="24"/>
        </w:rPr>
        <w:tab/>
        <w:t xml:space="preserve">Grundy, E. &amp; Tomassini, C. Fertility history and health in later life: a record linkage study in England and Wales. </w:t>
      </w:r>
      <w:r w:rsidRPr="006B575D">
        <w:rPr>
          <w:i/>
          <w:iCs/>
          <w:noProof/>
          <w:szCs w:val="24"/>
        </w:rPr>
        <w:t>Soc. Sci. Med.</w:t>
      </w:r>
      <w:r w:rsidRPr="006B575D">
        <w:rPr>
          <w:noProof/>
          <w:szCs w:val="24"/>
        </w:rPr>
        <w:t xml:space="preserve"> </w:t>
      </w:r>
      <w:r w:rsidRPr="006B575D">
        <w:rPr>
          <w:b/>
          <w:bCs/>
          <w:noProof/>
          <w:szCs w:val="24"/>
        </w:rPr>
        <w:t>61</w:t>
      </w:r>
      <w:r w:rsidRPr="006B575D">
        <w:rPr>
          <w:noProof/>
          <w:szCs w:val="24"/>
        </w:rPr>
        <w:t>, 217–228 (2005).</w:t>
      </w:r>
    </w:p>
    <w:p w14:paraId="765B1F2E"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71.</w:t>
      </w:r>
      <w:r w:rsidRPr="006B575D">
        <w:rPr>
          <w:noProof/>
          <w:szCs w:val="24"/>
        </w:rPr>
        <w:tab/>
        <w:t xml:space="preserve">Lechner, L., Bolman, C. &amp; van Dalen, A. Definite involuntary childlessness: Associations between coping, social support and psychological distress. </w:t>
      </w:r>
      <w:r w:rsidRPr="006B575D">
        <w:rPr>
          <w:i/>
          <w:iCs/>
          <w:noProof/>
          <w:szCs w:val="24"/>
        </w:rPr>
        <w:t>Hum. Reprod.</w:t>
      </w:r>
      <w:r w:rsidRPr="006B575D">
        <w:rPr>
          <w:noProof/>
          <w:szCs w:val="24"/>
        </w:rPr>
        <w:t xml:space="preserve"> </w:t>
      </w:r>
      <w:r w:rsidRPr="006B575D">
        <w:rPr>
          <w:b/>
          <w:bCs/>
          <w:noProof/>
          <w:szCs w:val="24"/>
        </w:rPr>
        <w:t>22</w:t>
      </w:r>
      <w:r w:rsidRPr="006B575D">
        <w:rPr>
          <w:noProof/>
          <w:szCs w:val="24"/>
        </w:rPr>
        <w:t>, 288–294 (2007).</w:t>
      </w:r>
    </w:p>
    <w:p w14:paraId="20C80FB7"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72.</w:t>
      </w:r>
      <w:r w:rsidRPr="006B575D">
        <w:rPr>
          <w:noProof/>
          <w:szCs w:val="24"/>
        </w:rPr>
        <w:tab/>
        <w:t xml:space="preserve">Schaefer, C., Coyne, J. C. &amp; Lazarus, R. S. The health-related functions of social support. </w:t>
      </w:r>
      <w:r w:rsidRPr="006B575D">
        <w:rPr>
          <w:i/>
          <w:iCs/>
          <w:noProof/>
          <w:szCs w:val="24"/>
        </w:rPr>
        <w:t>J. Behav. Med.</w:t>
      </w:r>
      <w:r w:rsidRPr="006B575D">
        <w:rPr>
          <w:noProof/>
          <w:szCs w:val="24"/>
        </w:rPr>
        <w:t xml:space="preserve"> </w:t>
      </w:r>
      <w:r w:rsidRPr="006B575D">
        <w:rPr>
          <w:b/>
          <w:bCs/>
          <w:noProof/>
          <w:szCs w:val="24"/>
        </w:rPr>
        <w:t>4</w:t>
      </w:r>
      <w:r w:rsidRPr="006B575D">
        <w:rPr>
          <w:noProof/>
          <w:szCs w:val="24"/>
        </w:rPr>
        <w:t>, 381–406 (1981).</w:t>
      </w:r>
    </w:p>
    <w:p w14:paraId="360F9774"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73.</w:t>
      </w:r>
      <w:r w:rsidRPr="006B575D">
        <w:rPr>
          <w:noProof/>
          <w:szCs w:val="24"/>
        </w:rPr>
        <w:tab/>
        <w:t xml:space="preserve">Gagnon, A. </w:t>
      </w:r>
      <w:r w:rsidRPr="006B575D">
        <w:rPr>
          <w:i/>
          <w:iCs/>
          <w:noProof/>
          <w:szCs w:val="24"/>
        </w:rPr>
        <w:t>et al.</w:t>
      </w:r>
      <w:r w:rsidRPr="006B575D">
        <w:rPr>
          <w:noProof/>
          <w:szCs w:val="24"/>
        </w:rPr>
        <w:t xml:space="preserve"> Is there a trade-off between fertility and longevity? A comparative study of women from three large historical databses accounting for mortality selection. </w:t>
      </w:r>
      <w:r w:rsidRPr="006B575D">
        <w:rPr>
          <w:i/>
          <w:iCs/>
          <w:noProof/>
          <w:szCs w:val="24"/>
        </w:rPr>
        <w:t>Am. J. Hum. Biol.</w:t>
      </w:r>
      <w:r w:rsidRPr="006B575D">
        <w:rPr>
          <w:noProof/>
          <w:szCs w:val="24"/>
        </w:rPr>
        <w:t xml:space="preserve"> </w:t>
      </w:r>
      <w:r w:rsidRPr="006B575D">
        <w:rPr>
          <w:b/>
          <w:bCs/>
          <w:noProof/>
          <w:szCs w:val="24"/>
        </w:rPr>
        <w:t>21</w:t>
      </w:r>
      <w:r w:rsidRPr="006B575D">
        <w:rPr>
          <w:noProof/>
          <w:szCs w:val="24"/>
        </w:rPr>
        <w:t>, 533–540 (2009).</w:t>
      </w:r>
    </w:p>
    <w:p w14:paraId="0F320AEB"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74.</w:t>
      </w:r>
      <w:r w:rsidRPr="006B575D">
        <w:rPr>
          <w:noProof/>
          <w:szCs w:val="24"/>
        </w:rPr>
        <w:tab/>
        <w:t xml:space="preserve">Grundy, E. &amp; Kravdal, Ø. Reproductive history and mortality in late middle age among Norwegian men and women. </w:t>
      </w:r>
      <w:r w:rsidRPr="006B575D">
        <w:rPr>
          <w:i/>
          <w:iCs/>
          <w:noProof/>
          <w:szCs w:val="24"/>
        </w:rPr>
        <w:t>Am. J. Epidemiol.</w:t>
      </w:r>
      <w:r w:rsidRPr="006B575D">
        <w:rPr>
          <w:noProof/>
          <w:szCs w:val="24"/>
        </w:rPr>
        <w:t xml:space="preserve"> </w:t>
      </w:r>
      <w:r w:rsidRPr="006B575D">
        <w:rPr>
          <w:b/>
          <w:bCs/>
          <w:noProof/>
          <w:szCs w:val="24"/>
        </w:rPr>
        <w:t>167</w:t>
      </w:r>
      <w:r w:rsidRPr="006B575D">
        <w:rPr>
          <w:noProof/>
          <w:szCs w:val="24"/>
        </w:rPr>
        <w:t>, 271–279 (2008).</w:t>
      </w:r>
    </w:p>
    <w:p w14:paraId="0DD9A1AE"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75.</w:t>
      </w:r>
      <w:r w:rsidRPr="006B575D">
        <w:rPr>
          <w:noProof/>
          <w:szCs w:val="24"/>
        </w:rPr>
        <w:tab/>
        <w:t xml:space="preserve">Ossewaarde, M. E. </w:t>
      </w:r>
      <w:r w:rsidRPr="006B575D">
        <w:rPr>
          <w:i/>
          <w:iCs/>
          <w:noProof/>
          <w:szCs w:val="24"/>
        </w:rPr>
        <w:t>et al.</w:t>
      </w:r>
      <w:r w:rsidRPr="006B575D">
        <w:rPr>
          <w:noProof/>
          <w:szCs w:val="24"/>
        </w:rPr>
        <w:t xml:space="preserve"> Age at menopause, cause-specific mortality and total life expectancy. </w:t>
      </w:r>
      <w:r w:rsidRPr="006B575D">
        <w:rPr>
          <w:i/>
          <w:iCs/>
          <w:noProof/>
          <w:szCs w:val="24"/>
        </w:rPr>
        <w:t>Epidemiology</w:t>
      </w:r>
      <w:r w:rsidRPr="006B575D">
        <w:rPr>
          <w:noProof/>
          <w:szCs w:val="24"/>
        </w:rPr>
        <w:t xml:space="preserve"> </w:t>
      </w:r>
      <w:r w:rsidRPr="006B575D">
        <w:rPr>
          <w:b/>
          <w:bCs/>
          <w:noProof/>
          <w:szCs w:val="24"/>
        </w:rPr>
        <w:t>16</w:t>
      </w:r>
      <w:r w:rsidRPr="006B575D">
        <w:rPr>
          <w:noProof/>
          <w:szCs w:val="24"/>
        </w:rPr>
        <w:t>, 556–562 (2005).</w:t>
      </w:r>
    </w:p>
    <w:p w14:paraId="711C4E8C"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76.</w:t>
      </w:r>
      <w:r w:rsidRPr="006B575D">
        <w:rPr>
          <w:noProof/>
          <w:szCs w:val="24"/>
        </w:rPr>
        <w:tab/>
        <w:t xml:space="preserve">Levine, M. E. </w:t>
      </w:r>
      <w:r w:rsidRPr="006B575D">
        <w:rPr>
          <w:i/>
          <w:iCs/>
          <w:noProof/>
          <w:szCs w:val="24"/>
        </w:rPr>
        <w:t>et al.</w:t>
      </w:r>
      <w:r w:rsidRPr="006B575D">
        <w:rPr>
          <w:noProof/>
          <w:szCs w:val="24"/>
        </w:rPr>
        <w:t xml:space="preserve"> Menopause accelerates biological aging. </w:t>
      </w:r>
      <w:r w:rsidRPr="006B575D">
        <w:rPr>
          <w:i/>
          <w:iCs/>
          <w:noProof/>
          <w:szCs w:val="24"/>
        </w:rPr>
        <w:t>Proc. Natl. Acad. Sci. U. S. A.</w:t>
      </w:r>
      <w:r w:rsidRPr="006B575D">
        <w:rPr>
          <w:noProof/>
          <w:szCs w:val="24"/>
        </w:rPr>
        <w:t xml:space="preserve"> </w:t>
      </w:r>
      <w:r w:rsidRPr="006B575D">
        <w:rPr>
          <w:b/>
          <w:bCs/>
          <w:noProof/>
          <w:szCs w:val="24"/>
        </w:rPr>
        <w:t>113</w:t>
      </w:r>
      <w:r w:rsidRPr="006B575D">
        <w:rPr>
          <w:noProof/>
          <w:szCs w:val="24"/>
        </w:rPr>
        <w:t>, 9327–9332 (2016).</w:t>
      </w:r>
    </w:p>
    <w:p w14:paraId="65FE55DB"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77.</w:t>
      </w:r>
      <w:r w:rsidRPr="006B575D">
        <w:rPr>
          <w:noProof/>
          <w:szCs w:val="24"/>
        </w:rPr>
        <w:tab/>
        <w:t xml:space="preserve">Gleason, C. E., Cholerton, B., Carlsson, C. M., Johnson, S. C. &amp; Asthana, S. Neuroprotective effects of female sex steroids in humans: Current controversies and future directions. </w:t>
      </w:r>
      <w:r w:rsidRPr="006B575D">
        <w:rPr>
          <w:i/>
          <w:iCs/>
          <w:noProof/>
          <w:szCs w:val="24"/>
        </w:rPr>
        <w:t>Cell. Mol. Life Sci.</w:t>
      </w:r>
      <w:r w:rsidRPr="006B575D">
        <w:rPr>
          <w:noProof/>
          <w:szCs w:val="24"/>
        </w:rPr>
        <w:t xml:space="preserve"> </w:t>
      </w:r>
      <w:r w:rsidRPr="006B575D">
        <w:rPr>
          <w:b/>
          <w:bCs/>
          <w:noProof/>
          <w:szCs w:val="24"/>
        </w:rPr>
        <w:t>62</w:t>
      </w:r>
      <w:r w:rsidRPr="006B575D">
        <w:rPr>
          <w:noProof/>
          <w:szCs w:val="24"/>
        </w:rPr>
        <w:t>, 299–312 (2005).</w:t>
      </w:r>
    </w:p>
    <w:p w14:paraId="69309C4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78.</w:t>
      </w:r>
      <w:r w:rsidRPr="006B575D">
        <w:rPr>
          <w:noProof/>
          <w:szCs w:val="24"/>
        </w:rPr>
        <w:tab/>
        <w:t xml:space="preserve">Parker, W. H. </w:t>
      </w:r>
      <w:r w:rsidRPr="006B575D">
        <w:rPr>
          <w:i/>
          <w:iCs/>
          <w:noProof/>
          <w:szCs w:val="24"/>
        </w:rPr>
        <w:t>et al.</w:t>
      </w:r>
      <w:r w:rsidRPr="006B575D">
        <w:rPr>
          <w:noProof/>
          <w:szCs w:val="24"/>
        </w:rPr>
        <w:t xml:space="preserve"> Ovarian conservation at the time of hysterectomy and long-term health </w:t>
      </w:r>
      <w:r w:rsidRPr="006B575D">
        <w:rPr>
          <w:noProof/>
          <w:szCs w:val="24"/>
        </w:rPr>
        <w:lastRenderedPageBreak/>
        <w:t xml:space="preserve">outcomes in the Nurses’ Health study. </w:t>
      </w:r>
      <w:r w:rsidRPr="006B575D">
        <w:rPr>
          <w:i/>
          <w:iCs/>
          <w:noProof/>
          <w:szCs w:val="24"/>
        </w:rPr>
        <w:t>Obstet. Gynecol.</w:t>
      </w:r>
      <w:r w:rsidRPr="006B575D">
        <w:rPr>
          <w:noProof/>
          <w:szCs w:val="24"/>
        </w:rPr>
        <w:t xml:space="preserve"> </w:t>
      </w:r>
      <w:r w:rsidRPr="006B575D">
        <w:rPr>
          <w:b/>
          <w:bCs/>
          <w:noProof/>
          <w:szCs w:val="24"/>
        </w:rPr>
        <w:t>113</w:t>
      </w:r>
      <w:r w:rsidRPr="006B575D">
        <w:rPr>
          <w:noProof/>
          <w:szCs w:val="24"/>
        </w:rPr>
        <w:t>, 1027–1037 (2009).</w:t>
      </w:r>
    </w:p>
    <w:p w14:paraId="08E85B50"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79.</w:t>
      </w:r>
      <w:r w:rsidRPr="006B575D">
        <w:rPr>
          <w:noProof/>
          <w:szCs w:val="24"/>
        </w:rPr>
        <w:tab/>
        <w:t xml:space="preserve">Prentice, A. M. &amp; Prentice, A. Energy costs of lactation. </w:t>
      </w:r>
      <w:r w:rsidRPr="006B575D">
        <w:rPr>
          <w:i/>
          <w:iCs/>
          <w:noProof/>
          <w:szCs w:val="24"/>
        </w:rPr>
        <w:t>Annu. Rev. Nutr.</w:t>
      </w:r>
      <w:r w:rsidRPr="006B575D">
        <w:rPr>
          <w:noProof/>
          <w:szCs w:val="24"/>
        </w:rPr>
        <w:t xml:space="preserve"> </w:t>
      </w:r>
      <w:r w:rsidRPr="006B575D">
        <w:rPr>
          <w:b/>
          <w:bCs/>
          <w:noProof/>
          <w:szCs w:val="24"/>
        </w:rPr>
        <w:t>8</w:t>
      </w:r>
      <w:r w:rsidRPr="006B575D">
        <w:rPr>
          <w:noProof/>
          <w:szCs w:val="24"/>
        </w:rPr>
        <w:t>, 63–79 (1988).</w:t>
      </w:r>
    </w:p>
    <w:p w14:paraId="5503C7C8"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80.</w:t>
      </w:r>
      <w:r w:rsidRPr="006B575D">
        <w:rPr>
          <w:noProof/>
          <w:szCs w:val="24"/>
        </w:rPr>
        <w:tab/>
        <w:t xml:space="preserve">Lee, D. C., Im, J. A., Kim, J. H., Lee, H. R. &amp; Shim, J. Y. Effect of long-term hormone therapy on telomere length in postmenopausal women. </w:t>
      </w:r>
      <w:r w:rsidRPr="006B575D">
        <w:rPr>
          <w:i/>
          <w:iCs/>
          <w:noProof/>
          <w:szCs w:val="24"/>
        </w:rPr>
        <w:t>Yonsei Med. J.</w:t>
      </w:r>
      <w:r w:rsidRPr="006B575D">
        <w:rPr>
          <w:noProof/>
          <w:szCs w:val="24"/>
        </w:rPr>
        <w:t xml:space="preserve"> </w:t>
      </w:r>
      <w:r w:rsidRPr="006B575D">
        <w:rPr>
          <w:b/>
          <w:bCs/>
          <w:noProof/>
          <w:szCs w:val="24"/>
        </w:rPr>
        <w:t>46</w:t>
      </w:r>
      <w:r w:rsidRPr="006B575D">
        <w:rPr>
          <w:noProof/>
          <w:szCs w:val="24"/>
        </w:rPr>
        <w:t>, 471–479 (2005).</w:t>
      </w:r>
    </w:p>
    <w:p w14:paraId="0D141495"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81.</w:t>
      </w:r>
      <w:r w:rsidRPr="006B575D">
        <w:rPr>
          <w:noProof/>
          <w:szCs w:val="24"/>
        </w:rPr>
        <w:tab/>
        <w:t xml:space="preserve">Henrich, J., Heine, S. J. &amp; Norenzayan, A. The weirdest people in the world? </w:t>
      </w:r>
      <w:r w:rsidRPr="006B575D">
        <w:rPr>
          <w:i/>
          <w:iCs/>
          <w:noProof/>
          <w:szCs w:val="24"/>
        </w:rPr>
        <w:t>Behav. Brain Sci.</w:t>
      </w:r>
      <w:r w:rsidRPr="006B575D">
        <w:rPr>
          <w:noProof/>
          <w:szCs w:val="24"/>
        </w:rPr>
        <w:t xml:space="preserve"> </w:t>
      </w:r>
      <w:r w:rsidRPr="006B575D">
        <w:rPr>
          <w:b/>
          <w:bCs/>
          <w:noProof/>
          <w:szCs w:val="24"/>
        </w:rPr>
        <w:t>33</w:t>
      </w:r>
      <w:r w:rsidRPr="006B575D">
        <w:rPr>
          <w:noProof/>
          <w:szCs w:val="24"/>
        </w:rPr>
        <w:t>, 61–135 (2010).</w:t>
      </w:r>
    </w:p>
    <w:p w14:paraId="56665233"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82.</w:t>
      </w:r>
      <w:r w:rsidRPr="006B575D">
        <w:rPr>
          <w:noProof/>
          <w:szCs w:val="24"/>
        </w:rPr>
        <w:tab/>
        <w:t xml:space="preserve">Gurven, M. D. &amp; Lieberman, D. E. WEIRD bodies: mismatch, medicine and missing diversity. </w:t>
      </w:r>
      <w:r w:rsidRPr="006B575D">
        <w:rPr>
          <w:i/>
          <w:iCs/>
          <w:noProof/>
          <w:szCs w:val="24"/>
        </w:rPr>
        <w:t>Evol. Hum. Behav.</w:t>
      </w:r>
      <w:r w:rsidRPr="006B575D">
        <w:rPr>
          <w:noProof/>
          <w:szCs w:val="24"/>
        </w:rPr>
        <w:t xml:space="preserve"> 0–1 (2020). doi:10.1016/j.evolhumbehav.2020.04.001</w:t>
      </w:r>
    </w:p>
    <w:p w14:paraId="2E6C3F9A" w14:textId="77777777" w:rsidR="00BA4601" w:rsidRPr="006B575D" w:rsidRDefault="00BA4601" w:rsidP="00BA4601">
      <w:pPr>
        <w:widowControl w:val="0"/>
        <w:autoSpaceDE w:val="0"/>
        <w:autoSpaceDN w:val="0"/>
        <w:adjustRightInd w:val="0"/>
        <w:spacing w:line="480" w:lineRule="auto"/>
        <w:ind w:left="640" w:hanging="640"/>
        <w:rPr>
          <w:noProof/>
          <w:szCs w:val="24"/>
        </w:rPr>
      </w:pPr>
      <w:r w:rsidRPr="006B575D">
        <w:rPr>
          <w:noProof/>
          <w:szCs w:val="24"/>
        </w:rPr>
        <w:t>83.</w:t>
      </w:r>
      <w:r w:rsidRPr="006B575D">
        <w:rPr>
          <w:noProof/>
          <w:szCs w:val="24"/>
        </w:rPr>
        <w:tab/>
        <w:t xml:space="preserve">Sear, R., Lawson, D. W., Kaplan, H. &amp; Shenk, M. K. Understanding variation in human fertility: What can we learn from evolutionary demography? </w:t>
      </w:r>
      <w:r w:rsidRPr="006B575D">
        <w:rPr>
          <w:i/>
          <w:iCs/>
          <w:noProof/>
          <w:szCs w:val="24"/>
        </w:rPr>
        <w:t>Philos. Trans. R. Soc. B Biol. Sci.</w:t>
      </w:r>
      <w:r w:rsidRPr="006B575D">
        <w:rPr>
          <w:noProof/>
          <w:szCs w:val="24"/>
        </w:rPr>
        <w:t xml:space="preserve"> </w:t>
      </w:r>
      <w:r w:rsidRPr="006B575D">
        <w:rPr>
          <w:b/>
          <w:bCs/>
          <w:noProof/>
          <w:szCs w:val="24"/>
        </w:rPr>
        <w:t>371</w:t>
      </w:r>
      <w:r w:rsidRPr="006B575D">
        <w:rPr>
          <w:noProof/>
          <w:szCs w:val="24"/>
        </w:rPr>
        <w:t>, (2016).</w:t>
      </w:r>
    </w:p>
    <w:p w14:paraId="09D0BEF4" w14:textId="77777777" w:rsidR="00BA4601" w:rsidRPr="006B575D" w:rsidRDefault="00BA4601" w:rsidP="00BA4601">
      <w:pPr>
        <w:widowControl w:val="0"/>
        <w:autoSpaceDE w:val="0"/>
        <w:autoSpaceDN w:val="0"/>
        <w:adjustRightInd w:val="0"/>
        <w:spacing w:line="480" w:lineRule="auto"/>
        <w:ind w:left="640" w:hanging="640"/>
        <w:rPr>
          <w:noProof/>
        </w:rPr>
      </w:pPr>
      <w:r w:rsidRPr="006B575D">
        <w:rPr>
          <w:noProof/>
          <w:szCs w:val="24"/>
        </w:rPr>
        <w:t>84.</w:t>
      </w:r>
      <w:r w:rsidRPr="006B575D">
        <w:rPr>
          <w:noProof/>
          <w:szCs w:val="24"/>
        </w:rPr>
        <w:tab/>
        <w:t xml:space="preserve">Gurven, M. </w:t>
      </w:r>
      <w:r w:rsidRPr="006B575D">
        <w:rPr>
          <w:i/>
          <w:iCs/>
          <w:noProof/>
          <w:szCs w:val="24"/>
        </w:rPr>
        <w:t>et al.</w:t>
      </w:r>
      <w:r w:rsidRPr="006B575D">
        <w:rPr>
          <w:noProof/>
          <w:szCs w:val="24"/>
        </w:rPr>
        <w:t xml:space="preserve"> Health costs of reproduction are minimal despite high fertility, mortality and subsistence lifestyle. </w:t>
      </w:r>
      <w:r w:rsidRPr="006B575D">
        <w:rPr>
          <w:i/>
          <w:iCs/>
          <w:noProof/>
          <w:szCs w:val="24"/>
        </w:rPr>
        <w:t>Sci. Rep.</w:t>
      </w:r>
      <w:r w:rsidRPr="006B575D">
        <w:rPr>
          <w:noProof/>
          <w:szCs w:val="24"/>
        </w:rPr>
        <w:t xml:space="preserve"> </w:t>
      </w:r>
      <w:r w:rsidRPr="006B575D">
        <w:rPr>
          <w:b/>
          <w:bCs/>
          <w:noProof/>
          <w:szCs w:val="24"/>
        </w:rPr>
        <w:t>6</w:t>
      </w:r>
      <w:r w:rsidRPr="006B575D">
        <w:rPr>
          <w:noProof/>
          <w:szCs w:val="24"/>
        </w:rPr>
        <w:t>, 1–10 (2016).</w:t>
      </w:r>
    </w:p>
    <w:p w14:paraId="4DADDADA" w14:textId="77777777" w:rsidR="00DE4B0E" w:rsidRPr="006B575D" w:rsidRDefault="00DE4B0E" w:rsidP="008406FB">
      <w:pPr>
        <w:shd w:val="clear" w:color="auto" w:fill="FFFFFF"/>
        <w:spacing w:line="480" w:lineRule="auto"/>
        <w:rPr>
          <w:b/>
          <w:bCs/>
        </w:rPr>
      </w:pPr>
      <w:r w:rsidRPr="006B575D">
        <w:rPr>
          <w:b/>
          <w:bCs/>
        </w:rPr>
        <w:fldChar w:fldCharType="end"/>
      </w:r>
    </w:p>
    <w:p w14:paraId="494632F9" w14:textId="77777777" w:rsidR="005C1705" w:rsidRPr="006B575D" w:rsidRDefault="005C1705" w:rsidP="008406FB">
      <w:pPr>
        <w:shd w:val="clear" w:color="auto" w:fill="FFFFFF"/>
        <w:spacing w:line="480" w:lineRule="auto"/>
        <w:rPr>
          <w:b/>
          <w:bCs/>
        </w:rPr>
      </w:pPr>
    </w:p>
    <w:p w14:paraId="73D80384" w14:textId="769D7BF9" w:rsidR="005C1705" w:rsidRPr="006B575D" w:rsidRDefault="005C1705" w:rsidP="005C1705">
      <w:pPr>
        <w:shd w:val="clear" w:color="auto" w:fill="FFFFFF"/>
        <w:spacing w:line="480" w:lineRule="auto"/>
        <w:rPr>
          <w:bCs/>
        </w:rPr>
      </w:pPr>
      <w:r w:rsidRPr="006B575D">
        <w:rPr>
          <w:b/>
        </w:rPr>
        <w:t xml:space="preserve">Acknowledgements: </w:t>
      </w:r>
      <w:r w:rsidRPr="006B575D">
        <w:rPr>
          <w:bCs/>
        </w:rPr>
        <w:t>This work was supporting by the National Science Foundation (TNS; CPR), National Institute on Aging (</w:t>
      </w:r>
      <w:r w:rsidRPr="006B575D">
        <w:t>T32AG049676; WJH), and the Na</w:t>
      </w:r>
      <w:r w:rsidR="0076710C" w:rsidRPr="006B575D">
        <w:t>tural</w:t>
      </w:r>
      <w:r w:rsidRPr="006B575D">
        <w:t xml:space="preserve"> Sciences and Engineering Research Council of Canada (CPR).</w:t>
      </w:r>
    </w:p>
    <w:p w14:paraId="410BCD2C" w14:textId="77777777" w:rsidR="005C1705" w:rsidRPr="006B575D" w:rsidRDefault="005C1705" w:rsidP="005C1705">
      <w:pPr>
        <w:shd w:val="clear" w:color="auto" w:fill="FFFFFF"/>
        <w:spacing w:line="480" w:lineRule="auto"/>
      </w:pPr>
    </w:p>
    <w:p w14:paraId="7CCAF250" w14:textId="77777777" w:rsidR="005C1705" w:rsidRPr="006B575D" w:rsidRDefault="005C1705" w:rsidP="005C1705">
      <w:pPr>
        <w:shd w:val="clear" w:color="auto" w:fill="FFFFFF"/>
        <w:spacing w:line="480" w:lineRule="auto"/>
        <w:rPr>
          <w:b/>
        </w:rPr>
      </w:pPr>
      <w:r w:rsidRPr="006B575D">
        <w:rPr>
          <w:b/>
        </w:rPr>
        <w:t>Author Contributions</w:t>
      </w:r>
    </w:p>
    <w:p w14:paraId="10BEE565" w14:textId="77777777" w:rsidR="005C1705" w:rsidRPr="006B575D" w:rsidRDefault="005C1705" w:rsidP="005C1705">
      <w:pPr>
        <w:shd w:val="clear" w:color="auto" w:fill="FFFFFF"/>
        <w:spacing w:line="480" w:lineRule="auto"/>
      </w:pPr>
      <w:r w:rsidRPr="006B575D">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Pr="006B575D" w:rsidRDefault="005C1705" w:rsidP="005C1705">
      <w:pPr>
        <w:shd w:val="clear" w:color="auto" w:fill="FFFFFF"/>
        <w:spacing w:line="480" w:lineRule="auto"/>
      </w:pPr>
    </w:p>
    <w:p w14:paraId="0756BDBE" w14:textId="77777777" w:rsidR="005C1705" w:rsidRPr="006B575D" w:rsidRDefault="005C1705" w:rsidP="005C1705">
      <w:pPr>
        <w:shd w:val="clear" w:color="auto" w:fill="FFFFFF"/>
        <w:spacing w:line="480" w:lineRule="auto"/>
        <w:rPr>
          <w:b/>
        </w:rPr>
      </w:pPr>
      <w:r w:rsidRPr="006B575D">
        <w:rPr>
          <w:b/>
        </w:rPr>
        <w:t xml:space="preserve">Competing Interests: </w:t>
      </w:r>
      <w:r w:rsidRPr="006B575D">
        <w:t xml:space="preserve">The authors have declared that no conflicts of interest exist. </w:t>
      </w:r>
    </w:p>
    <w:p w14:paraId="0F1E308C" w14:textId="644B2D43" w:rsidR="005C1705" w:rsidRPr="006B575D" w:rsidRDefault="005C1705" w:rsidP="008406FB">
      <w:pPr>
        <w:shd w:val="clear" w:color="auto" w:fill="FFFFFF"/>
        <w:spacing w:line="480" w:lineRule="auto"/>
        <w:rPr>
          <w:b/>
        </w:rPr>
      </w:pPr>
    </w:p>
    <w:p w14:paraId="4BCF38FC" w14:textId="77777777" w:rsidR="005C1705" w:rsidRPr="006B575D" w:rsidRDefault="005C1705" w:rsidP="008406FB">
      <w:pPr>
        <w:shd w:val="clear" w:color="auto" w:fill="FFFFFF"/>
        <w:spacing w:line="480" w:lineRule="auto"/>
        <w:rPr>
          <w:b/>
          <w:bCs/>
        </w:rPr>
      </w:pPr>
      <w:r w:rsidRPr="006B575D">
        <w:rPr>
          <w:b/>
          <w:bCs/>
        </w:rPr>
        <w:lastRenderedPageBreak/>
        <w:t>Figure Legends</w:t>
      </w:r>
    </w:p>
    <w:p w14:paraId="1A8B2775" w14:textId="77777777" w:rsidR="005C1705" w:rsidRPr="006B575D" w:rsidRDefault="005C1705" w:rsidP="008406FB">
      <w:pPr>
        <w:shd w:val="clear" w:color="auto" w:fill="FFFFFF"/>
        <w:spacing w:line="480" w:lineRule="auto"/>
        <w:rPr>
          <w:b/>
          <w:bCs/>
        </w:rPr>
      </w:pPr>
    </w:p>
    <w:p w14:paraId="73CD2A56" w14:textId="77777777" w:rsidR="005C1705" w:rsidRPr="006B575D" w:rsidRDefault="005C1705" w:rsidP="008406FB">
      <w:pPr>
        <w:shd w:val="clear" w:color="auto" w:fill="FFFFFF"/>
        <w:spacing w:line="480" w:lineRule="auto"/>
        <w:rPr>
          <w:color w:val="000000"/>
        </w:rPr>
      </w:pPr>
      <w:r w:rsidRPr="006B575D">
        <w:rPr>
          <w:b/>
          <w:bCs/>
          <w:color w:val="000000"/>
        </w:rPr>
        <w:t xml:space="preserve">Figure 1. </w:t>
      </w:r>
      <w:r w:rsidRPr="006B575D">
        <w:rPr>
          <w:color w:val="000000"/>
        </w:rPr>
        <w:t>Flow chart illustrating sample stratification.</w:t>
      </w:r>
    </w:p>
    <w:p w14:paraId="1796E4A5" w14:textId="14385EC4" w:rsidR="005C1705" w:rsidRPr="006B575D" w:rsidRDefault="005C1705" w:rsidP="008406FB">
      <w:pPr>
        <w:shd w:val="clear" w:color="auto" w:fill="FFFFFF"/>
        <w:spacing w:line="480" w:lineRule="auto"/>
        <w:rPr>
          <w:color w:val="000000"/>
        </w:rPr>
      </w:pPr>
      <w:r w:rsidRPr="006B575D">
        <w:rPr>
          <w:b/>
          <w:bCs/>
          <w:color w:val="000000"/>
        </w:rPr>
        <w:t xml:space="preserve">Figure 2. </w:t>
      </w:r>
      <w:r w:rsidRPr="006B575D">
        <w:rPr>
          <w:color w:val="000000"/>
        </w:rPr>
        <w:t>Distribution of live births for pre</w:t>
      </w:r>
      <w:r w:rsidR="002533E0" w:rsidRPr="006B575D">
        <w:rPr>
          <w:color w:val="000000"/>
        </w:rPr>
        <w:t>-</w:t>
      </w:r>
      <w:r w:rsidRPr="006B575D">
        <w:rPr>
          <w:color w:val="000000"/>
        </w:rPr>
        <w:t>menopausal (black bars;</w:t>
      </w:r>
      <w:r w:rsidRPr="006B575D">
        <w:rPr>
          <w:i/>
          <w:iCs/>
          <w:color w:val="000000"/>
        </w:rPr>
        <w:t xml:space="preserve"> n</w:t>
      </w:r>
      <w:r w:rsidRPr="006B575D">
        <w:rPr>
          <w:color w:val="000000"/>
        </w:rPr>
        <w:t xml:space="preserve"> = 2,1</w:t>
      </w:r>
      <w:r w:rsidR="00595A1F" w:rsidRPr="006B575D">
        <w:rPr>
          <w:color w:val="000000"/>
        </w:rPr>
        <w:t>66</w:t>
      </w:r>
      <w:r w:rsidRPr="006B575D">
        <w:rPr>
          <w:color w:val="000000"/>
        </w:rPr>
        <w:t>) and post</w:t>
      </w:r>
      <w:r w:rsidR="002533E0" w:rsidRPr="006B575D">
        <w:rPr>
          <w:color w:val="000000"/>
        </w:rPr>
        <w:t>-</w:t>
      </w:r>
      <w:r w:rsidRPr="006B575D">
        <w:rPr>
          <w:color w:val="000000"/>
        </w:rPr>
        <w:t xml:space="preserve">menopausal (gray bars; </w:t>
      </w:r>
      <w:r w:rsidRPr="006B575D">
        <w:rPr>
          <w:i/>
          <w:iCs/>
          <w:color w:val="000000"/>
        </w:rPr>
        <w:t>n</w:t>
      </w:r>
      <w:r w:rsidRPr="006B575D">
        <w:rPr>
          <w:color w:val="000000"/>
        </w:rPr>
        <w:t xml:space="preserve"> = </w:t>
      </w:r>
      <w:r w:rsidR="00595A1F" w:rsidRPr="006B575D">
        <w:rPr>
          <w:color w:val="000000"/>
        </w:rPr>
        <w:t>2,252</w:t>
      </w:r>
      <w:r w:rsidRPr="006B575D">
        <w:rPr>
          <w:color w:val="000000"/>
        </w:rPr>
        <w:t>).</w:t>
      </w:r>
    </w:p>
    <w:p w14:paraId="03878EF6" w14:textId="2AFA09EE" w:rsidR="005C1705" w:rsidRPr="006B575D" w:rsidRDefault="005C1705" w:rsidP="008406FB">
      <w:pPr>
        <w:shd w:val="clear" w:color="auto" w:fill="FFFFFF"/>
        <w:spacing w:line="480" w:lineRule="auto"/>
        <w:rPr>
          <w:color w:val="000000"/>
        </w:rPr>
      </w:pPr>
      <w:r w:rsidRPr="006B575D">
        <w:rPr>
          <w:b/>
          <w:bCs/>
          <w:color w:val="000000"/>
        </w:rPr>
        <w:t xml:space="preserve">Figure 3. </w:t>
      </w:r>
      <w:r w:rsidRPr="006B575D">
        <w:rPr>
          <w:color w:val="000000"/>
        </w:rPr>
        <w:t>Associations between measures of chronological and biological age employed in the present study, National Health and Nutrition Examination Survey 1999-2010 (</w:t>
      </w:r>
      <w:r w:rsidRPr="006B575D">
        <w:rPr>
          <w:i/>
          <w:iCs/>
          <w:color w:val="000000"/>
        </w:rPr>
        <w:t>n</w:t>
      </w:r>
      <w:r w:rsidRPr="006B575D">
        <w:rPr>
          <w:color w:val="000000"/>
        </w:rPr>
        <w:t xml:space="preserve"> = </w:t>
      </w:r>
      <w:r w:rsidR="008C7B42" w:rsidRPr="006B575D">
        <w:rPr>
          <w:color w:val="000000"/>
        </w:rPr>
        <w:t>4,418</w:t>
      </w:r>
      <w:r w:rsidRPr="006B575D">
        <w:rPr>
          <w:color w:val="000000"/>
        </w:rPr>
        <w:t xml:space="preserve">). Numbers represent Pearson correlation coefficients. </w:t>
      </w:r>
      <w:r w:rsidRPr="006B575D">
        <w:rPr>
          <w:i/>
          <w:iCs/>
          <w:color w:val="000000"/>
        </w:rPr>
        <w:t>Note</w:t>
      </w:r>
      <w:r w:rsidRPr="006B575D">
        <w:rPr>
          <w:color w:val="000000"/>
        </w:rPr>
        <w:t>: *** p &lt; 0.001</w:t>
      </w:r>
    </w:p>
    <w:p w14:paraId="34B0A6A1" w14:textId="4FF8A065" w:rsidR="005C1705" w:rsidRPr="006B575D" w:rsidRDefault="005C1705" w:rsidP="008406FB">
      <w:pPr>
        <w:shd w:val="clear" w:color="auto" w:fill="FFFFFF"/>
        <w:spacing w:line="480" w:lineRule="auto"/>
        <w:rPr>
          <w:b/>
          <w:bCs/>
        </w:rPr>
        <w:sectPr w:rsidR="005C1705" w:rsidRPr="006B575D" w:rsidSect="008406FB">
          <w:footerReference w:type="default" r:id="rId10"/>
          <w:pgSz w:w="12240" w:h="15840"/>
          <w:pgMar w:top="1440" w:right="1080" w:bottom="1440" w:left="1080" w:header="720" w:footer="720" w:gutter="0"/>
          <w:lnNumType w:countBy="1" w:restart="continuous"/>
          <w:pgNumType w:start="1"/>
          <w:cols w:space="720"/>
          <w:docGrid w:linePitch="299"/>
        </w:sectPr>
      </w:pPr>
      <w:r w:rsidRPr="006B575D">
        <w:rPr>
          <w:b/>
          <w:bCs/>
          <w:color w:val="000000"/>
        </w:rPr>
        <w:t xml:space="preserve">Figure 4. </w:t>
      </w:r>
      <w:r w:rsidRPr="006B575D">
        <w:rPr>
          <w:color w:val="000000"/>
        </w:rPr>
        <w:t>Predicted values and 95% confidence intervals</w:t>
      </w:r>
      <w:r w:rsidR="007E2780" w:rsidRPr="006B575D">
        <w:rPr>
          <w:color w:val="000000"/>
        </w:rPr>
        <w:t xml:space="preserve"> derived from primary models</w:t>
      </w:r>
      <w:r w:rsidRPr="006B575D">
        <w:rPr>
          <w:color w:val="000000"/>
        </w:rPr>
        <w:t xml:space="preserve"> for LM age acceleration (panel A), HD acceleration (panel B), KDM age acceleration (panel C)</w:t>
      </w:r>
      <w:r w:rsidR="007466FC" w:rsidRPr="006B575D">
        <w:rPr>
          <w:color w:val="000000"/>
        </w:rPr>
        <w:t>, and AL age acceleration (panel D)</w:t>
      </w:r>
      <w:r w:rsidRPr="006B575D">
        <w:rPr>
          <w:color w:val="000000"/>
        </w:rPr>
        <w:t xml:space="preserve"> among pre</w:t>
      </w:r>
      <w:r w:rsidR="002533E0" w:rsidRPr="006B575D">
        <w:rPr>
          <w:color w:val="000000"/>
        </w:rPr>
        <w:t>-</w:t>
      </w:r>
      <w:r w:rsidRPr="006B575D">
        <w:rPr>
          <w:color w:val="000000"/>
        </w:rPr>
        <w:t>menopausal women (black line</w:t>
      </w:r>
      <w:r w:rsidR="00D835D4" w:rsidRPr="006B575D">
        <w:rPr>
          <w:color w:val="000000"/>
        </w:rPr>
        <w:t>s</w:t>
      </w:r>
      <w:r w:rsidRPr="006B575D">
        <w:rPr>
          <w:color w:val="000000"/>
        </w:rPr>
        <w:t>) and post</w:t>
      </w:r>
      <w:r w:rsidR="002533E0" w:rsidRPr="006B575D">
        <w:rPr>
          <w:color w:val="000000"/>
        </w:rPr>
        <w:t>-</w:t>
      </w:r>
      <w:r w:rsidRPr="006B575D">
        <w:rPr>
          <w:color w:val="000000"/>
        </w:rPr>
        <w:t>menopausal women (grey line</w:t>
      </w:r>
      <w:r w:rsidR="00D835D4" w:rsidRPr="006B575D">
        <w:rPr>
          <w:color w:val="000000"/>
        </w:rPr>
        <w:t>s</w:t>
      </w:r>
      <w:r w:rsidRPr="006B575D">
        <w:rPr>
          <w:color w:val="000000"/>
        </w:rPr>
        <w:t>), National Health and Nutrition Examination Survey (</w:t>
      </w:r>
      <w:r w:rsidRPr="006B575D">
        <w:rPr>
          <w:i/>
          <w:iCs/>
          <w:color w:val="000000"/>
        </w:rPr>
        <w:t>n</w:t>
      </w:r>
      <w:r w:rsidRPr="006B575D">
        <w:rPr>
          <w:color w:val="000000"/>
        </w:rPr>
        <w:t xml:space="preserve"> = </w:t>
      </w:r>
      <w:r w:rsidR="008C7B42" w:rsidRPr="006B575D">
        <w:rPr>
          <w:color w:val="000000"/>
        </w:rPr>
        <w:t>4,418</w:t>
      </w:r>
      <w:r w:rsidRPr="006B575D">
        <w:rPr>
          <w:color w:val="000000"/>
        </w:rPr>
        <w:t xml:space="preserve">). </w:t>
      </w:r>
      <w:r w:rsidRPr="006B575D">
        <w:rPr>
          <w:i/>
          <w:iCs/>
          <w:color w:val="000000"/>
        </w:rPr>
        <w:t>Note:</w:t>
      </w:r>
      <w:r w:rsidRPr="006B575D">
        <w:rPr>
          <w:color w:val="000000"/>
        </w:rPr>
        <w:t xml:space="preserve"> Figure generated using marginal standardization adjusted for the distribution of age, BMI, FIPR, smoking, education, and race/ethnicity. </w:t>
      </w:r>
    </w:p>
    <w:p w14:paraId="132DFD35" w14:textId="76BAEF49" w:rsidR="007520D9" w:rsidRPr="006B575D" w:rsidRDefault="00ED4070" w:rsidP="007B2EA2">
      <w:pPr>
        <w:rPr>
          <w:b/>
          <w:bCs/>
        </w:rPr>
      </w:pPr>
      <w:r w:rsidRPr="006B575D">
        <w:rPr>
          <w:b/>
          <w:bCs/>
        </w:rPr>
        <w:lastRenderedPageBreak/>
        <w:t xml:space="preserve">Table 1. </w:t>
      </w:r>
      <w:r w:rsidRPr="006B575D">
        <w:t>Sample demographic characteristics (</w:t>
      </w:r>
      <w:r w:rsidRPr="006B575D">
        <w:rPr>
          <w:i/>
          <w:iCs/>
        </w:rPr>
        <w:t>n</w:t>
      </w:r>
      <w:r w:rsidRPr="006B575D">
        <w:t xml:space="preserve"> = 4,418), National Health and Nutrition Examination Survey, 1999-2010. Means, standard errors (SE), and percentages represent </w:t>
      </w:r>
      <w:proofErr w:type="gramStart"/>
      <w:r w:rsidRPr="006B575D">
        <w:t>nationally-representative</w:t>
      </w:r>
      <w:proofErr w:type="gramEnd"/>
      <w:r w:rsidRPr="006B575D">
        <w:t xml:space="preserve"> estimates based on adjustment for complex survey design, survey nonresponse, non-coverage, and complex survey design</w:t>
      </w:r>
      <w:r w:rsidR="007B2EA2" w:rsidRPr="006B575D">
        <w:t xml:space="preserve">. </w:t>
      </w:r>
      <w:r w:rsidR="007520D9" w:rsidRPr="006B575D">
        <w:t xml:space="preserve">Unless otherwise noted, p-values reflect tests of difference via t-test or Chi-Square as appropriate. </w:t>
      </w:r>
    </w:p>
    <w:p w14:paraId="6657A0AF" w14:textId="77777777" w:rsidR="007520D9" w:rsidRPr="006B575D"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6B575D" w14:paraId="45A99E75" w14:textId="77777777" w:rsidTr="00B95B54">
        <w:trPr>
          <w:trHeight w:val="19"/>
        </w:trPr>
        <w:tc>
          <w:tcPr>
            <w:tcW w:w="3371" w:type="dxa"/>
            <w:tcBorders>
              <w:top w:val="single" w:sz="4" w:space="0" w:color="auto"/>
            </w:tcBorders>
          </w:tcPr>
          <w:p w14:paraId="4ABC4FE3" w14:textId="77777777" w:rsidR="007520D9" w:rsidRPr="006B575D"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5CB1E345" w:rsidR="007520D9" w:rsidRPr="006B575D" w:rsidRDefault="007520D9" w:rsidP="00B95B54">
            <w:pPr>
              <w:jc w:val="center"/>
              <w:rPr>
                <w:rFonts w:ascii="Arial" w:hAnsi="Arial" w:cs="Arial"/>
                <w:sz w:val="16"/>
                <w:szCs w:val="16"/>
              </w:rPr>
            </w:pPr>
            <w:r w:rsidRPr="006B575D">
              <w:rPr>
                <w:rFonts w:ascii="Arial" w:hAnsi="Arial" w:cs="Arial"/>
                <w:sz w:val="16"/>
                <w:szCs w:val="16"/>
              </w:rPr>
              <w:t>Pre</w:t>
            </w:r>
            <w:r w:rsidR="002533E0" w:rsidRPr="006B575D">
              <w:rPr>
                <w:rFonts w:ascii="Arial" w:hAnsi="Arial" w:cs="Arial"/>
                <w:sz w:val="16"/>
                <w:szCs w:val="16"/>
              </w:rPr>
              <w:t>-</w:t>
            </w:r>
            <w:r w:rsidRPr="006B575D">
              <w:rPr>
                <w:rFonts w:ascii="Arial" w:hAnsi="Arial" w:cs="Arial"/>
                <w:sz w:val="16"/>
                <w:szCs w:val="16"/>
              </w:rPr>
              <w:t>menopausal (</w:t>
            </w:r>
            <w:r w:rsidRPr="006B575D">
              <w:rPr>
                <w:rFonts w:ascii="Arial" w:hAnsi="Arial" w:cs="Arial"/>
                <w:i/>
                <w:iCs/>
                <w:sz w:val="16"/>
                <w:szCs w:val="16"/>
              </w:rPr>
              <w:t>n</w:t>
            </w:r>
            <w:r w:rsidR="00ED4070" w:rsidRPr="006B575D">
              <w:rPr>
                <w:rFonts w:ascii="Arial" w:hAnsi="Arial" w:cs="Arial"/>
                <w:i/>
                <w:iCs/>
                <w:sz w:val="16"/>
                <w:szCs w:val="16"/>
              </w:rPr>
              <w:t xml:space="preserve"> </w:t>
            </w:r>
            <w:r w:rsidRPr="006B575D">
              <w:rPr>
                <w:rFonts w:ascii="Arial" w:hAnsi="Arial" w:cs="Arial"/>
                <w:sz w:val="16"/>
                <w:szCs w:val="16"/>
              </w:rPr>
              <w:t>=</w:t>
            </w:r>
            <w:r w:rsidR="00ED4070" w:rsidRPr="006B575D">
              <w:rPr>
                <w:rFonts w:ascii="Arial" w:hAnsi="Arial" w:cs="Arial"/>
                <w:sz w:val="16"/>
                <w:szCs w:val="16"/>
              </w:rPr>
              <w:t xml:space="preserve"> </w:t>
            </w:r>
            <w:r w:rsidRPr="006B575D">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2F68A49C" w:rsidR="007520D9" w:rsidRPr="006B575D" w:rsidRDefault="007520D9" w:rsidP="00B95B54">
            <w:pPr>
              <w:jc w:val="center"/>
              <w:rPr>
                <w:rFonts w:ascii="Arial" w:hAnsi="Arial" w:cs="Arial"/>
                <w:sz w:val="16"/>
                <w:szCs w:val="16"/>
              </w:rPr>
            </w:pPr>
            <w:r w:rsidRPr="006B575D">
              <w:rPr>
                <w:rFonts w:ascii="Arial" w:hAnsi="Arial" w:cs="Arial"/>
                <w:sz w:val="16"/>
                <w:szCs w:val="16"/>
              </w:rPr>
              <w:t>Post</w:t>
            </w:r>
            <w:r w:rsidR="002533E0" w:rsidRPr="006B575D">
              <w:rPr>
                <w:rFonts w:ascii="Arial" w:hAnsi="Arial" w:cs="Arial"/>
                <w:sz w:val="16"/>
                <w:szCs w:val="16"/>
              </w:rPr>
              <w:t>-</w:t>
            </w:r>
            <w:r w:rsidRPr="006B575D">
              <w:rPr>
                <w:rFonts w:ascii="Arial" w:hAnsi="Arial" w:cs="Arial"/>
                <w:sz w:val="16"/>
                <w:szCs w:val="16"/>
              </w:rPr>
              <w:t>menopausal (</w:t>
            </w:r>
            <w:r w:rsidRPr="006B575D">
              <w:rPr>
                <w:rFonts w:ascii="Arial" w:hAnsi="Arial" w:cs="Arial"/>
                <w:i/>
                <w:iCs/>
                <w:sz w:val="16"/>
                <w:szCs w:val="16"/>
              </w:rPr>
              <w:t>n</w:t>
            </w:r>
            <w:r w:rsidR="00ED4070" w:rsidRPr="006B575D">
              <w:rPr>
                <w:rFonts w:ascii="Arial" w:hAnsi="Arial" w:cs="Arial"/>
                <w:sz w:val="16"/>
                <w:szCs w:val="16"/>
              </w:rPr>
              <w:t xml:space="preserve"> </w:t>
            </w:r>
            <w:r w:rsidRPr="006B575D">
              <w:rPr>
                <w:rFonts w:ascii="Arial" w:hAnsi="Arial" w:cs="Arial"/>
                <w:sz w:val="16"/>
                <w:szCs w:val="16"/>
              </w:rPr>
              <w:t>=</w:t>
            </w:r>
            <w:r w:rsidR="00ED4070" w:rsidRPr="006B575D">
              <w:rPr>
                <w:rFonts w:ascii="Arial" w:hAnsi="Arial" w:cs="Arial"/>
                <w:sz w:val="16"/>
                <w:szCs w:val="16"/>
              </w:rPr>
              <w:t xml:space="preserve"> </w:t>
            </w:r>
            <w:r w:rsidRPr="006B575D">
              <w:rPr>
                <w:rFonts w:ascii="Arial" w:hAnsi="Arial" w:cs="Arial"/>
                <w:sz w:val="16"/>
                <w:szCs w:val="16"/>
              </w:rPr>
              <w:t>2,252)</w:t>
            </w:r>
          </w:p>
        </w:tc>
        <w:tc>
          <w:tcPr>
            <w:tcW w:w="1260" w:type="dxa"/>
            <w:tcBorders>
              <w:top w:val="single" w:sz="4" w:space="0" w:color="auto"/>
            </w:tcBorders>
          </w:tcPr>
          <w:p w14:paraId="11AA19BA"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p-value</w:t>
            </w:r>
          </w:p>
        </w:tc>
      </w:tr>
      <w:tr w:rsidR="007520D9" w:rsidRPr="006B575D" w14:paraId="03DBE418" w14:textId="77777777" w:rsidTr="00B95B54">
        <w:trPr>
          <w:trHeight w:val="19"/>
        </w:trPr>
        <w:tc>
          <w:tcPr>
            <w:tcW w:w="3371" w:type="dxa"/>
            <w:tcBorders>
              <w:top w:val="single" w:sz="4" w:space="0" w:color="auto"/>
            </w:tcBorders>
          </w:tcPr>
          <w:p w14:paraId="1730B696" w14:textId="77777777" w:rsidR="007520D9" w:rsidRPr="006B575D" w:rsidRDefault="007520D9" w:rsidP="00B95B54">
            <w:pPr>
              <w:rPr>
                <w:rFonts w:ascii="Arial" w:hAnsi="Arial" w:cs="Arial"/>
                <w:sz w:val="16"/>
                <w:szCs w:val="16"/>
              </w:rPr>
            </w:pPr>
            <w:r w:rsidRPr="006B575D">
              <w:rPr>
                <w:rFonts w:ascii="Arial" w:hAnsi="Arial" w:cs="Arial"/>
                <w:sz w:val="16"/>
                <w:szCs w:val="16"/>
              </w:rPr>
              <w:t>Mean age (SE, range)</w:t>
            </w:r>
          </w:p>
        </w:tc>
        <w:tc>
          <w:tcPr>
            <w:tcW w:w="2479" w:type="dxa"/>
            <w:tcBorders>
              <w:top w:val="single" w:sz="4" w:space="0" w:color="auto"/>
              <w:right w:val="single" w:sz="4" w:space="0" w:color="auto"/>
            </w:tcBorders>
          </w:tcPr>
          <w:p w14:paraId="42D9684A" w14:textId="0B802530" w:rsidR="007520D9" w:rsidRPr="006B575D" w:rsidRDefault="007520D9" w:rsidP="00B95B54">
            <w:pPr>
              <w:jc w:val="center"/>
              <w:rPr>
                <w:rFonts w:ascii="Arial" w:hAnsi="Arial" w:cs="Arial"/>
                <w:sz w:val="16"/>
                <w:szCs w:val="16"/>
              </w:rPr>
            </w:pPr>
            <w:r w:rsidRPr="006B575D">
              <w:rPr>
                <w:rFonts w:ascii="Arial" w:hAnsi="Arial" w:cs="Arial"/>
                <w:sz w:val="16"/>
                <w:szCs w:val="16"/>
              </w:rPr>
              <w:t>34.</w:t>
            </w:r>
            <w:r w:rsidR="0038620E" w:rsidRPr="006B575D">
              <w:rPr>
                <w:rFonts w:ascii="Arial" w:hAnsi="Arial" w:cs="Arial"/>
                <w:sz w:val="16"/>
                <w:szCs w:val="16"/>
              </w:rPr>
              <w:t>92</w:t>
            </w:r>
            <w:r w:rsidRPr="006B575D">
              <w:rPr>
                <w:rFonts w:ascii="Arial" w:hAnsi="Arial" w:cs="Arial"/>
                <w:sz w:val="16"/>
                <w:szCs w:val="16"/>
              </w:rPr>
              <w:t xml:space="preserve"> (0.</w:t>
            </w:r>
            <w:r w:rsidR="00AB3F8F" w:rsidRPr="006B575D">
              <w:rPr>
                <w:rFonts w:ascii="Arial" w:hAnsi="Arial" w:cs="Arial"/>
                <w:sz w:val="16"/>
                <w:szCs w:val="16"/>
              </w:rPr>
              <w:t>26</w:t>
            </w:r>
            <w:r w:rsidRPr="006B575D">
              <w:rPr>
                <w:rFonts w:ascii="Arial" w:hAnsi="Arial" w:cs="Arial"/>
                <w:sz w:val="16"/>
                <w:szCs w:val="16"/>
              </w:rPr>
              <w:t>, 20-61)</w:t>
            </w:r>
          </w:p>
        </w:tc>
        <w:tc>
          <w:tcPr>
            <w:tcW w:w="2610" w:type="dxa"/>
            <w:tcBorders>
              <w:top w:val="single" w:sz="4" w:space="0" w:color="auto"/>
              <w:left w:val="single" w:sz="4" w:space="0" w:color="auto"/>
            </w:tcBorders>
          </w:tcPr>
          <w:p w14:paraId="2982C9E2" w14:textId="0620E21C" w:rsidR="007520D9" w:rsidRPr="006B575D" w:rsidRDefault="007520D9" w:rsidP="00B95B54">
            <w:pPr>
              <w:jc w:val="center"/>
              <w:rPr>
                <w:rFonts w:ascii="Arial" w:hAnsi="Arial" w:cs="Arial"/>
                <w:sz w:val="16"/>
                <w:szCs w:val="16"/>
              </w:rPr>
            </w:pPr>
            <w:r w:rsidRPr="006B575D">
              <w:rPr>
                <w:rFonts w:ascii="Arial" w:hAnsi="Arial" w:cs="Arial"/>
                <w:sz w:val="16"/>
                <w:szCs w:val="16"/>
              </w:rPr>
              <w:t>6</w:t>
            </w:r>
            <w:r w:rsidR="00AB3F8F" w:rsidRPr="006B575D">
              <w:rPr>
                <w:rFonts w:ascii="Arial" w:hAnsi="Arial" w:cs="Arial"/>
                <w:sz w:val="16"/>
                <w:szCs w:val="16"/>
              </w:rPr>
              <w:t>3.50</w:t>
            </w:r>
            <w:r w:rsidRPr="006B575D">
              <w:rPr>
                <w:rFonts w:ascii="Arial" w:hAnsi="Arial" w:cs="Arial"/>
                <w:sz w:val="16"/>
                <w:szCs w:val="16"/>
              </w:rPr>
              <w:t xml:space="preserve"> (0.</w:t>
            </w:r>
            <w:r w:rsidR="00F474A4" w:rsidRPr="006B575D">
              <w:rPr>
                <w:rFonts w:ascii="Arial" w:hAnsi="Arial" w:cs="Arial"/>
                <w:sz w:val="16"/>
                <w:szCs w:val="16"/>
              </w:rPr>
              <w:t>30</w:t>
            </w:r>
            <w:r w:rsidRPr="006B575D">
              <w:rPr>
                <w:rFonts w:ascii="Arial" w:hAnsi="Arial" w:cs="Arial"/>
                <w:sz w:val="16"/>
                <w:szCs w:val="16"/>
              </w:rPr>
              <w:t>, 41-84)</w:t>
            </w:r>
          </w:p>
        </w:tc>
        <w:tc>
          <w:tcPr>
            <w:tcW w:w="1260" w:type="dxa"/>
            <w:tcBorders>
              <w:top w:val="single" w:sz="4" w:space="0" w:color="auto"/>
            </w:tcBorders>
          </w:tcPr>
          <w:p w14:paraId="1987A544"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3B301AF9" w14:textId="77777777" w:rsidTr="00B95B54">
        <w:trPr>
          <w:trHeight w:val="19"/>
        </w:trPr>
        <w:tc>
          <w:tcPr>
            <w:tcW w:w="3371" w:type="dxa"/>
          </w:tcPr>
          <w:p w14:paraId="25CA1DA6" w14:textId="77777777" w:rsidR="007520D9" w:rsidRPr="006B575D" w:rsidRDefault="007520D9" w:rsidP="00B95B54">
            <w:pPr>
              <w:rPr>
                <w:rFonts w:ascii="Arial" w:hAnsi="Arial" w:cs="Arial"/>
                <w:sz w:val="16"/>
                <w:szCs w:val="16"/>
              </w:rPr>
            </w:pPr>
            <w:r w:rsidRPr="006B575D">
              <w:rPr>
                <w:rFonts w:ascii="Arial" w:hAnsi="Arial" w:cs="Arial"/>
                <w:sz w:val="16"/>
                <w:szCs w:val="16"/>
              </w:rPr>
              <w:t>Mean BMI (SE, range)</w:t>
            </w:r>
          </w:p>
        </w:tc>
        <w:tc>
          <w:tcPr>
            <w:tcW w:w="2479" w:type="dxa"/>
            <w:tcBorders>
              <w:right w:val="single" w:sz="4" w:space="0" w:color="auto"/>
            </w:tcBorders>
          </w:tcPr>
          <w:p w14:paraId="55E0343B" w14:textId="6053638E" w:rsidR="007520D9" w:rsidRPr="006B575D" w:rsidRDefault="007520D9" w:rsidP="00B95B54">
            <w:pPr>
              <w:jc w:val="center"/>
              <w:rPr>
                <w:rFonts w:ascii="Arial" w:hAnsi="Arial" w:cs="Arial"/>
                <w:sz w:val="16"/>
                <w:szCs w:val="16"/>
              </w:rPr>
            </w:pPr>
            <w:r w:rsidRPr="006B575D">
              <w:rPr>
                <w:rFonts w:ascii="Arial" w:hAnsi="Arial" w:cs="Arial"/>
                <w:sz w:val="16"/>
                <w:szCs w:val="16"/>
              </w:rPr>
              <w:t>28.</w:t>
            </w:r>
            <w:r w:rsidR="00AB3F8F" w:rsidRPr="006B575D">
              <w:rPr>
                <w:rFonts w:ascii="Arial" w:hAnsi="Arial" w:cs="Arial"/>
                <w:sz w:val="16"/>
                <w:szCs w:val="16"/>
              </w:rPr>
              <w:t>18</w:t>
            </w:r>
            <w:r w:rsidRPr="006B575D">
              <w:rPr>
                <w:rFonts w:ascii="Arial" w:hAnsi="Arial" w:cs="Arial"/>
                <w:sz w:val="16"/>
                <w:szCs w:val="16"/>
              </w:rPr>
              <w:t xml:space="preserve"> (0.1</w:t>
            </w:r>
            <w:r w:rsidR="00AB3F8F" w:rsidRPr="006B575D">
              <w:rPr>
                <w:rFonts w:ascii="Arial" w:hAnsi="Arial" w:cs="Arial"/>
                <w:sz w:val="16"/>
                <w:szCs w:val="16"/>
              </w:rPr>
              <w:t>8</w:t>
            </w:r>
            <w:r w:rsidRPr="006B575D">
              <w:rPr>
                <w:rFonts w:ascii="Arial" w:hAnsi="Arial" w:cs="Arial"/>
                <w:sz w:val="16"/>
                <w:szCs w:val="16"/>
              </w:rPr>
              <w:t>, 15.6-71.3)</w:t>
            </w:r>
          </w:p>
        </w:tc>
        <w:tc>
          <w:tcPr>
            <w:tcW w:w="2610" w:type="dxa"/>
            <w:tcBorders>
              <w:left w:val="single" w:sz="4" w:space="0" w:color="auto"/>
            </w:tcBorders>
          </w:tcPr>
          <w:p w14:paraId="1540ADDA" w14:textId="3D0188C9" w:rsidR="007520D9" w:rsidRPr="006B575D" w:rsidRDefault="007520D9" w:rsidP="00B95B54">
            <w:pPr>
              <w:jc w:val="center"/>
              <w:rPr>
                <w:rFonts w:ascii="Arial" w:hAnsi="Arial" w:cs="Arial"/>
                <w:sz w:val="16"/>
                <w:szCs w:val="16"/>
              </w:rPr>
            </w:pPr>
            <w:r w:rsidRPr="006B575D">
              <w:rPr>
                <w:rFonts w:ascii="Arial" w:hAnsi="Arial" w:cs="Arial"/>
                <w:sz w:val="16"/>
                <w:szCs w:val="16"/>
              </w:rPr>
              <w:t>29.</w:t>
            </w:r>
            <w:r w:rsidR="00F474A4" w:rsidRPr="006B575D">
              <w:rPr>
                <w:rFonts w:ascii="Arial" w:hAnsi="Arial" w:cs="Arial"/>
                <w:sz w:val="16"/>
                <w:szCs w:val="16"/>
              </w:rPr>
              <w:t>04</w:t>
            </w:r>
            <w:r w:rsidRPr="006B575D">
              <w:rPr>
                <w:rFonts w:ascii="Arial" w:hAnsi="Arial" w:cs="Arial"/>
                <w:sz w:val="16"/>
                <w:szCs w:val="16"/>
              </w:rPr>
              <w:t xml:space="preserve"> (0.1</w:t>
            </w:r>
            <w:r w:rsidR="00F474A4" w:rsidRPr="006B575D">
              <w:rPr>
                <w:rFonts w:ascii="Arial" w:hAnsi="Arial" w:cs="Arial"/>
                <w:sz w:val="16"/>
                <w:szCs w:val="16"/>
              </w:rPr>
              <w:t>6</w:t>
            </w:r>
            <w:r w:rsidRPr="006B575D">
              <w:rPr>
                <w:rFonts w:ascii="Arial" w:hAnsi="Arial" w:cs="Arial"/>
                <w:sz w:val="16"/>
                <w:szCs w:val="16"/>
              </w:rPr>
              <w:t>, 14.7-57.6)</w:t>
            </w:r>
          </w:p>
        </w:tc>
        <w:tc>
          <w:tcPr>
            <w:tcW w:w="1260" w:type="dxa"/>
          </w:tcPr>
          <w:p w14:paraId="6D5A45AE" w14:textId="23CBA7EF" w:rsidR="007520D9" w:rsidRPr="006B575D" w:rsidRDefault="0038620E"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12036C4C" w14:textId="77777777" w:rsidTr="00B95B54">
        <w:trPr>
          <w:trHeight w:val="19"/>
        </w:trPr>
        <w:tc>
          <w:tcPr>
            <w:tcW w:w="3371" w:type="dxa"/>
          </w:tcPr>
          <w:p w14:paraId="3F87988D" w14:textId="77777777" w:rsidR="007520D9" w:rsidRPr="006B575D" w:rsidRDefault="007520D9" w:rsidP="00B95B54">
            <w:pPr>
              <w:rPr>
                <w:rFonts w:ascii="Arial" w:hAnsi="Arial" w:cs="Arial"/>
                <w:sz w:val="16"/>
                <w:szCs w:val="16"/>
              </w:rPr>
            </w:pPr>
            <w:r w:rsidRPr="006B575D">
              <w:rPr>
                <w:rFonts w:ascii="Arial" w:hAnsi="Arial" w:cs="Arial"/>
                <w:sz w:val="16"/>
                <w:szCs w:val="16"/>
              </w:rPr>
              <w:t>Mean FIPR (SE, range)</w:t>
            </w:r>
          </w:p>
        </w:tc>
        <w:tc>
          <w:tcPr>
            <w:tcW w:w="2479" w:type="dxa"/>
            <w:tcBorders>
              <w:right w:val="single" w:sz="4" w:space="0" w:color="auto"/>
            </w:tcBorders>
          </w:tcPr>
          <w:p w14:paraId="4FF427BF" w14:textId="2B163597" w:rsidR="007520D9" w:rsidRPr="006B575D" w:rsidRDefault="007520D9" w:rsidP="00B95B54">
            <w:pPr>
              <w:jc w:val="center"/>
              <w:rPr>
                <w:rFonts w:ascii="Arial" w:hAnsi="Arial" w:cs="Arial"/>
                <w:sz w:val="16"/>
                <w:szCs w:val="16"/>
              </w:rPr>
            </w:pPr>
            <w:r w:rsidRPr="006B575D">
              <w:rPr>
                <w:rFonts w:ascii="Arial" w:hAnsi="Arial" w:cs="Arial"/>
                <w:sz w:val="16"/>
                <w:szCs w:val="16"/>
              </w:rPr>
              <w:t>2.</w:t>
            </w:r>
            <w:r w:rsidR="00AB3F8F" w:rsidRPr="006B575D">
              <w:rPr>
                <w:rFonts w:ascii="Arial" w:hAnsi="Arial" w:cs="Arial"/>
                <w:sz w:val="16"/>
                <w:szCs w:val="16"/>
              </w:rPr>
              <w:t>86</w:t>
            </w:r>
            <w:r w:rsidRPr="006B575D">
              <w:rPr>
                <w:rFonts w:ascii="Arial" w:hAnsi="Arial" w:cs="Arial"/>
                <w:sz w:val="16"/>
                <w:szCs w:val="16"/>
              </w:rPr>
              <w:t xml:space="preserve"> (0.0</w:t>
            </w:r>
            <w:r w:rsidR="00AB3F8F" w:rsidRPr="006B575D">
              <w:rPr>
                <w:rFonts w:ascii="Arial" w:hAnsi="Arial" w:cs="Arial"/>
                <w:sz w:val="16"/>
                <w:szCs w:val="16"/>
              </w:rPr>
              <w:t>5</w:t>
            </w:r>
            <w:r w:rsidRPr="006B575D">
              <w:rPr>
                <w:rFonts w:ascii="Arial" w:hAnsi="Arial" w:cs="Arial"/>
                <w:sz w:val="16"/>
                <w:szCs w:val="16"/>
              </w:rPr>
              <w:t>, 0-5)</w:t>
            </w:r>
          </w:p>
        </w:tc>
        <w:tc>
          <w:tcPr>
            <w:tcW w:w="2610" w:type="dxa"/>
            <w:tcBorders>
              <w:left w:val="single" w:sz="4" w:space="0" w:color="auto"/>
            </w:tcBorders>
          </w:tcPr>
          <w:p w14:paraId="64A5B203" w14:textId="30FC8A06" w:rsidR="007520D9" w:rsidRPr="006B575D" w:rsidRDefault="00F474A4" w:rsidP="00B95B54">
            <w:pPr>
              <w:jc w:val="center"/>
              <w:rPr>
                <w:rFonts w:ascii="Arial" w:hAnsi="Arial" w:cs="Arial"/>
                <w:sz w:val="16"/>
                <w:szCs w:val="16"/>
              </w:rPr>
            </w:pPr>
            <w:r w:rsidRPr="006B575D">
              <w:rPr>
                <w:rFonts w:ascii="Arial" w:hAnsi="Arial" w:cs="Arial"/>
                <w:sz w:val="16"/>
                <w:szCs w:val="16"/>
              </w:rPr>
              <w:t>3.03</w:t>
            </w:r>
            <w:r w:rsidR="007520D9" w:rsidRPr="006B575D">
              <w:rPr>
                <w:rFonts w:ascii="Arial" w:hAnsi="Arial" w:cs="Arial"/>
                <w:sz w:val="16"/>
                <w:szCs w:val="16"/>
              </w:rPr>
              <w:t xml:space="preserve"> (0.0</w:t>
            </w:r>
            <w:r w:rsidRPr="006B575D">
              <w:rPr>
                <w:rFonts w:ascii="Arial" w:hAnsi="Arial" w:cs="Arial"/>
                <w:sz w:val="16"/>
                <w:szCs w:val="16"/>
              </w:rPr>
              <w:t>5</w:t>
            </w:r>
            <w:r w:rsidR="007520D9" w:rsidRPr="006B575D">
              <w:rPr>
                <w:rFonts w:ascii="Arial" w:hAnsi="Arial" w:cs="Arial"/>
                <w:sz w:val="16"/>
                <w:szCs w:val="16"/>
              </w:rPr>
              <w:t>, 0-5)</w:t>
            </w:r>
          </w:p>
        </w:tc>
        <w:tc>
          <w:tcPr>
            <w:tcW w:w="1260" w:type="dxa"/>
          </w:tcPr>
          <w:p w14:paraId="43AAFEF2"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1378D605" w14:textId="77777777" w:rsidTr="00B95B54">
        <w:trPr>
          <w:trHeight w:val="19"/>
        </w:trPr>
        <w:tc>
          <w:tcPr>
            <w:tcW w:w="3371" w:type="dxa"/>
          </w:tcPr>
          <w:p w14:paraId="285E660B" w14:textId="77777777" w:rsidR="007520D9" w:rsidRPr="006B575D" w:rsidRDefault="007520D9" w:rsidP="00B95B54">
            <w:pPr>
              <w:rPr>
                <w:rFonts w:ascii="Arial" w:hAnsi="Arial" w:cs="Arial"/>
                <w:sz w:val="16"/>
                <w:szCs w:val="16"/>
              </w:rPr>
            </w:pPr>
            <w:r w:rsidRPr="006B575D">
              <w:rPr>
                <w:rFonts w:ascii="Arial" w:hAnsi="Arial" w:cs="Arial"/>
                <w:sz w:val="16"/>
                <w:szCs w:val="16"/>
              </w:rPr>
              <w:t>Smoking (n, %)</w:t>
            </w:r>
          </w:p>
        </w:tc>
        <w:tc>
          <w:tcPr>
            <w:tcW w:w="2479" w:type="dxa"/>
            <w:tcBorders>
              <w:right w:val="single" w:sz="4" w:space="0" w:color="auto"/>
            </w:tcBorders>
          </w:tcPr>
          <w:p w14:paraId="487D83F2" w14:textId="77777777" w:rsidR="007520D9" w:rsidRPr="006B575D"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6B575D" w:rsidRDefault="007520D9" w:rsidP="00B95B54">
            <w:pPr>
              <w:jc w:val="center"/>
              <w:rPr>
                <w:rFonts w:ascii="Arial" w:hAnsi="Arial" w:cs="Arial"/>
                <w:sz w:val="16"/>
                <w:szCs w:val="16"/>
              </w:rPr>
            </w:pPr>
          </w:p>
        </w:tc>
        <w:tc>
          <w:tcPr>
            <w:tcW w:w="1260" w:type="dxa"/>
          </w:tcPr>
          <w:p w14:paraId="167B4E55"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1E2D0AB3" w14:textId="77777777" w:rsidTr="00B95B54">
        <w:trPr>
          <w:trHeight w:val="19"/>
        </w:trPr>
        <w:tc>
          <w:tcPr>
            <w:tcW w:w="3371" w:type="dxa"/>
          </w:tcPr>
          <w:p w14:paraId="1DB727B4"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Never</w:t>
            </w:r>
          </w:p>
        </w:tc>
        <w:tc>
          <w:tcPr>
            <w:tcW w:w="2479" w:type="dxa"/>
            <w:tcBorders>
              <w:right w:val="single" w:sz="4" w:space="0" w:color="auto"/>
            </w:tcBorders>
          </w:tcPr>
          <w:p w14:paraId="167AEC79" w14:textId="5964C0BB" w:rsidR="007520D9" w:rsidRPr="006B575D" w:rsidRDefault="007520D9" w:rsidP="00B95B54">
            <w:pPr>
              <w:jc w:val="center"/>
              <w:rPr>
                <w:rFonts w:ascii="Arial" w:hAnsi="Arial" w:cs="Arial"/>
                <w:sz w:val="16"/>
                <w:szCs w:val="16"/>
              </w:rPr>
            </w:pPr>
            <w:r w:rsidRPr="006B575D">
              <w:rPr>
                <w:rFonts w:ascii="Arial" w:hAnsi="Arial" w:cs="Arial"/>
                <w:sz w:val="16"/>
                <w:szCs w:val="16"/>
              </w:rPr>
              <w:t>1</w:t>
            </w:r>
            <w:r w:rsidR="00380182" w:rsidRPr="006B575D">
              <w:rPr>
                <w:rFonts w:ascii="Arial" w:hAnsi="Arial" w:cs="Arial"/>
                <w:sz w:val="16"/>
                <w:szCs w:val="16"/>
              </w:rPr>
              <w:t>,</w:t>
            </w:r>
            <w:r w:rsidRPr="006B575D">
              <w:rPr>
                <w:rFonts w:ascii="Arial" w:hAnsi="Arial" w:cs="Arial"/>
                <w:sz w:val="16"/>
                <w:szCs w:val="16"/>
              </w:rPr>
              <w:t xml:space="preserve">367 </w:t>
            </w:r>
            <w:r w:rsidR="00AB3F8F" w:rsidRPr="006B575D">
              <w:rPr>
                <w:rFonts w:ascii="Arial" w:hAnsi="Arial" w:cs="Arial"/>
                <w:sz w:val="16"/>
                <w:szCs w:val="16"/>
              </w:rPr>
              <w:t>(59.2</w:t>
            </w:r>
            <w:r w:rsidRPr="006B575D">
              <w:rPr>
                <w:rFonts w:ascii="Arial" w:hAnsi="Arial" w:cs="Arial"/>
                <w:sz w:val="16"/>
                <w:szCs w:val="16"/>
              </w:rPr>
              <w:t>%)</w:t>
            </w:r>
          </w:p>
        </w:tc>
        <w:tc>
          <w:tcPr>
            <w:tcW w:w="2610" w:type="dxa"/>
            <w:tcBorders>
              <w:left w:val="single" w:sz="4" w:space="0" w:color="auto"/>
            </w:tcBorders>
          </w:tcPr>
          <w:p w14:paraId="04CEADC2" w14:textId="172BFE5E" w:rsidR="007520D9" w:rsidRPr="006B575D" w:rsidRDefault="007520D9" w:rsidP="00B95B54">
            <w:pPr>
              <w:jc w:val="center"/>
              <w:rPr>
                <w:rFonts w:ascii="Arial" w:hAnsi="Arial" w:cs="Arial"/>
                <w:sz w:val="16"/>
                <w:szCs w:val="16"/>
              </w:rPr>
            </w:pPr>
            <w:r w:rsidRPr="006B575D">
              <w:rPr>
                <w:rFonts w:ascii="Arial" w:hAnsi="Arial" w:cs="Arial"/>
                <w:sz w:val="16"/>
                <w:szCs w:val="16"/>
              </w:rPr>
              <w:t>1</w:t>
            </w:r>
            <w:r w:rsidR="00380182" w:rsidRPr="006B575D">
              <w:rPr>
                <w:rFonts w:ascii="Arial" w:hAnsi="Arial" w:cs="Arial"/>
                <w:sz w:val="16"/>
                <w:szCs w:val="16"/>
              </w:rPr>
              <w:t>,</w:t>
            </w:r>
            <w:r w:rsidRPr="006B575D">
              <w:rPr>
                <w:rFonts w:ascii="Arial" w:hAnsi="Arial" w:cs="Arial"/>
                <w:sz w:val="16"/>
                <w:szCs w:val="16"/>
              </w:rPr>
              <w:t>278 (5</w:t>
            </w:r>
            <w:r w:rsidR="00F474A4" w:rsidRPr="006B575D">
              <w:rPr>
                <w:rFonts w:ascii="Arial" w:hAnsi="Arial" w:cs="Arial"/>
                <w:sz w:val="16"/>
                <w:szCs w:val="16"/>
              </w:rPr>
              <w:t>2</w:t>
            </w:r>
            <w:r w:rsidRPr="006B575D">
              <w:rPr>
                <w:rFonts w:ascii="Arial" w:hAnsi="Arial" w:cs="Arial"/>
                <w:sz w:val="16"/>
                <w:szCs w:val="16"/>
              </w:rPr>
              <w:t>.</w:t>
            </w:r>
            <w:r w:rsidR="00F474A4" w:rsidRPr="006B575D">
              <w:rPr>
                <w:rFonts w:ascii="Arial" w:hAnsi="Arial" w:cs="Arial"/>
                <w:sz w:val="16"/>
                <w:szCs w:val="16"/>
              </w:rPr>
              <w:t>6</w:t>
            </w:r>
            <w:r w:rsidRPr="006B575D">
              <w:rPr>
                <w:rFonts w:ascii="Arial" w:hAnsi="Arial" w:cs="Arial"/>
                <w:sz w:val="16"/>
                <w:szCs w:val="16"/>
              </w:rPr>
              <w:t>%</w:t>
            </w:r>
            <w:r w:rsidR="00F474A4" w:rsidRPr="006B575D">
              <w:rPr>
                <w:rFonts w:ascii="Arial" w:hAnsi="Arial" w:cs="Arial"/>
                <w:sz w:val="16"/>
                <w:szCs w:val="16"/>
              </w:rPr>
              <w:t>)</w:t>
            </w:r>
          </w:p>
        </w:tc>
        <w:tc>
          <w:tcPr>
            <w:tcW w:w="1260" w:type="dxa"/>
          </w:tcPr>
          <w:p w14:paraId="07ECB01D" w14:textId="77777777" w:rsidR="007520D9" w:rsidRPr="006B575D" w:rsidRDefault="007520D9" w:rsidP="00B95B54">
            <w:pPr>
              <w:jc w:val="center"/>
              <w:rPr>
                <w:rFonts w:ascii="Arial" w:hAnsi="Arial" w:cs="Arial"/>
                <w:sz w:val="16"/>
                <w:szCs w:val="16"/>
              </w:rPr>
            </w:pPr>
          </w:p>
        </w:tc>
      </w:tr>
      <w:tr w:rsidR="007520D9" w:rsidRPr="006B575D" w14:paraId="5168B185" w14:textId="77777777" w:rsidTr="0038620E">
        <w:trPr>
          <w:trHeight w:val="139"/>
        </w:trPr>
        <w:tc>
          <w:tcPr>
            <w:tcW w:w="3371" w:type="dxa"/>
          </w:tcPr>
          <w:p w14:paraId="4100376A"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Past</w:t>
            </w:r>
          </w:p>
        </w:tc>
        <w:tc>
          <w:tcPr>
            <w:tcW w:w="2479" w:type="dxa"/>
            <w:tcBorders>
              <w:right w:val="single" w:sz="4" w:space="0" w:color="auto"/>
            </w:tcBorders>
          </w:tcPr>
          <w:p w14:paraId="405AB4CD" w14:textId="77093697" w:rsidR="007520D9" w:rsidRPr="006B575D" w:rsidRDefault="007520D9" w:rsidP="00B95B54">
            <w:pPr>
              <w:jc w:val="center"/>
              <w:rPr>
                <w:rFonts w:ascii="Arial" w:hAnsi="Arial" w:cs="Arial"/>
                <w:sz w:val="16"/>
                <w:szCs w:val="16"/>
              </w:rPr>
            </w:pPr>
            <w:r w:rsidRPr="006B575D">
              <w:rPr>
                <w:rFonts w:ascii="Arial" w:hAnsi="Arial" w:cs="Arial"/>
                <w:sz w:val="16"/>
                <w:szCs w:val="16"/>
              </w:rPr>
              <w:t>290 (1</w:t>
            </w:r>
            <w:r w:rsidR="00AB3F8F" w:rsidRPr="006B575D">
              <w:rPr>
                <w:rFonts w:ascii="Arial" w:hAnsi="Arial" w:cs="Arial"/>
                <w:sz w:val="16"/>
                <w:szCs w:val="16"/>
              </w:rPr>
              <w:t>6.4</w:t>
            </w:r>
            <w:r w:rsidRPr="006B575D">
              <w:rPr>
                <w:rFonts w:ascii="Arial" w:hAnsi="Arial" w:cs="Arial"/>
                <w:sz w:val="16"/>
                <w:szCs w:val="16"/>
              </w:rPr>
              <w:t>%)</w:t>
            </w:r>
          </w:p>
        </w:tc>
        <w:tc>
          <w:tcPr>
            <w:tcW w:w="2610" w:type="dxa"/>
            <w:tcBorders>
              <w:left w:val="single" w:sz="4" w:space="0" w:color="auto"/>
            </w:tcBorders>
          </w:tcPr>
          <w:p w14:paraId="72D6E766" w14:textId="0E6B1CE9" w:rsidR="007520D9" w:rsidRPr="006B575D" w:rsidRDefault="007520D9" w:rsidP="00B95B54">
            <w:pPr>
              <w:jc w:val="center"/>
              <w:rPr>
                <w:rFonts w:ascii="Arial" w:hAnsi="Arial" w:cs="Arial"/>
                <w:sz w:val="16"/>
                <w:szCs w:val="16"/>
              </w:rPr>
            </w:pPr>
            <w:r w:rsidRPr="006B575D">
              <w:rPr>
                <w:rFonts w:ascii="Arial" w:hAnsi="Arial" w:cs="Arial"/>
                <w:sz w:val="16"/>
                <w:szCs w:val="16"/>
              </w:rPr>
              <w:t>659 (</w:t>
            </w:r>
            <w:r w:rsidR="00F474A4" w:rsidRPr="006B575D">
              <w:rPr>
                <w:rFonts w:ascii="Arial" w:hAnsi="Arial" w:cs="Arial"/>
                <w:sz w:val="16"/>
                <w:szCs w:val="16"/>
              </w:rPr>
              <w:t>31.1</w:t>
            </w:r>
            <w:r w:rsidRPr="006B575D">
              <w:rPr>
                <w:rFonts w:ascii="Arial" w:hAnsi="Arial" w:cs="Arial"/>
                <w:sz w:val="16"/>
                <w:szCs w:val="16"/>
              </w:rPr>
              <w:t>%)</w:t>
            </w:r>
          </w:p>
        </w:tc>
        <w:tc>
          <w:tcPr>
            <w:tcW w:w="1260" w:type="dxa"/>
          </w:tcPr>
          <w:p w14:paraId="39782679" w14:textId="77777777" w:rsidR="007520D9" w:rsidRPr="006B575D" w:rsidRDefault="007520D9" w:rsidP="00B95B54">
            <w:pPr>
              <w:jc w:val="center"/>
              <w:rPr>
                <w:rFonts w:ascii="Arial" w:hAnsi="Arial" w:cs="Arial"/>
                <w:sz w:val="16"/>
                <w:szCs w:val="16"/>
              </w:rPr>
            </w:pPr>
          </w:p>
        </w:tc>
      </w:tr>
      <w:tr w:rsidR="007520D9" w:rsidRPr="006B575D" w14:paraId="02CBE92F" w14:textId="77777777" w:rsidTr="00B95B54">
        <w:trPr>
          <w:trHeight w:val="19"/>
        </w:trPr>
        <w:tc>
          <w:tcPr>
            <w:tcW w:w="3371" w:type="dxa"/>
          </w:tcPr>
          <w:p w14:paraId="386F12AF"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Current</w:t>
            </w:r>
          </w:p>
        </w:tc>
        <w:tc>
          <w:tcPr>
            <w:tcW w:w="2479" w:type="dxa"/>
            <w:tcBorders>
              <w:right w:val="single" w:sz="4" w:space="0" w:color="auto"/>
            </w:tcBorders>
          </w:tcPr>
          <w:p w14:paraId="182C9579" w14:textId="378034A5" w:rsidR="007520D9" w:rsidRPr="006B575D" w:rsidRDefault="007520D9" w:rsidP="00B95B54">
            <w:pPr>
              <w:jc w:val="center"/>
              <w:rPr>
                <w:rFonts w:ascii="Arial" w:hAnsi="Arial" w:cs="Arial"/>
                <w:sz w:val="16"/>
                <w:szCs w:val="16"/>
              </w:rPr>
            </w:pPr>
            <w:r w:rsidRPr="006B575D">
              <w:rPr>
                <w:rFonts w:ascii="Arial" w:hAnsi="Arial" w:cs="Arial"/>
                <w:sz w:val="16"/>
                <w:szCs w:val="16"/>
              </w:rPr>
              <w:t>509 (</w:t>
            </w:r>
            <w:r w:rsidR="00AB3F8F" w:rsidRPr="006B575D">
              <w:rPr>
                <w:rFonts w:ascii="Arial" w:hAnsi="Arial" w:cs="Arial"/>
                <w:sz w:val="16"/>
                <w:szCs w:val="16"/>
              </w:rPr>
              <w:t>24.4</w:t>
            </w:r>
            <w:r w:rsidRPr="006B575D">
              <w:rPr>
                <w:rFonts w:ascii="Arial" w:hAnsi="Arial" w:cs="Arial"/>
                <w:sz w:val="16"/>
                <w:szCs w:val="16"/>
              </w:rPr>
              <w:t>%)</w:t>
            </w:r>
          </w:p>
        </w:tc>
        <w:tc>
          <w:tcPr>
            <w:tcW w:w="2610" w:type="dxa"/>
            <w:tcBorders>
              <w:left w:val="single" w:sz="4" w:space="0" w:color="auto"/>
            </w:tcBorders>
          </w:tcPr>
          <w:p w14:paraId="016F0AE4" w14:textId="24160B54" w:rsidR="007520D9" w:rsidRPr="006B575D" w:rsidRDefault="007520D9" w:rsidP="00B95B54">
            <w:pPr>
              <w:jc w:val="center"/>
              <w:rPr>
                <w:rFonts w:ascii="Arial" w:hAnsi="Arial" w:cs="Arial"/>
                <w:sz w:val="16"/>
                <w:szCs w:val="16"/>
              </w:rPr>
            </w:pPr>
            <w:r w:rsidRPr="006B575D">
              <w:rPr>
                <w:rFonts w:ascii="Arial" w:hAnsi="Arial" w:cs="Arial"/>
                <w:sz w:val="16"/>
                <w:szCs w:val="16"/>
              </w:rPr>
              <w:t>315 (</w:t>
            </w:r>
            <w:r w:rsidR="00F474A4" w:rsidRPr="006B575D">
              <w:rPr>
                <w:rFonts w:ascii="Arial" w:hAnsi="Arial" w:cs="Arial"/>
                <w:sz w:val="16"/>
                <w:szCs w:val="16"/>
              </w:rPr>
              <w:t>16.3</w:t>
            </w:r>
            <w:r w:rsidRPr="006B575D">
              <w:rPr>
                <w:rFonts w:ascii="Arial" w:hAnsi="Arial" w:cs="Arial"/>
                <w:sz w:val="16"/>
                <w:szCs w:val="16"/>
              </w:rPr>
              <w:t>%)</w:t>
            </w:r>
          </w:p>
        </w:tc>
        <w:tc>
          <w:tcPr>
            <w:tcW w:w="1260" w:type="dxa"/>
          </w:tcPr>
          <w:p w14:paraId="1C018EB1" w14:textId="77777777" w:rsidR="007520D9" w:rsidRPr="006B575D" w:rsidRDefault="007520D9" w:rsidP="00B95B54">
            <w:pPr>
              <w:jc w:val="center"/>
              <w:rPr>
                <w:rFonts w:ascii="Arial" w:hAnsi="Arial" w:cs="Arial"/>
                <w:sz w:val="16"/>
                <w:szCs w:val="16"/>
              </w:rPr>
            </w:pPr>
          </w:p>
        </w:tc>
      </w:tr>
      <w:tr w:rsidR="007520D9" w:rsidRPr="006B575D" w14:paraId="410FD805" w14:textId="77777777" w:rsidTr="00B95B54">
        <w:trPr>
          <w:trHeight w:val="19"/>
        </w:trPr>
        <w:tc>
          <w:tcPr>
            <w:tcW w:w="3371" w:type="dxa"/>
          </w:tcPr>
          <w:p w14:paraId="63BD569F" w14:textId="77777777" w:rsidR="007520D9" w:rsidRPr="006B575D" w:rsidRDefault="007520D9" w:rsidP="00B95B54">
            <w:pPr>
              <w:rPr>
                <w:rFonts w:ascii="Arial" w:hAnsi="Arial" w:cs="Arial"/>
                <w:sz w:val="16"/>
                <w:szCs w:val="16"/>
              </w:rPr>
            </w:pPr>
            <w:r w:rsidRPr="006B575D">
              <w:rPr>
                <w:rFonts w:ascii="Arial" w:hAnsi="Arial" w:cs="Arial"/>
                <w:sz w:val="16"/>
                <w:szCs w:val="16"/>
              </w:rPr>
              <w:t>Education (n, %)</w:t>
            </w:r>
          </w:p>
        </w:tc>
        <w:tc>
          <w:tcPr>
            <w:tcW w:w="2479" w:type="dxa"/>
            <w:tcBorders>
              <w:right w:val="single" w:sz="4" w:space="0" w:color="auto"/>
            </w:tcBorders>
          </w:tcPr>
          <w:p w14:paraId="71B11034" w14:textId="77777777" w:rsidR="007520D9" w:rsidRPr="006B575D"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6B575D" w:rsidRDefault="007520D9" w:rsidP="00B95B54">
            <w:pPr>
              <w:jc w:val="center"/>
              <w:rPr>
                <w:rFonts w:ascii="Arial" w:hAnsi="Arial" w:cs="Arial"/>
                <w:sz w:val="16"/>
                <w:szCs w:val="16"/>
              </w:rPr>
            </w:pPr>
          </w:p>
        </w:tc>
        <w:tc>
          <w:tcPr>
            <w:tcW w:w="1260" w:type="dxa"/>
          </w:tcPr>
          <w:p w14:paraId="726252D0"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67825856" w14:textId="77777777" w:rsidTr="00B95B54">
        <w:trPr>
          <w:trHeight w:val="19"/>
        </w:trPr>
        <w:tc>
          <w:tcPr>
            <w:tcW w:w="3371" w:type="dxa"/>
          </w:tcPr>
          <w:p w14:paraId="17DF055F"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Less than high school</w:t>
            </w:r>
          </w:p>
        </w:tc>
        <w:tc>
          <w:tcPr>
            <w:tcW w:w="2479" w:type="dxa"/>
            <w:tcBorders>
              <w:right w:val="single" w:sz="4" w:space="0" w:color="auto"/>
            </w:tcBorders>
          </w:tcPr>
          <w:p w14:paraId="61DDC0E9"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489 (22.6%)</w:t>
            </w:r>
          </w:p>
        </w:tc>
        <w:tc>
          <w:tcPr>
            <w:tcW w:w="2610" w:type="dxa"/>
            <w:tcBorders>
              <w:left w:val="single" w:sz="4" w:space="0" w:color="auto"/>
            </w:tcBorders>
          </w:tcPr>
          <w:p w14:paraId="133E9BB7" w14:textId="0ABE7CBE" w:rsidR="007520D9" w:rsidRPr="006B575D" w:rsidRDefault="007520D9" w:rsidP="00B95B54">
            <w:pPr>
              <w:jc w:val="center"/>
              <w:rPr>
                <w:rFonts w:ascii="Arial" w:hAnsi="Arial" w:cs="Arial"/>
                <w:sz w:val="16"/>
                <w:szCs w:val="16"/>
              </w:rPr>
            </w:pPr>
            <w:r w:rsidRPr="006B575D">
              <w:rPr>
                <w:rFonts w:ascii="Arial" w:hAnsi="Arial" w:cs="Arial"/>
                <w:sz w:val="16"/>
                <w:szCs w:val="16"/>
              </w:rPr>
              <w:t>682 (</w:t>
            </w:r>
            <w:r w:rsidR="00F474A4" w:rsidRPr="006B575D">
              <w:rPr>
                <w:rFonts w:ascii="Arial" w:hAnsi="Arial" w:cs="Arial"/>
                <w:sz w:val="16"/>
                <w:szCs w:val="16"/>
              </w:rPr>
              <w:t>20.8</w:t>
            </w:r>
            <w:r w:rsidRPr="006B575D">
              <w:rPr>
                <w:rFonts w:ascii="Arial" w:hAnsi="Arial" w:cs="Arial"/>
                <w:sz w:val="16"/>
                <w:szCs w:val="16"/>
              </w:rPr>
              <w:t>%)</w:t>
            </w:r>
          </w:p>
        </w:tc>
        <w:tc>
          <w:tcPr>
            <w:tcW w:w="1260" w:type="dxa"/>
          </w:tcPr>
          <w:p w14:paraId="63E872A0" w14:textId="77777777" w:rsidR="007520D9" w:rsidRPr="006B575D" w:rsidRDefault="007520D9" w:rsidP="00B95B54">
            <w:pPr>
              <w:jc w:val="center"/>
              <w:rPr>
                <w:rFonts w:ascii="Arial" w:hAnsi="Arial" w:cs="Arial"/>
                <w:sz w:val="16"/>
                <w:szCs w:val="16"/>
              </w:rPr>
            </w:pPr>
          </w:p>
        </w:tc>
      </w:tr>
      <w:tr w:rsidR="007520D9" w:rsidRPr="006B575D" w14:paraId="37EEB5BE" w14:textId="77777777" w:rsidTr="00B95B54">
        <w:trPr>
          <w:trHeight w:val="19"/>
        </w:trPr>
        <w:tc>
          <w:tcPr>
            <w:tcW w:w="3371" w:type="dxa"/>
          </w:tcPr>
          <w:p w14:paraId="0E83D0E2"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High school or equivalent</w:t>
            </w:r>
          </w:p>
        </w:tc>
        <w:tc>
          <w:tcPr>
            <w:tcW w:w="2479" w:type="dxa"/>
            <w:tcBorders>
              <w:right w:val="single" w:sz="4" w:space="0" w:color="auto"/>
            </w:tcBorders>
          </w:tcPr>
          <w:p w14:paraId="71F12851" w14:textId="452DE1DB" w:rsidR="007520D9" w:rsidRPr="006B575D" w:rsidRDefault="007520D9" w:rsidP="00B95B54">
            <w:pPr>
              <w:jc w:val="center"/>
              <w:rPr>
                <w:rFonts w:ascii="Arial" w:hAnsi="Arial" w:cs="Arial"/>
                <w:sz w:val="16"/>
                <w:szCs w:val="16"/>
              </w:rPr>
            </w:pPr>
            <w:r w:rsidRPr="006B575D">
              <w:rPr>
                <w:rFonts w:ascii="Arial" w:hAnsi="Arial" w:cs="Arial"/>
                <w:sz w:val="16"/>
                <w:szCs w:val="16"/>
              </w:rPr>
              <w:t>465 (21.</w:t>
            </w:r>
            <w:r w:rsidR="00AB3F8F" w:rsidRPr="006B575D">
              <w:rPr>
                <w:rFonts w:ascii="Arial" w:hAnsi="Arial" w:cs="Arial"/>
                <w:sz w:val="16"/>
                <w:szCs w:val="16"/>
              </w:rPr>
              <w:t>9</w:t>
            </w:r>
            <w:r w:rsidRPr="006B575D">
              <w:rPr>
                <w:rFonts w:ascii="Arial" w:hAnsi="Arial" w:cs="Arial"/>
                <w:sz w:val="16"/>
                <w:szCs w:val="16"/>
              </w:rPr>
              <w:t>%)</w:t>
            </w:r>
          </w:p>
        </w:tc>
        <w:tc>
          <w:tcPr>
            <w:tcW w:w="2610" w:type="dxa"/>
            <w:tcBorders>
              <w:left w:val="single" w:sz="4" w:space="0" w:color="auto"/>
            </w:tcBorders>
          </w:tcPr>
          <w:p w14:paraId="4BA4B0CC" w14:textId="1B23B631" w:rsidR="007520D9" w:rsidRPr="006B575D" w:rsidRDefault="007520D9" w:rsidP="00B95B54">
            <w:pPr>
              <w:jc w:val="center"/>
              <w:rPr>
                <w:rFonts w:ascii="Arial" w:hAnsi="Arial" w:cs="Arial"/>
                <w:sz w:val="16"/>
                <w:szCs w:val="16"/>
              </w:rPr>
            </w:pPr>
            <w:r w:rsidRPr="006B575D">
              <w:rPr>
                <w:rFonts w:ascii="Arial" w:hAnsi="Arial" w:cs="Arial"/>
                <w:sz w:val="16"/>
                <w:szCs w:val="16"/>
              </w:rPr>
              <w:t>617 (</w:t>
            </w:r>
            <w:r w:rsidR="00F474A4" w:rsidRPr="006B575D">
              <w:rPr>
                <w:rFonts w:ascii="Arial" w:hAnsi="Arial" w:cs="Arial"/>
                <w:sz w:val="16"/>
                <w:szCs w:val="16"/>
              </w:rPr>
              <w:t>29.9%</w:t>
            </w:r>
            <w:r w:rsidRPr="006B575D">
              <w:rPr>
                <w:rFonts w:ascii="Arial" w:hAnsi="Arial" w:cs="Arial"/>
                <w:sz w:val="16"/>
                <w:szCs w:val="16"/>
              </w:rPr>
              <w:t>)</w:t>
            </w:r>
          </w:p>
        </w:tc>
        <w:tc>
          <w:tcPr>
            <w:tcW w:w="1260" w:type="dxa"/>
          </w:tcPr>
          <w:p w14:paraId="081F683E" w14:textId="77777777" w:rsidR="007520D9" w:rsidRPr="006B575D" w:rsidRDefault="007520D9" w:rsidP="00B95B54">
            <w:pPr>
              <w:jc w:val="center"/>
              <w:rPr>
                <w:rFonts w:ascii="Arial" w:hAnsi="Arial" w:cs="Arial"/>
                <w:sz w:val="16"/>
                <w:szCs w:val="16"/>
              </w:rPr>
            </w:pPr>
          </w:p>
        </w:tc>
      </w:tr>
      <w:tr w:rsidR="007520D9" w:rsidRPr="006B575D" w14:paraId="34228C4F" w14:textId="77777777" w:rsidTr="00B95B54">
        <w:trPr>
          <w:trHeight w:val="19"/>
        </w:trPr>
        <w:tc>
          <w:tcPr>
            <w:tcW w:w="3371" w:type="dxa"/>
          </w:tcPr>
          <w:p w14:paraId="5BBEFBBC"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Some college or AA degree</w:t>
            </w:r>
          </w:p>
        </w:tc>
        <w:tc>
          <w:tcPr>
            <w:tcW w:w="2479" w:type="dxa"/>
            <w:tcBorders>
              <w:right w:val="single" w:sz="4" w:space="0" w:color="auto"/>
            </w:tcBorders>
          </w:tcPr>
          <w:p w14:paraId="48CC409A" w14:textId="652E8840" w:rsidR="007520D9" w:rsidRPr="006B575D" w:rsidRDefault="007520D9" w:rsidP="00B95B54">
            <w:pPr>
              <w:jc w:val="center"/>
              <w:rPr>
                <w:rFonts w:ascii="Arial" w:hAnsi="Arial" w:cs="Arial"/>
                <w:sz w:val="16"/>
                <w:szCs w:val="16"/>
              </w:rPr>
            </w:pPr>
            <w:r w:rsidRPr="006B575D">
              <w:rPr>
                <w:rFonts w:ascii="Arial" w:hAnsi="Arial" w:cs="Arial"/>
                <w:sz w:val="16"/>
                <w:szCs w:val="16"/>
              </w:rPr>
              <w:t>744 (3</w:t>
            </w:r>
            <w:r w:rsidR="00AB3F8F" w:rsidRPr="006B575D">
              <w:rPr>
                <w:rFonts w:ascii="Arial" w:hAnsi="Arial" w:cs="Arial"/>
                <w:sz w:val="16"/>
                <w:szCs w:val="16"/>
              </w:rPr>
              <w:t>6.4</w:t>
            </w:r>
            <w:r w:rsidRPr="006B575D">
              <w:rPr>
                <w:rFonts w:ascii="Arial" w:hAnsi="Arial" w:cs="Arial"/>
                <w:sz w:val="16"/>
                <w:szCs w:val="16"/>
              </w:rPr>
              <w:t>%)</w:t>
            </w:r>
          </w:p>
        </w:tc>
        <w:tc>
          <w:tcPr>
            <w:tcW w:w="2610" w:type="dxa"/>
            <w:tcBorders>
              <w:left w:val="single" w:sz="4" w:space="0" w:color="auto"/>
            </w:tcBorders>
          </w:tcPr>
          <w:p w14:paraId="5ED71D99" w14:textId="685AE009" w:rsidR="007520D9" w:rsidRPr="006B575D" w:rsidRDefault="007520D9" w:rsidP="00B95B54">
            <w:pPr>
              <w:jc w:val="center"/>
              <w:rPr>
                <w:rFonts w:ascii="Arial" w:hAnsi="Arial" w:cs="Arial"/>
                <w:sz w:val="16"/>
                <w:szCs w:val="16"/>
              </w:rPr>
            </w:pPr>
            <w:r w:rsidRPr="006B575D">
              <w:rPr>
                <w:rFonts w:ascii="Arial" w:hAnsi="Arial" w:cs="Arial"/>
                <w:sz w:val="16"/>
                <w:szCs w:val="16"/>
              </w:rPr>
              <w:t>593 (2</w:t>
            </w:r>
            <w:r w:rsidR="00F474A4" w:rsidRPr="006B575D">
              <w:rPr>
                <w:rFonts w:ascii="Arial" w:hAnsi="Arial" w:cs="Arial"/>
                <w:sz w:val="16"/>
                <w:szCs w:val="16"/>
              </w:rPr>
              <w:t>8</w:t>
            </w:r>
            <w:r w:rsidRPr="006B575D">
              <w:rPr>
                <w:rFonts w:ascii="Arial" w:hAnsi="Arial" w:cs="Arial"/>
                <w:sz w:val="16"/>
                <w:szCs w:val="16"/>
              </w:rPr>
              <w:t>.</w:t>
            </w:r>
            <w:r w:rsidR="00F474A4" w:rsidRPr="006B575D">
              <w:rPr>
                <w:rFonts w:ascii="Arial" w:hAnsi="Arial" w:cs="Arial"/>
                <w:sz w:val="16"/>
                <w:szCs w:val="16"/>
              </w:rPr>
              <w:t>7</w:t>
            </w:r>
            <w:r w:rsidRPr="006B575D">
              <w:rPr>
                <w:rFonts w:ascii="Arial" w:hAnsi="Arial" w:cs="Arial"/>
                <w:sz w:val="16"/>
                <w:szCs w:val="16"/>
              </w:rPr>
              <w:t>%)</w:t>
            </w:r>
          </w:p>
        </w:tc>
        <w:tc>
          <w:tcPr>
            <w:tcW w:w="1260" w:type="dxa"/>
          </w:tcPr>
          <w:p w14:paraId="7D97659F" w14:textId="77777777" w:rsidR="007520D9" w:rsidRPr="006B575D" w:rsidRDefault="007520D9" w:rsidP="00B95B54">
            <w:pPr>
              <w:jc w:val="center"/>
              <w:rPr>
                <w:rFonts w:ascii="Arial" w:hAnsi="Arial" w:cs="Arial"/>
                <w:sz w:val="16"/>
                <w:szCs w:val="16"/>
              </w:rPr>
            </w:pPr>
          </w:p>
        </w:tc>
      </w:tr>
      <w:tr w:rsidR="007520D9" w:rsidRPr="006B575D" w14:paraId="4FA1C5BE" w14:textId="77777777" w:rsidTr="00B95B54">
        <w:trPr>
          <w:trHeight w:val="19"/>
        </w:trPr>
        <w:tc>
          <w:tcPr>
            <w:tcW w:w="3371" w:type="dxa"/>
          </w:tcPr>
          <w:p w14:paraId="2C6D7CCE"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College graduate or above</w:t>
            </w:r>
          </w:p>
        </w:tc>
        <w:tc>
          <w:tcPr>
            <w:tcW w:w="2479" w:type="dxa"/>
            <w:tcBorders>
              <w:right w:val="single" w:sz="4" w:space="0" w:color="auto"/>
            </w:tcBorders>
          </w:tcPr>
          <w:p w14:paraId="7F59B6F6" w14:textId="71C6241F" w:rsidR="007520D9" w:rsidRPr="006B575D" w:rsidRDefault="007520D9" w:rsidP="00B95B54">
            <w:pPr>
              <w:jc w:val="center"/>
              <w:rPr>
                <w:rFonts w:ascii="Arial" w:hAnsi="Arial" w:cs="Arial"/>
                <w:sz w:val="16"/>
                <w:szCs w:val="16"/>
              </w:rPr>
            </w:pPr>
            <w:r w:rsidRPr="006B575D">
              <w:rPr>
                <w:rFonts w:ascii="Arial" w:hAnsi="Arial" w:cs="Arial"/>
                <w:sz w:val="16"/>
                <w:szCs w:val="16"/>
              </w:rPr>
              <w:t>468 (</w:t>
            </w:r>
            <w:r w:rsidR="00AB3F8F" w:rsidRPr="006B575D">
              <w:rPr>
                <w:rFonts w:ascii="Arial" w:hAnsi="Arial" w:cs="Arial"/>
                <w:sz w:val="16"/>
                <w:szCs w:val="16"/>
              </w:rPr>
              <w:t>19.1</w:t>
            </w:r>
            <w:r w:rsidRPr="006B575D">
              <w:rPr>
                <w:rFonts w:ascii="Arial" w:hAnsi="Arial" w:cs="Arial"/>
                <w:sz w:val="16"/>
                <w:szCs w:val="16"/>
              </w:rPr>
              <w:t>%)</w:t>
            </w:r>
          </w:p>
        </w:tc>
        <w:tc>
          <w:tcPr>
            <w:tcW w:w="2610" w:type="dxa"/>
            <w:tcBorders>
              <w:left w:val="single" w:sz="4" w:space="0" w:color="auto"/>
            </w:tcBorders>
          </w:tcPr>
          <w:p w14:paraId="2FCCEA30" w14:textId="16C99065" w:rsidR="007520D9" w:rsidRPr="006B575D" w:rsidRDefault="007520D9" w:rsidP="00B95B54">
            <w:pPr>
              <w:jc w:val="center"/>
              <w:rPr>
                <w:rFonts w:ascii="Arial" w:hAnsi="Arial" w:cs="Arial"/>
                <w:sz w:val="16"/>
                <w:szCs w:val="16"/>
              </w:rPr>
            </w:pPr>
            <w:r w:rsidRPr="006B575D">
              <w:rPr>
                <w:rFonts w:ascii="Arial" w:hAnsi="Arial" w:cs="Arial"/>
                <w:sz w:val="16"/>
                <w:szCs w:val="16"/>
              </w:rPr>
              <w:t>360 (</w:t>
            </w:r>
            <w:r w:rsidR="00F474A4" w:rsidRPr="006B575D">
              <w:rPr>
                <w:rFonts w:ascii="Arial" w:hAnsi="Arial" w:cs="Arial"/>
                <w:sz w:val="16"/>
                <w:szCs w:val="16"/>
              </w:rPr>
              <w:t>20.6</w:t>
            </w:r>
            <w:r w:rsidRPr="006B575D">
              <w:rPr>
                <w:rFonts w:ascii="Arial" w:hAnsi="Arial" w:cs="Arial"/>
                <w:sz w:val="16"/>
                <w:szCs w:val="16"/>
              </w:rPr>
              <w:t>%)</w:t>
            </w:r>
          </w:p>
        </w:tc>
        <w:tc>
          <w:tcPr>
            <w:tcW w:w="1260" w:type="dxa"/>
          </w:tcPr>
          <w:p w14:paraId="6340FFCA" w14:textId="77777777" w:rsidR="007520D9" w:rsidRPr="006B575D" w:rsidRDefault="007520D9" w:rsidP="00B95B54">
            <w:pPr>
              <w:jc w:val="center"/>
              <w:rPr>
                <w:rFonts w:ascii="Arial" w:hAnsi="Arial" w:cs="Arial"/>
                <w:sz w:val="16"/>
                <w:szCs w:val="16"/>
              </w:rPr>
            </w:pPr>
          </w:p>
        </w:tc>
      </w:tr>
      <w:tr w:rsidR="007520D9" w:rsidRPr="006B575D" w14:paraId="2742E861" w14:textId="77777777" w:rsidTr="00B95B54">
        <w:trPr>
          <w:trHeight w:val="19"/>
        </w:trPr>
        <w:tc>
          <w:tcPr>
            <w:tcW w:w="3371" w:type="dxa"/>
          </w:tcPr>
          <w:p w14:paraId="0C2BF04E" w14:textId="77777777" w:rsidR="007520D9" w:rsidRPr="006B575D" w:rsidRDefault="007520D9" w:rsidP="00B95B54">
            <w:pPr>
              <w:rPr>
                <w:rFonts w:ascii="Arial" w:hAnsi="Arial" w:cs="Arial"/>
                <w:sz w:val="16"/>
                <w:szCs w:val="16"/>
              </w:rPr>
            </w:pPr>
            <w:r w:rsidRPr="006B575D">
              <w:rPr>
                <w:rFonts w:ascii="Arial" w:hAnsi="Arial" w:cs="Arial"/>
                <w:sz w:val="16"/>
                <w:szCs w:val="16"/>
              </w:rPr>
              <w:t>Race/ethnicity (n, %)</w:t>
            </w:r>
          </w:p>
        </w:tc>
        <w:tc>
          <w:tcPr>
            <w:tcW w:w="2479" w:type="dxa"/>
            <w:tcBorders>
              <w:right w:val="single" w:sz="4" w:space="0" w:color="auto"/>
            </w:tcBorders>
          </w:tcPr>
          <w:p w14:paraId="0CAE917E" w14:textId="77777777" w:rsidR="007520D9" w:rsidRPr="006B575D"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6B575D" w:rsidRDefault="007520D9" w:rsidP="00B95B54">
            <w:pPr>
              <w:jc w:val="center"/>
              <w:rPr>
                <w:rFonts w:ascii="Arial" w:hAnsi="Arial" w:cs="Arial"/>
                <w:sz w:val="16"/>
                <w:szCs w:val="16"/>
              </w:rPr>
            </w:pPr>
          </w:p>
        </w:tc>
        <w:tc>
          <w:tcPr>
            <w:tcW w:w="1260" w:type="dxa"/>
          </w:tcPr>
          <w:p w14:paraId="2BB05894"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549D6681" w14:textId="77777777" w:rsidTr="00B95B54">
        <w:trPr>
          <w:trHeight w:val="19"/>
        </w:trPr>
        <w:tc>
          <w:tcPr>
            <w:tcW w:w="3371" w:type="dxa"/>
          </w:tcPr>
          <w:p w14:paraId="4CD99712" w14:textId="77777777" w:rsidR="007520D9" w:rsidRPr="006B575D" w:rsidRDefault="007520D9" w:rsidP="00B95B54">
            <w:pPr>
              <w:ind w:firstLine="333"/>
              <w:rPr>
                <w:rFonts w:ascii="Arial" w:hAnsi="Arial" w:cs="Arial"/>
                <w:sz w:val="16"/>
                <w:szCs w:val="16"/>
              </w:rPr>
            </w:pPr>
            <w:r w:rsidRPr="006B575D">
              <w:rPr>
                <w:rFonts w:ascii="Arial" w:hAnsi="Arial" w:cs="Arial"/>
                <w:sz w:val="16"/>
                <w:szCs w:val="16"/>
              </w:rPr>
              <w:t>Non-Hispanic white</w:t>
            </w:r>
          </w:p>
        </w:tc>
        <w:tc>
          <w:tcPr>
            <w:tcW w:w="2479" w:type="dxa"/>
            <w:tcBorders>
              <w:right w:val="single" w:sz="4" w:space="0" w:color="auto"/>
            </w:tcBorders>
          </w:tcPr>
          <w:p w14:paraId="52857277" w14:textId="4A82AEB8" w:rsidR="007520D9" w:rsidRPr="006B575D" w:rsidRDefault="007520D9" w:rsidP="00B95B54">
            <w:pPr>
              <w:jc w:val="center"/>
              <w:rPr>
                <w:rFonts w:ascii="Arial" w:hAnsi="Arial" w:cs="Arial"/>
                <w:sz w:val="16"/>
                <w:szCs w:val="16"/>
              </w:rPr>
            </w:pPr>
            <w:r w:rsidRPr="006B575D">
              <w:rPr>
                <w:rFonts w:ascii="Arial" w:hAnsi="Arial" w:cs="Arial"/>
                <w:sz w:val="16"/>
                <w:szCs w:val="16"/>
              </w:rPr>
              <w:t>1</w:t>
            </w:r>
            <w:r w:rsidR="00380182" w:rsidRPr="006B575D">
              <w:rPr>
                <w:rFonts w:ascii="Arial" w:hAnsi="Arial" w:cs="Arial"/>
                <w:sz w:val="16"/>
                <w:szCs w:val="16"/>
              </w:rPr>
              <w:t>,</w:t>
            </w:r>
            <w:r w:rsidRPr="006B575D">
              <w:rPr>
                <w:rFonts w:ascii="Arial" w:hAnsi="Arial" w:cs="Arial"/>
                <w:sz w:val="16"/>
                <w:szCs w:val="16"/>
              </w:rPr>
              <w:t>007 (46.5%</w:t>
            </w:r>
            <w:r w:rsidR="00C23873" w:rsidRPr="006B575D">
              <w:rPr>
                <w:rFonts w:ascii="Arial" w:hAnsi="Arial" w:cs="Arial"/>
                <w:sz w:val="16"/>
                <w:szCs w:val="16"/>
              </w:rPr>
              <w:t>)</w:t>
            </w:r>
          </w:p>
        </w:tc>
        <w:tc>
          <w:tcPr>
            <w:tcW w:w="2610" w:type="dxa"/>
            <w:tcBorders>
              <w:left w:val="single" w:sz="4" w:space="0" w:color="auto"/>
            </w:tcBorders>
          </w:tcPr>
          <w:p w14:paraId="648532C5"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1309 (58.1%)</w:t>
            </w:r>
          </w:p>
        </w:tc>
        <w:tc>
          <w:tcPr>
            <w:tcW w:w="1260" w:type="dxa"/>
          </w:tcPr>
          <w:p w14:paraId="64F98CDA" w14:textId="77777777" w:rsidR="007520D9" w:rsidRPr="006B575D" w:rsidRDefault="007520D9" w:rsidP="00B95B54">
            <w:pPr>
              <w:jc w:val="center"/>
              <w:rPr>
                <w:rFonts w:ascii="Arial" w:hAnsi="Arial" w:cs="Arial"/>
                <w:sz w:val="16"/>
                <w:szCs w:val="16"/>
              </w:rPr>
            </w:pPr>
          </w:p>
        </w:tc>
      </w:tr>
      <w:tr w:rsidR="007520D9" w:rsidRPr="006B575D" w14:paraId="289B5A61" w14:textId="77777777" w:rsidTr="00B95B54">
        <w:trPr>
          <w:trHeight w:val="19"/>
        </w:trPr>
        <w:tc>
          <w:tcPr>
            <w:tcW w:w="3371" w:type="dxa"/>
          </w:tcPr>
          <w:p w14:paraId="35723E80"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Non-Hispanic black</w:t>
            </w:r>
          </w:p>
        </w:tc>
        <w:tc>
          <w:tcPr>
            <w:tcW w:w="2479" w:type="dxa"/>
            <w:tcBorders>
              <w:right w:val="single" w:sz="4" w:space="0" w:color="auto"/>
            </w:tcBorders>
          </w:tcPr>
          <w:p w14:paraId="7AD493F5"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445 (20.5%)</w:t>
            </w:r>
          </w:p>
        </w:tc>
        <w:tc>
          <w:tcPr>
            <w:tcW w:w="2610" w:type="dxa"/>
            <w:tcBorders>
              <w:left w:val="single" w:sz="4" w:space="0" w:color="auto"/>
            </w:tcBorders>
          </w:tcPr>
          <w:p w14:paraId="483D0794"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396 (17.6%)</w:t>
            </w:r>
          </w:p>
        </w:tc>
        <w:tc>
          <w:tcPr>
            <w:tcW w:w="1260" w:type="dxa"/>
          </w:tcPr>
          <w:p w14:paraId="6858900E" w14:textId="77777777" w:rsidR="007520D9" w:rsidRPr="006B575D" w:rsidRDefault="007520D9" w:rsidP="00B95B54">
            <w:pPr>
              <w:jc w:val="center"/>
              <w:rPr>
                <w:rFonts w:ascii="Arial" w:hAnsi="Arial" w:cs="Arial"/>
                <w:sz w:val="16"/>
                <w:szCs w:val="16"/>
              </w:rPr>
            </w:pPr>
          </w:p>
        </w:tc>
      </w:tr>
      <w:tr w:rsidR="007520D9" w:rsidRPr="006B575D" w14:paraId="05E997EA" w14:textId="77777777" w:rsidTr="00B95B54">
        <w:trPr>
          <w:trHeight w:val="19"/>
        </w:trPr>
        <w:tc>
          <w:tcPr>
            <w:tcW w:w="3371" w:type="dxa"/>
          </w:tcPr>
          <w:p w14:paraId="6AE7074A"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Hispanic</w:t>
            </w:r>
          </w:p>
        </w:tc>
        <w:tc>
          <w:tcPr>
            <w:tcW w:w="2479" w:type="dxa"/>
            <w:tcBorders>
              <w:right w:val="single" w:sz="4" w:space="0" w:color="auto"/>
            </w:tcBorders>
          </w:tcPr>
          <w:p w14:paraId="3C0F89BC"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626 (28.9%)</w:t>
            </w:r>
          </w:p>
        </w:tc>
        <w:tc>
          <w:tcPr>
            <w:tcW w:w="2610" w:type="dxa"/>
            <w:tcBorders>
              <w:left w:val="single" w:sz="4" w:space="0" w:color="auto"/>
            </w:tcBorders>
          </w:tcPr>
          <w:p w14:paraId="3B23C1D8"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488 (21.7%)</w:t>
            </w:r>
          </w:p>
        </w:tc>
        <w:tc>
          <w:tcPr>
            <w:tcW w:w="1260" w:type="dxa"/>
          </w:tcPr>
          <w:p w14:paraId="65D05F6C" w14:textId="77777777" w:rsidR="007520D9" w:rsidRPr="006B575D" w:rsidRDefault="007520D9" w:rsidP="00B95B54">
            <w:pPr>
              <w:jc w:val="center"/>
              <w:rPr>
                <w:rFonts w:ascii="Arial" w:hAnsi="Arial" w:cs="Arial"/>
                <w:sz w:val="16"/>
                <w:szCs w:val="16"/>
              </w:rPr>
            </w:pPr>
          </w:p>
        </w:tc>
      </w:tr>
      <w:tr w:rsidR="007520D9" w:rsidRPr="006B575D" w14:paraId="7EBE4BB3" w14:textId="77777777" w:rsidTr="00B95B54">
        <w:trPr>
          <w:trHeight w:val="19"/>
        </w:trPr>
        <w:tc>
          <w:tcPr>
            <w:tcW w:w="3371" w:type="dxa"/>
          </w:tcPr>
          <w:p w14:paraId="6D75B223" w14:textId="77777777" w:rsidR="007520D9" w:rsidRPr="006B575D" w:rsidRDefault="007520D9" w:rsidP="00B95B54">
            <w:pPr>
              <w:ind w:firstLine="340"/>
              <w:rPr>
                <w:rFonts w:ascii="Arial" w:hAnsi="Arial" w:cs="Arial"/>
                <w:sz w:val="16"/>
                <w:szCs w:val="16"/>
              </w:rPr>
            </w:pPr>
            <w:r w:rsidRPr="006B575D">
              <w:rPr>
                <w:rFonts w:ascii="Arial" w:hAnsi="Arial" w:cs="Arial"/>
                <w:sz w:val="16"/>
                <w:szCs w:val="16"/>
              </w:rPr>
              <w:t>Other</w:t>
            </w:r>
          </w:p>
        </w:tc>
        <w:tc>
          <w:tcPr>
            <w:tcW w:w="2479" w:type="dxa"/>
            <w:tcBorders>
              <w:right w:val="single" w:sz="4" w:space="0" w:color="auto"/>
            </w:tcBorders>
          </w:tcPr>
          <w:p w14:paraId="573FE984"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88 (4.1%)</w:t>
            </w:r>
          </w:p>
        </w:tc>
        <w:tc>
          <w:tcPr>
            <w:tcW w:w="2610" w:type="dxa"/>
            <w:tcBorders>
              <w:left w:val="single" w:sz="4" w:space="0" w:color="auto"/>
            </w:tcBorders>
          </w:tcPr>
          <w:p w14:paraId="49EE5015" w14:textId="3BD1F599" w:rsidR="007520D9" w:rsidRPr="006B575D" w:rsidRDefault="007520D9" w:rsidP="00B95B54">
            <w:pPr>
              <w:jc w:val="center"/>
              <w:rPr>
                <w:rFonts w:ascii="Arial" w:hAnsi="Arial" w:cs="Arial"/>
                <w:sz w:val="16"/>
                <w:szCs w:val="16"/>
              </w:rPr>
            </w:pPr>
            <w:r w:rsidRPr="006B575D">
              <w:rPr>
                <w:rFonts w:ascii="Arial" w:hAnsi="Arial" w:cs="Arial"/>
                <w:sz w:val="16"/>
                <w:szCs w:val="16"/>
              </w:rPr>
              <w:t>59 (</w:t>
            </w:r>
            <w:r w:rsidR="00F474A4" w:rsidRPr="006B575D">
              <w:rPr>
                <w:rFonts w:ascii="Arial" w:hAnsi="Arial" w:cs="Arial"/>
                <w:sz w:val="16"/>
                <w:szCs w:val="16"/>
              </w:rPr>
              <w:t>3.3</w:t>
            </w:r>
            <w:r w:rsidRPr="006B575D">
              <w:rPr>
                <w:rFonts w:ascii="Arial" w:hAnsi="Arial" w:cs="Arial"/>
                <w:sz w:val="16"/>
                <w:szCs w:val="16"/>
              </w:rPr>
              <w:t>%)</w:t>
            </w:r>
          </w:p>
        </w:tc>
        <w:tc>
          <w:tcPr>
            <w:tcW w:w="1260" w:type="dxa"/>
          </w:tcPr>
          <w:p w14:paraId="56831B61" w14:textId="77777777" w:rsidR="007520D9" w:rsidRPr="006B575D" w:rsidRDefault="007520D9" w:rsidP="00B95B54">
            <w:pPr>
              <w:jc w:val="center"/>
              <w:rPr>
                <w:rFonts w:ascii="Arial" w:hAnsi="Arial" w:cs="Arial"/>
                <w:sz w:val="16"/>
                <w:szCs w:val="16"/>
              </w:rPr>
            </w:pPr>
          </w:p>
        </w:tc>
      </w:tr>
      <w:tr w:rsidR="007520D9" w:rsidRPr="006B575D" w14:paraId="366C6386" w14:textId="77777777" w:rsidTr="00B95B54">
        <w:trPr>
          <w:trHeight w:val="19"/>
        </w:trPr>
        <w:tc>
          <w:tcPr>
            <w:tcW w:w="3371" w:type="dxa"/>
          </w:tcPr>
          <w:p w14:paraId="656B0EB5" w14:textId="77777777" w:rsidR="007520D9" w:rsidRPr="006B575D" w:rsidRDefault="007520D9" w:rsidP="00B95B54">
            <w:pPr>
              <w:rPr>
                <w:rFonts w:ascii="Arial" w:hAnsi="Arial" w:cs="Arial"/>
                <w:sz w:val="16"/>
                <w:szCs w:val="16"/>
              </w:rPr>
            </w:pPr>
            <w:r w:rsidRPr="006B575D">
              <w:rPr>
                <w:rFonts w:ascii="Arial" w:hAnsi="Arial" w:cs="Arial"/>
                <w:sz w:val="16"/>
                <w:szCs w:val="16"/>
              </w:rPr>
              <w:t>Mean number of live births (SE, range)</w:t>
            </w:r>
          </w:p>
        </w:tc>
        <w:tc>
          <w:tcPr>
            <w:tcW w:w="2479" w:type="dxa"/>
            <w:tcBorders>
              <w:right w:val="single" w:sz="4" w:space="0" w:color="auto"/>
            </w:tcBorders>
          </w:tcPr>
          <w:p w14:paraId="5720192F" w14:textId="579932ED" w:rsidR="007520D9" w:rsidRPr="006B575D" w:rsidRDefault="007520D9" w:rsidP="00B95B54">
            <w:pPr>
              <w:jc w:val="center"/>
              <w:rPr>
                <w:rFonts w:ascii="Arial" w:hAnsi="Arial" w:cs="Arial"/>
                <w:sz w:val="16"/>
                <w:szCs w:val="16"/>
              </w:rPr>
            </w:pPr>
            <w:r w:rsidRPr="006B575D">
              <w:rPr>
                <w:rFonts w:ascii="Arial" w:hAnsi="Arial" w:cs="Arial"/>
                <w:sz w:val="16"/>
                <w:szCs w:val="16"/>
              </w:rPr>
              <w:t>1.</w:t>
            </w:r>
            <w:r w:rsidR="00AB3F8F" w:rsidRPr="006B575D">
              <w:rPr>
                <w:rFonts w:ascii="Arial" w:hAnsi="Arial" w:cs="Arial"/>
                <w:sz w:val="16"/>
                <w:szCs w:val="16"/>
              </w:rPr>
              <w:t>60</w:t>
            </w:r>
            <w:r w:rsidRPr="006B575D">
              <w:rPr>
                <w:rFonts w:ascii="Arial" w:hAnsi="Arial" w:cs="Arial"/>
                <w:sz w:val="16"/>
                <w:szCs w:val="16"/>
              </w:rPr>
              <w:t xml:space="preserve"> (0.0</w:t>
            </w:r>
            <w:r w:rsidR="00AB3F8F" w:rsidRPr="006B575D">
              <w:rPr>
                <w:rFonts w:ascii="Arial" w:hAnsi="Arial" w:cs="Arial"/>
                <w:sz w:val="16"/>
                <w:szCs w:val="16"/>
              </w:rPr>
              <w:t>4</w:t>
            </w:r>
            <w:r w:rsidRPr="006B575D">
              <w:rPr>
                <w:rFonts w:ascii="Arial" w:hAnsi="Arial" w:cs="Arial"/>
                <w:sz w:val="16"/>
                <w:szCs w:val="16"/>
              </w:rPr>
              <w:t>, 0-7)</w:t>
            </w:r>
          </w:p>
        </w:tc>
        <w:tc>
          <w:tcPr>
            <w:tcW w:w="2610" w:type="dxa"/>
            <w:tcBorders>
              <w:left w:val="single" w:sz="4" w:space="0" w:color="auto"/>
            </w:tcBorders>
          </w:tcPr>
          <w:p w14:paraId="0572FB57" w14:textId="3B80CB31" w:rsidR="007520D9" w:rsidRPr="006B575D" w:rsidRDefault="007520D9" w:rsidP="00B95B54">
            <w:pPr>
              <w:jc w:val="center"/>
              <w:rPr>
                <w:rFonts w:ascii="Arial" w:hAnsi="Arial" w:cs="Arial"/>
                <w:sz w:val="16"/>
                <w:szCs w:val="16"/>
              </w:rPr>
            </w:pPr>
            <w:r w:rsidRPr="006B575D">
              <w:rPr>
                <w:rFonts w:ascii="Arial" w:hAnsi="Arial" w:cs="Arial"/>
                <w:sz w:val="16"/>
                <w:szCs w:val="16"/>
              </w:rPr>
              <w:t>2.</w:t>
            </w:r>
            <w:r w:rsidR="00F474A4" w:rsidRPr="006B575D">
              <w:rPr>
                <w:rFonts w:ascii="Arial" w:hAnsi="Arial" w:cs="Arial"/>
                <w:sz w:val="16"/>
                <w:szCs w:val="16"/>
              </w:rPr>
              <w:t>58</w:t>
            </w:r>
            <w:r w:rsidRPr="006B575D">
              <w:rPr>
                <w:rFonts w:ascii="Arial" w:hAnsi="Arial" w:cs="Arial"/>
                <w:sz w:val="16"/>
                <w:szCs w:val="16"/>
              </w:rPr>
              <w:t xml:space="preserve"> (0.04, 0-7)</w:t>
            </w:r>
          </w:p>
        </w:tc>
        <w:tc>
          <w:tcPr>
            <w:tcW w:w="1260" w:type="dxa"/>
          </w:tcPr>
          <w:p w14:paraId="2720F539"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25376CDE" w14:textId="77777777" w:rsidTr="00B95B54">
        <w:trPr>
          <w:trHeight w:val="19"/>
        </w:trPr>
        <w:tc>
          <w:tcPr>
            <w:tcW w:w="3371" w:type="dxa"/>
          </w:tcPr>
          <w:p w14:paraId="7732E105" w14:textId="77777777" w:rsidR="007520D9" w:rsidRPr="006B575D" w:rsidRDefault="007520D9" w:rsidP="00B95B54">
            <w:pPr>
              <w:rPr>
                <w:rFonts w:ascii="Arial" w:hAnsi="Arial" w:cs="Arial"/>
                <w:sz w:val="16"/>
                <w:szCs w:val="16"/>
              </w:rPr>
            </w:pPr>
            <w:r w:rsidRPr="006B575D">
              <w:rPr>
                <w:rFonts w:ascii="Arial" w:hAnsi="Arial" w:cs="Arial"/>
                <w:sz w:val="16"/>
                <w:szCs w:val="16"/>
              </w:rPr>
              <w:t>Ever-parity (n, %)</w:t>
            </w:r>
          </w:p>
        </w:tc>
        <w:tc>
          <w:tcPr>
            <w:tcW w:w="2479" w:type="dxa"/>
            <w:tcBorders>
              <w:right w:val="single" w:sz="4" w:space="0" w:color="auto"/>
            </w:tcBorders>
          </w:tcPr>
          <w:p w14:paraId="75EF78BF" w14:textId="77777777" w:rsidR="007520D9" w:rsidRPr="006B575D"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6B575D" w:rsidRDefault="007520D9" w:rsidP="00B95B54">
            <w:pPr>
              <w:jc w:val="center"/>
              <w:rPr>
                <w:rFonts w:ascii="Arial" w:hAnsi="Arial" w:cs="Arial"/>
                <w:sz w:val="16"/>
                <w:szCs w:val="16"/>
              </w:rPr>
            </w:pPr>
          </w:p>
        </w:tc>
        <w:tc>
          <w:tcPr>
            <w:tcW w:w="1260" w:type="dxa"/>
          </w:tcPr>
          <w:p w14:paraId="103D92DA"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p>
        </w:tc>
      </w:tr>
      <w:tr w:rsidR="007520D9" w:rsidRPr="006B575D" w14:paraId="29CCCF00" w14:textId="77777777" w:rsidTr="00B95B54">
        <w:trPr>
          <w:trHeight w:val="19"/>
        </w:trPr>
        <w:tc>
          <w:tcPr>
            <w:tcW w:w="3371" w:type="dxa"/>
          </w:tcPr>
          <w:p w14:paraId="5A5858EA" w14:textId="77777777" w:rsidR="007520D9" w:rsidRPr="006B575D" w:rsidRDefault="007520D9" w:rsidP="00B95B54">
            <w:pPr>
              <w:ind w:firstLine="333"/>
              <w:rPr>
                <w:rFonts w:ascii="Arial" w:hAnsi="Arial" w:cs="Arial"/>
                <w:sz w:val="16"/>
                <w:szCs w:val="16"/>
              </w:rPr>
            </w:pPr>
            <w:r w:rsidRPr="006B575D">
              <w:rPr>
                <w:rFonts w:ascii="Arial" w:hAnsi="Arial" w:cs="Arial"/>
                <w:sz w:val="16"/>
                <w:szCs w:val="16"/>
              </w:rPr>
              <w:t>Nulliparous</w:t>
            </w:r>
          </w:p>
        </w:tc>
        <w:tc>
          <w:tcPr>
            <w:tcW w:w="2479" w:type="dxa"/>
            <w:tcBorders>
              <w:right w:val="single" w:sz="4" w:space="0" w:color="auto"/>
            </w:tcBorders>
          </w:tcPr>
          <w:p w14:paraId="0A57E1CD" w14:textId="733A95E0" w:rsidR="007520D9" w:rsidRPr="006B575D" w:rsidRDefault="007520D9" w:rsidP="00B95B54">
            <w:pPr>
              <w:jc w:val="center"/>
              <w:rPr>
                <w:rFonts w:ascii="Arial" w:hAnsi="Arial" w:cs="Arial"/>
                <w:sz w:val="16"/>
                <w:szCs w:val="16"/>
              </w:rPr>
            </w:pPr>
            <w:r w:rsidRPr="006B575D">
              <w:rPr>
                <w:rFonts w:ascii="Arial" w:hAnsi="Arial" w:cs="Arial"/>
                <w:sz w:val="16"/>
                <w:szCs w:val="16"/>
              </w:rPr>
              <w:t>534 (2</w:t>
            </w:r>
            <w:r w:rsidR="00AB3F8F" w:rsidRPr="006B575D">
              <w:rPr>
                <w:rFonts w:ascii="Arial" w:hAnsi="Arial" w:cs="Arial"/>
                <w:sz w:val="16"/>
                <w:szCs w:val="16"/>
              </w:rPr>
              <w:t>7</w:t>
            </w:r>
            <w:r w:rsidRPr="006B575D">
              <w:rPr>
                <w:rFonts w:ascii="Arial" w:hAnsi="Arial" w:cs="Arial"/>
                <w:sz w:val="16"/>
                <w:szCs w:val="16"/>
              </w:rPr>
              <w:t>.</w:t>
            </w:r>
            <w:r w:rsidR="00AB3F8F" w:rsidRPr="006B575D">
              <w:rPr>
                <w:rFonts w:ascii="Arial" w:hAnsi="Arial" w:cs="Arial"/>
                <w:sz w:val="16"/>
                <w:szCs w:val="16"/>
              </w:rPr>
              <w:t>6</w:t>
            </w:r>
            <w:r w:rsidRPr="006B575D">
              <w:rPr>
                <w:rFonts w:ascii="Arial" w:hAnsi="Arial" w:cs="Arial"/>
                <w:sz w:val="16"/>
                <w:szCs w:val="16"/>
              </w:rPr>
              <w:t>%)</w:t>
            </w:r>
          </w:p>
        </w:tc>
        <w:tc>
          <w:tcPr>
            <w:tcW w:w="2610" w:type="dxa"/>
            <w:tcBorders>
              <w:left w:val="single" w:sz="4" w:space="0" w:color="auto"/>
            </w:tcBorders>
          </w:tcPr>
          <w:p w14:paraId="687E3250" w14:textId="7B0561BC" w:rsidR="007520D9" w:rsidRPr="006B575D" w:rsidRDefault="007520D9" w:rsidP="00B95B54">
            <w:pPr>
              <w:jc w:val="center"/>
              <w:rPr>
                <w:rFonts w:ascii="Arial" w:hAnsi="Arial" w:cs="Arial"/>
                <w:sz w:val="16"/>
                <w:szCs w:val="16"/>
              </w:rPr>
            </w:pPr>
            <w:r w:rsidRPr="006B575D">
              <w:rPr>
                <w:rFonts w:ascii="Arial" w:hAnsi="Arial" w:cs="Arial"/>
                <w:sz w:val="16"/>
                <w:szCs w:val="16"/>
              </w:rPr>
              <w:t>237 (1</w:t>
            </w:r>
            <w:r w:rsidR="00F474A4" w:rsidRPr="006B575D">
              <w:rPr>
                <w:rFonts w:ascii="Arial" w:hAnsi="Arial" w:cs="Arial"/>
                <w:sz w:val="16"/>
                <w:szCs w:val="16"/>
              </w:rPr>
              <w:t>1</w:t>
            </w:r>
            <w:r w:rsidRPr="006B575D">
              <w:rPr>
                <w:rFonts w:ascii="Arial" w:hAnsi="Arial" w:cs="Arial"/>
                <w:sz w:val="16"/>
                <w:szCs w:val="16"/>
              </w:rPr>
              <w:t>.</w:t>
            </w:r>
            <w:r w:rsidR="00F474A4" w:rsidRPr="006B575D">
              <w:rPr>
                <w:rFonts w:ascii="Arial" w:hAnsi="Arial" w:cs="Arial"/>
                <w:sz w:val="16"/>
                <w:szCs w:val="16"/>
              </w:rPr>
              <w:t>1</w:t>
            </w:r>
            <w:r w:rsidRPr="006B575D">
              <w:rPr>
                <w:rFonts w:ascii="Arial" w:hAnsi="Arial" w:cs="Arial"/>
                <w:sz w:val="16"/>
                <w:szCs w:val="16"/>
              </w:rPr>
              <w:t>%)</w:t>
            </w:r>
          </w:p>
        </w:tc>
        <w:tc>
          <w:tcPr>
            <w:tcW w:w="1260" w:type="dxa"/>
          </w:tcPr>
          <w:p w14:paraId="4C5D13C8" w14:textId="77777777" w:rsidR="007520D9" w:rsidRPr="006B575D" w:rsidRDefault="007520D9" w:rsidP="00B95B54">
            <w:pPr>
              <w:jc w:val="center"/>
              <w:rPr>
                <w:rFonts w:ascii="Arial" w:hAnsi="Arial" w:cs="Arial"/>
                <w:sz w:val="16"/>
                <w:szCs w:val="16"/>
              </w:rPr>
            </w:pPr>
          </w:p>
        </w:tc>
      </w:tr>
      <w:tr w:rsidR="007520D9" w:rsidRPr="006B575D" w14:paraId="6613F5BA" w14:textId="77777777" w:rsidTr="00B95B54">
        <w:trPr>
          <w:trHeight w:val="19"/>
        </w:trPr>
        <w:tc>
          <w:tcPr>
            <w:tcW w:w="3371" w:type="dxa"/>
          </w:tcPr>
          <w:p w14:paraId="312E09B1" w14:textId="77777777" w:rsidR="007520D9" w:rsidRPr="006B575D" w:rsidRDefault="007520D9" w:rsidP="00B95B54">
            <w:pPr>
              <w:ind w:firstLine="333"/>
              <w:rPr>
                <w:rFonts w:ascii="Arial" w:hAnsi="Arial" w:cs="Arial"/>
                <w:sz w:val="16"/>
                <w:szCs w:val="16"/>
              </w:rPr>
            </w:pPr>
            <w:r w:rsidRPr="006B575D">
              <w:rPr>
                <w:rFonts w:ascii="Arial" w:hAnsi="Arial" w:cs="Arial"/>
                <w:sz w:val="16"/>
                <w:szCs w:val="16"/>
              </w:rPr>
              <w:t>Parous</w:t>
            </w:r>
          </w:p>
        </w:tc>
        <w:tc>
          <w:tcPr>
            <w:tcW w:w="2479" w:type="dxa"/>
            <w:tcBorders>
              <w:right w:val="single" w:sz="4" w:space="0" w:color="auto"/>
            </w:tcBorders>
          </w:tcPr>
          <w:p w14:paraId="4E36AB35" w14:textId="2994A6AA" w:rsidR="007520D9" w:rsidRPr="006B575D" w:rsidRDefault="007520D9" w:rsidP="00B95B54">
            <w:pPr>
              <w:jc w:val="center"/>
              <w:rPr>
                <w:rFonts w:ascii="Arial" w:hAnsi="Arial" w:cs="Arial"/>
                <w:sz w:val="16"/>
                <w:szCs w:val="16"/>
              </w:rPr>
            </w:pPr>
            <w:r w:rsidRPr="006B575D">
              <w:rPr>
                <w:rFonts w:ascii="Arial" w:hAnsi="Arial" w:cs="Arial"/>
                <w:sz w:val="16"/>
                <w:szCs w:val="16"/>
              </w:rPr>
              <w:t>1</w:t>
            </w:r>
            <w:r w:rsidR="00380182" w:rsidRPr="006B575D">
              <w:rPr>
                <w:rFonts w:ascii="Arial" w:hAnsi="Arial" w:cs="Arial"/>
                <w:sz w:val="16"/>
                <w:szCs w:val="16"/>
              </w:rPr>
              <w:t>,</w:t>
            </w:r>
            <w:r w:rsidRPr="006B575D">
              <w:rPr>
                <w:rFonts w:ascii="Arial" w:hAnsi="Arial" w:cs="Arial"/>
                <w:sz w:val="16"/>
                <w:szCs w:val="16"/>
              </w:rPr>
              <w:t>632 (7</w:t>
            </w:r>
            <w:r w:rsidR="00AB3F8F" w:rsidRPr="006B575D">
              <w:rPr>
                <w:rFonts w:ascii="Arial" w:hAnsi="Arial" w:cs="Arial"/>
                <w:sz w:val="16"/>
                <w:szCs w:val="16"/>
              </w:rPr>
              <w:t>2.4</w:t>
            </w:r>
            <w:r w:rsidRPr="006B575D">
              <w:rPr>
                <w:rFonts w:ascii="Arial" w:hAnsi="Arial" w:cs="Arial"/>
                <w:sz w:val="16"/>
                <w:szCs w:val="16"/>
              </w:rPr>
              <w:t>%)</w:t>
            </w:r>
          </w:p>
        </w:tc>
        <w:tc>
          <w:tcPr>
            <w:tcW w:w="2610" w:type="dxa"/>
            <w:tcBorders>
              <w:left w:val="single" w:sz="4" w:space="0" w:color="auto"/>
            </w:tcBorders>
          </w:tcPr>
          <w:p w14:paraId="2252FD47" w14:textId="4B4F82A6" w:rsidR="007520D9" w:rsidRPr="006B575D" w:rsidRDefault="007520D9" w:rsidP="00B95B54">
            <w:pPr>
              <w:jc w:val="center"/>
              <w:rPr>
                <w:rFonts w:ascii="Arial" w:hAnsi="Arial" w:cs="Arial"/>
                <w:sz w:val="16"/>
                <w:szCs w:val="16"/>
              </w:rPr>
            </w:pPr>
            <w:r w:rsidRPr="006B575D">
              <w:rPr>
                <w:rFonts w:ascii="Arial" w:hAnsi="Arial" w:cs="Arial"/>
                <w:sz w:val="16"/>
                <w:szCs w:val="16"/>
              </w:rPr>
              <w:t>2</w:t>
            </w:r>
            <w:r w:rsidR="00380182" w:rsidRPr="006B575D">
              <w:rPr>
                <w:rFonts w:ascii="Arial" w:hAnsi="Arial" w:cs="Arial"/>
                <w:sz w:val="16"/>
                <w:szCs w:val="16"/>
              </w:rPr>
              <w:t>,</w:t>
            </w:r>
            <w:r w:rsidRPr="006B575D">
              <w:rPr>
                <w:rFonts w:ascii="Arial" w:hAnsi="Arial" w:cs="Arial"/>
                <w:sz w:val="16"/>
                <w:szCs w:val="16"/>
              </w:rPr>
              <w:t>015 (8</w:t>
            </w:r>
            <w:r w:rsidR="00F474A4" w:rsidRPr="006B575D">
              <w:rPr>
                <w:rFonts w:ascii="Arial" w:hAnsi="Arial" w:cs="Arial"/>
                <w:sz w:val="16"/>
                <w:szCs w:val="16"/>
              </w:rPr>
              <w:t>8</w:t>
            </w:r>
            <w:r w:rsidRPr="006B575D">
              <w:rPr>
                <w:rFonts w:ascii="Arial" w:hAnsi="Arial" w:cs="Arial"/>
                <w:sz w:val="16"/>
                <w:szCs w:val="16"/>
              </w:rPr>
              <w:t>.</w:t>
            </w:r>
            <w:r w:rsidR="00F474A4" w:rsidRPr="006B575D">
              <w:rPr>
                <w:rFonts w:ascii="Arial" w:hAnsi="Arial" w:cs="Arial"/>
                <w:sz w:val="16"/>
                <w:szCs w:val="16"/>
              </w:rPr>
              <w:t>9</w:t>
            </w:r>
            <w:r w:rsidRPr="006B575D">
              <w:rPr>
                <w:rFonts w:ascii="Arial" w:hAnsi="Arial" w:cs="Arial"/>
                <w:sz w:val="16"/>
                <w:szCs w:val="16"/>
              </w:rPr>
              <w:t>%)</w:t>
            </w:r>
          </w:p>
        </w:tc>
        <w:tc>
          <w:tcPr>
            <w:tcW w:w="1260" w:type="dxa"/>
          </w:tcPr>
          <w:p w14:paraId="64CB4B48" w14:textId="77777777" w:rsidR="007520D9" w:rsidRPr="006B575D" w:rsidRDefault="007520D9" w:rsidP="00B95B54">
            <w:pPr>
              <w:jc w:val="center"/>
              <w:rPr>
                <w:rFonts w:ascii="Arial" w:hAnsi="Arial" w:cs="Arial"/>
                <w:sz w:val="16"/>
                <w:szCs w:val="16"/>
              </w:rPr>
            </w:pPr>
          </w:p>
        </w:tc>
      </w:tr>
      <w:tr w:rsidR="007520D9" w:rsidRPr="006B575D" w14:paraId="34A7B5B1" w14:textId="77777777" w:rsidTr="00B95B54">
        <w:trPr>
          <w:trHeight w:val="19"/>
        </w:trPr>
        <w:tc>
          <w:tcPr>
            <w:tcW w:w="3371" w:type="dxa"/>
          </w:tcPr>
          <w:p w14:paraId="26C6C1FB" w14:textId="77777777" w:rsidR="007520D9" w:rsidRPr="006B575D" w:rsidRDefault="007520D9" w:rsidP="00B95B54">
            <w:pPr>
              <w:rPr>
                <w:rFonts w:ascii="Arial" w:hAnsi="Arial" w:cs="Arial"/>
                <w:sz w:val="16"/>
                <w:szCs w:val="16"/>
              </w:rPr>
            </w:pPr>
            <w:r w:rsidRPr="006B575D">
              <w:rPr>
                <w:rFonts w:ascii="Arial" w:hAnsi="Arial" w:cs="Arial"/>
                <w:sz w:val="16"/>
                <w:szCs w:val="16"/>
              </w:rPr>
              <w:t>LM Biological Age</w:t>
            </w:r>
          </w:p>
        </w:tc>
        <w:tc>
          <w:tcPr>
            <w:tcW w:w="2479" w:type="dxa"/>
            <w:tcBorders>
              <w:right w:val="single" w:sz="4" w:space="0" w:color="auto"/>
            </w:tcBorders>
          </w:tcPr>
          <w:p w14:paraId="320C72C1" w14:textId="01BE2DC2" w:rsidR="007520D9" w:rsidRPr="006B575D" w:rsidRDefault="007520D9" w:rsidP="00B95B54">
            <w:pPr>
              <w:jc w:val="center"/>
              <w:rPr>
                <w:rFonts w:ascii="Arial" w:hAnsi="Arial" w:cs="Arial"/>
                <w:sz w:val="16"/>
                <w:szCs w:val="16"/>
              </w:rPr>
            </w:pPr>
            <w:r w:rsidRPr="006B575D">
              <w:rPr>
                <w:rFonts w:ascii="Arial" w:hAnsi="Arial" w:cs="Arial"/>
                <w:sz w:val="16"/>
                <w:szCs w:val="16"/>
              </w:rPr>
              <w:t>30.</w:t>
            </w:r>
            <w:r w:rsidR="00AB3F8F" w:rsidRPr="006B575D">
              <w:rPr>
                <w:rFonts w:ascii="Arial" w:hAnsi="Arial" w:cs="Arial"/>
                <w:sz w:val="16"/>
                <w:szCs w:val="16"/>
              </w:rPr>
              <w:t>42</w:t>
            </w:r>
            <w:r w:rsidRPr="006B575D">
              <w:rPr>
                <w:rFonts w:ascii="Arial" w:hAnsi="Arial" w:cs="Arial"/>
                <w:sz w:val="16"/>
                <w:szCs w:val="16"/>
              </w:rPr>
              <w:t xml:space="preserve"> (0.2</w:t>
            </w:r>
            <w:r w:rsidR="00AB3F8F" w:rsidRPr="006B575D">
              <w:rPr>
                <w:rFonts w:ascii="Arial" w:hAnsi="Arial" w:cs="Arial"/>
                <w:sz w:val="16"/>
                <w:szCs w:val="16"/>
              </w:rPr>
              <w:t>8</w:t>
            </w:r>
            <w:r w:rsidRPr="006B575D">
              <w:rPr>
                <w:rFonts w:ascii="Arial" w:hAnsi="Arial" w:cs="Arial"/>
                <w:sz w:val="16"/>
                <w:szCs w:val="16"/>
              </w:rPr>
              <w:t>, 4.7-81.3)</w:t>
            </w:r>
          </w:p>
        </w:tc>
        <w:tc>
          <w:tcPr>
            <w:tcW w:w="2610" w:type="dxa"/>
            <w:tcBorders>
              <w:left w:val="single" w:sz="4" w:space="0" w:color="auto"/>
            </w:tcBorders>
          </w:tcPr>
          <w:p w14:paraId="229B3546" w14:textId="5A221CC0" w:rsidR="007520D9" w:rsidRPr="006B575D" w:rsidRDefault="00F474A4" w:rsidP="00B95B54">
            <w:pPr>
              <w:jc w:val="center"/>
              <w:rPr>
                <w:rFonts w:ascii="Arial" w:hAnsi="Arial" w:cs="Arial"/>
                <w:sz w:val="16"/>
                <w:szCs w:val="16"/>
              </w:rPr>
            </w:pPr>
            <w:r w:rsidRPr="006B575D">
              <w:rPr>
                <w:rFonts w:ascii="Arial" w:hAnsi="Arial" w:cs="Arial"/>
                <w:sz w:val="16"/>
                <w:szCs w:val="16"/>
              </w:rPr>
              <w:t>59.23</w:t>
            </w:r>
            <w:r w:rsidR="007520D9" w:rsidRPr="006B575D">
              <w:rPr>
                <w:rFonts w:ascii="Arial" w:hAnsi="Arial" w:cs="Arial"/>
                <w:sz w:val="16"/>
                <w:szCs w:val="16"/>
              </w:rPr>
              <w:t xml:space="preserve"> (0.</w:t>
            </w:r>
            <w:r w:rsidRPr="006B575D">
              <w:rPr>
                <w:rFonts w:ascii="Arial" w:hAnsi="Arial" w:cs="Arial"/>
                <w:sz w:val="16"/>
                <w:szCs w:val="16"/>
              </w:rPr>
              <w:t>3</w:t>
            </w:r>
            <w:r w:rsidR="007520D9" w:rsidRPr="006B575D">
              <w:rPr>
                <w:rFonts w:ascii="Arial" w:hAnsi="Arial" w:cs="Arial"/>
                <w:sz w:val="16"/>
                <w:szCs w:val="16"/>
              </w:rPr>
              <w:t>7, 26.0-103.6)</w:t>
            </w:r>
          </w:p>
        </w:tc>
        <w:tc>
          <w:tcPr>
            <w:tcW w:w="1260" w:type="dxa"/>
          </w:tcPr>
          <w:p w14:paraId="37578C22"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0.002</w:t>
            </w:r>
            <w:r w:rsidRPr="006B575D">
              <w:rPr>
                <w:rFonts w:ascii="Arial" w:hAnsi="Arial" w:cs="Arial"/>
                <w:sz w:val="16"/>
                <w:szCs w:val="16"/>
                <w:shd w:val="clear" w:color="auto" w:fill="FFFFFF"/>
                <w:vertAlign w:val="superscript"/>
              </w:rPr>
              <w:t>†</w:t>
            </w:r>
          </w:p>
        </w:tc>
      </w:tr>
      <w:tr w:rsidR="00ED4070" w:rsidRPr="006B575D" w14:paraId="043FA784" w14:textId="77777777" w:rsidTr="00B95B54">
        <w:trPr>
          <w:trHeight w:val="19"/>
        </w:trPr>
        <w:tc>
          <w:tcPr>
            <w:tcW w:w="3371" w:type="dxa"/>
          </w:tcPr>
          <w:p w14:paraId="0C414A8C" w14:textId="5AF60DBC" w:rsidR="00ED4070" w:rsidRPr="006B575D" w:rsidRDefault="00ED4070" w:rsidP="00B95B54">
            <w:pPr>
              <w:rPr>
                <w:rFonts w:ascii="Arial" w:hAnsi="Arial" w:cs="Arial"/>
                <w:sz w:val="16"/>
                <w:szCs w:val="16"/>
              </w:rPr>
            </w:pPr>
            <w:r w:rsidRPr="006B575D">
              <w:rPr>
                <w:rFonts w:ascii="Arial" w:hAnsi="Arial" w:cs="Arial"/>
                <w:sz w:val="16"/>
                <w:szCs w:val="16"/>
              </w:rPr>
              <w:t>LM Biological Age acceleration</w:t>
            </w:r>
          </w:p>
        </w:tc>
        <w:tc>
          <w:tcPr>
            <w:tcW w:w="2479" w:type="dxa"/>
            <w:tcBorders>
              <w:right w:val="single" w:sz="4" w:space="0" w:color="auto"/>
            </w:tcBorders>
          </w:tcPr>
          <w:p w14:paraId="3FD58253" w14:textId="556A19DE" w:rsidR="00ED4070" w:rsidRPr="006B575D" w:rsidRDefault="00AB3F8F" w:rsidP="00B95B54">
            <w:pPr>
              <w:jc w:val="center"/>
              <w:rPr>
                <w:rFonts w:ascii="Arial" w:hAnsi="Arial" w:cs="Arial"/>
                <w:sz w:val="16"/>
                <w:szCs w:val="16"/>
              </w:rPr>
            </w:pPr>
            <w:r w:rsidRPr="006B575D">
              <w:rPr>
                <w:rFonts w:ascii="Arial" w:hAnsi="Arial" w:cs="Arial"/>
                <w:sz w:val="16"/>
                <w:szCs w:val="16"/>
              </w:rPr>
              <w:t xml:space="preserve">-0.57 (0.13, </w:t>
            </w:r>
            <w:r w:rsidR="00BC3C47" w:rsidRPr="006B575D">
              <w:rPr>
                <w:rFonts w:ascii="Arial" w:hAnsi="Arial" w:cs="Arial"/>
                <w:sz w:val="16"/>
                <w:szCs w:val="16"/>
              </w:rPr>
              <w:t>-14.1-32.3</w:t>
            </w:r>
            <w:r w:rsidRPr="006B575D">
              <w:rPr>
                <w:rFonts w:ascii="Arial" w:hAnsi="Arial" w:cs="Arial"/>
                <w:sz w:val="16"/>
                <w:szCs w:val="16"/>
              </w:rPr>
              <w:t>)</w:t>
            </w:r>
          </w:p>
        </w:tc>
        <w:tc>
          <w:tcPr>
            <w:tcW w:w="2610" w:type="dxa"/>
            <w:tcBorders>
              <w:left w:val="single" w:sz="4" w:space="0" w:color="auto"/>
            </w:tcBorders>
          </w:tcPr>
          <w:p w14:paraId="7CF57D18" w14:textId="2E7C56BB" w:rsidR="00ED4070" w:rsidRPr="006B575D" w:rsidRDefault="00F474A4" w:rsidP="00B95B54">
            <w:pPr>
              <w:jc w:val="center"/>
              <w:rPr>
                <w:rFonts w:ascii="Arial" w:hAnsi="Arial" w:cs="Arial"/>
                <w:sz w:val="16"/>
                <w:szCs w:val="16"/>
              </w:rPr>
            </w:pPr>
            <w:r w:rsidRPr="006B575D">
              <w:rPr>
                <w:rFonts w:ascii="Arial" w:hAnsi="Arial" w:cs="Arial"/>
                <w:sz w:val="16"/>
                <w:szCs w:val="16"/>
              </w:rPr>
              <w:t xml:space="preserve">-0.69 (0.18, </w:t>
            </w:r>
            <w:r w:rsidR="00BC3C47" w:rsidRPr="006B575D">
              <w:rPr>
                <w:rFonts w:ascii="Arial" w:hAnsi="Arial" w:cs="Arial"/>
                <w:sz w:val="16"/>
                <w:szCs w:val="16"/>
              </w:rPr>
              <w:t>-14.7-47.9</w:t>
            </w:r>
            <w:r w:rsidRPr="006B575D">
              <w:rPr>
                <w:rFonts w:ascii="Arial" w:hAnsi="Arial" w:cs="Arial"/>
                <w:sz w:val="16"/>
                <w:szCs w:val="16"/>
              </w:rPr>
              <w:t>)</w:t>
            </w:r>
          </w:p>
        </w:tc>
        <w:tc>
          <w:tcPr>
            <w:tcW w:w="1260" w:type="dxa"/>
          </w:tcPr>
          <w:p w14:paraId="70CD04D7" w14:textId="77777777" w:rsidR="00ED4070" w:rsidRPr="006B575D" w:rsidRDefault="00ED4070" w:rsidP="00B95B54">
            <w:pPr>
              <w:jc w:val="center"/>
              <w:rPr>
                <w:rFonts w:ascii="Arial" w:hAnsi="Arial" w:cs="Arial"/>
                <w:sz w:val="16"/>
                <w:szCs w:val="16"/>
              </w:rPr>
            </w:pPr>
          </w:p>
        </w:tc>
      </w:tr>
      <w:tr w:rsidR="007520D9" w:rsidRPr="006B575D" w14:paraId="73D0697F" w14:textId="77777777" w:rsidTr="00B95B54">
        <w:trPr>
          <w:trHeight w:val="19"/>
        </w:trPr>
        <w:tc>
          <w:tcPr>
            <w:tcW w:w="3371" w:type="dxa"/>
          </w:tcPr>
          <w:p w14:paraId="20F209C4" w14:textId="77777777" w:rsidR="007520D9" w:rsidRPr="006B575D" w:rsidRDefault="007520D9" w:rsidP="00B95B54">
            <w:pPr>
              <w:rPr>
                <w:rFonts w:ascii="Arial" w:hAnsi="Arial" w:cs="Arial"/>
                <w:sz w:val="16"/>
                <w:szCs w:val="16"/>
              </w:rPr>
            </w:pPr>
            <w:r w:rsidRPr="006B575D">
              <w:rPr>
                <w:rFonts w:ascii="Arial" w:hAnsi="Arial" w:cs="Arial"/>
                <w:sz w:val="16"/>
                <w:szCs w:val="16"/>
              </w:rPr>
              <w:t xml:space="preserve">Homeostatic Dysregulation </w:t>
            </w:r>
          </w:p>
        </w:tc>
        <w:tc>
          <w:tcPr>
            <w:tcW w:w="2479" w:type="dxa"/>
            <w:tcBorders>
              <w:right w:val="single" w:sz="4" w:space="0" w:color="auto"/>
            </w:tcBorders>
          </w:tcPr>
          <w:p w14:paraId="006D5C1B" w14:textId="05E2582B" w:rsidR="007520D9" w:rsidRPr="006B575D" w:rsidRDefault="007520D9" w:rsidP="00B95B54">
            <w:pPr>
              <w:jc w:val="center"/>
              <w:rPr>
                <w:rFonts w:ascii="Arial" w:hAnsi="Arial" w:cs="Arial"/>
                <w:sz w:val="16"/>
                <w:szCs w:val="16"/>
              </w:rPr>
            </w:pPr>
            <w:r w:rsidRPr="006B575D">
              <w:rPr>
                <w:rFonts w:ascii="Arial" w:hAnsi="Arial" w:cs="Arial"/>
                <w:sz w:val="16"/>
                <w:szCs w:val="16"/>
              </w:rPr>
              <w:t>3.</w:t>
            </w:r>
            <w:r w:rsidR="00AB3F8F" w:rsidRPr="006B575D">
              <w:rPr>
                <w:rFonts w:ascii="Arial" w:hAnsi="Arial" w:cs="Arial"/>
                <w:sz w:val="16"/>
                <w:szCs w:val="16"/>
              </w:rPr>
              <w:t>09</w:t>
            </w:r>
            <w:r w:rsidRPr="006B575D">
              <w:rPr>
                <w:rFonts w:ascii="Arial" w:hAnsi="Arial" w:cs="Arial"/>
                <w:sz w:val="16"/>
                <w:szCs w:val="16"/>
              </w:rPr>
              <w:t xml:space="preserve"> (0.01, 1.5-4.8)</w:t>
            </w:r>
          </w:p>
        </w:tc>
        <w:tc>
          <w:tcPr>
            <w:tcW w:w="2610" w:type="dxa"/>
            <w:tcBorders>
              <w:left w:val="single" w:sz="4" w:space="0" w:color="auto"/>
            </w:tcBorders>
          </w:tcPr>
          <w:p w14:paraId="7E731840" w14:textId="7F476667" w:rsidR="007520D9" w:rsidRPr="006B575D" w:rsidRDefault="007520D9" w:rsidP="00B95B54">
            <w:pPr>
              <w:jc w:val="center"/>
              <w:rPr>
                <w:rFonts w:ascii="Arial" w:hAnsi="Arial" w:cs="Arial"/>
                <w:sz w:val="16"/>
                <w:szCs w:val="16"/>
              </w:rPr>
            </w:pPr>
            <w:r w:rsidRPr="006B575D">
              <w:rPr>
                <w:rFonts w:ascii="Arial" w:hAnsi="Arial" w:cs="Arial"/>
                <w:sz w:val="16"/>
                <w:szCs w:val="16"/>
              </w:rPr>
              <w:t>3.2</w:t>
            </w:r>
            <w:r w:rsidR="00F474A4" w:rsidRPr="006B575D">
              <w:rPr>
                <w:rFonts w:ascii="Arial" w:hAnsi="Arial" w:cs="Arial"/>
                <w:sz w:val="16"/>
                <w:szCs w:val="16"/>
              </w:rPr>
              <w:t>5</w:t>
            </w:r>
            <w:r w:rsidRPr="006B575D">
              <w:rPr>
                <w:rFonts w:ascii="Arial" w:hAnsi="Arial" w:cs="Arial"/>
                <w:sz w:val="16"/>
                <w:szCs w:val="16"/>
              </w:rPr>
              <w:t xml:space="preserve"> (0.01, 1.5-5.3)</w:t>
            </w:r>
          </w:p>
        </w:tc>
        <w:tc>
          <w:tcPr>
            <w:tcW w:w="1260" w:type="dxa"/>
          </w:tcPr>
          <w:p w14:paraId="2076420B"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0.696</w:t>
            </w:r>
            <w:r w:rsidRPr="006B575D">
              <w:rPr>
                <w:rFonts w:ascii="Arial" w:hAnsi="Arial" w:cs="Arial"/>
                <w:sz w:val="16"/>
                <w:szCs w:val="16"/>
                <w:shd w:val="clear" w:color="auto" w:fill="FFFFFF"/>
                <w:vertAlign w:val="superscript"/>
              </w:rPr>
              <w:t>†</w:t>
            </w:r>
          </w:p>
        </w:tc>
      </w:tr>
      <w:tr w:rsidR="00ED4070" w:rsidRPr="006B575D" w14:paraId="6A93269F" w14:textId="77777777" w:rsidTr="00B95B54">
        <w:trPr>
          <w:trHeight w:val="19"/>
        </w:trPr>
        <w:tc>
          <w:tcPr>
            <w:tcW w:w="3371" w:type="dxa"/>
          </w:tcPr>
          <w:p w14:paraId="289A9B80" w14:textId="44CAAE67" w:rsidR="00ED4070" w:rsidRPr="006B575D" w:rsidRDefault="00ED4070" w:rsidP="00B95B54">
            <w:pPr>
              <w:rPr>
                <w:rFonts w:ascii="Arial" w:hAnsi="Arial" w:cs="Arial"/>
                <w:sz w:val="16"/>
                <w:szCs w:val="16"/>
              </w:rPr>
            </w:pPr>
            <w:r w:rsidRPr="006B575D">
              <w:rPr>
                <w:rFonts w:ascii="Arial" w:hAnsi="Arial" w:cs="Arial"/>
                <w:sz w:val="16"/>
                <w:szCs w:val="16"/>
              </w:rPr>
              <w:t>Homeostatic Dysregulation</w:t>
            </w:r>
          </w:p>
        </w:tc>
        <w:tc>
          <w:tcPr>
            <w:tcW w:w="2479" w:type="dxa"/>
            <w:tcBorders>
              <w:right w:val="single" w:sz="4" w:space="0" w:color="auto"/>
            </w:tcBorders>
          </w:tcPr>
          <w:p w14:paraId="4E4C44FB" w14:textId="1AE1A1C5" w:rsidR="00ED4070" w:rsidRPr="006B575D" w:rsidRDefault="00AB3F8F" w:rsidP="00B95B54">
            <w:pPr>
              <w:jc w:val="center"/>
              <w:rPr>
                <w:rFonts w:ascii="Arial" w:hAnsi="Arial" w:cs="Arial"/>
                <w:sz w:val="16"/>
                <w:szCs w:val="16"/>
              </w:rPr>
            </w:pPr>
            <w:r w:rsidRPr="006B575D">
              <w:rPr>
                <w:rFonts w:ascii="Arial" w:hAnsi="Arial" w:cs="Arial"/>
                <w:sz w:val="16"/>
                <w:szCs w:val="16"/>
              </w:rPr>
              <w:t xml:space="preserve">-0.04 (0.01, </w:t>
            </w:r>
            <w:r w:rsidR="00BC3C47" w:rsidRPr="006B575D">
              <w:rPr>
                <w:rFonts w:ascii="Arial" w:hAnsi="Arial" w:cs="Arial"/>
                <w:sz w:val="16"/>
                <w:szCs w:val="16"/>
              </w:rPr>
              <w:t>-1.6-1.62</w:t>
            </w:r>
            <w:r w:rsidRPr="006B575D">
              <w:rPr>
                <w:rFonts w:ascii="Arial" w:hAnsi="Arial" w:cs="Arial"/>
                <w:sz w:val="16"/>
                <w:szCs w:val="16"/>
              </w:rPr>
              <w:t>)</w:t>
            </w:r>
          </w:p>
        </w:tc>
        <w:tc>
          <w:tcPr>
            <w:tcW w:w="2610" w:type="dxa"/>
            <w:tcBorders>
              <w:left w:val="single" w:sz="4" w:space="0" w:color="auto"/>
            </w:tcBorders>
          </w:tcPr>
          <w:p w14:paraId="5EFF35F6" w14:textId="21EDF286" w:rsidR="00ED4070" w:rsidRPr="006B575D" w:rsidRDefault="00F474A4" w:rsidP="00B95B54">
            <w:pPr>
              <w:jc w:val="center"/>
              <w:rPr>
                <w:rFonts w:ascii="Arial" w:hAnsi="Arial" w:cs="Arial"/>
                <w:sz w:val="16"/>
                <w:szCs w:val="16"/>
              </w:rPr>
            </w:pPr>
            <w:r w:rsidRPr="006B575D">
              <w:rPr>
                <w:rFonts w:ascii="Arial" w:hAnsi="Arial" w:cs="Arial"/>
                <w:sz w:val="16"/>
                <w:szCs w:val="16"/>
              </w:rPr>
              <w:t xml:space="preserve">-0.03 (0.01, </w:t>
            </w:r>
            <w:r w:rsidR="00BC3C47" w:rsidRPr="006B575D">
              <w:rPr>
                <w:rFonts w:ascii="Arial" w:hAnsi="Arial" w:cs="Arial"/>
                <w:sz w:val="16"/>
                <w:szCs w:val="16"/>
              </w:rPr>
              <w:t>-1.9-2.1</w:t>
            </w:r>
            <w:r w:rsidRPr="006B575D">
              <w:rPr>
                <w:rFonts w:ascii="Arial" w:hAnsi="Arial" w:cs="Arial"/>
                <w:sz w:val="16"/>
                <w:szCs w:val="16"/>
              </w:rPr>
              <w:t>)</w:t>
            </w:r>
          </w:p>
        </w:tc>
        <w:tc>
          <w:tcPr>
            <w:tcW w:w="1260" w:type="dxa"/>
          </w:tcPr>
          <w:p w14:paraId="7FC603F7" w14:textId="77777777" w:rsidR="00ED4070" w:rsidRPr="006B575D" w:rsidRDefault="00ED4070" w:rsidP="00B95B54">
            <w:pPr>
              <w:jc w:val="center"/>
              <w:rPr>
                <w:rFonts w:ascii="Arial" w:hAnsi="Arial" w:cs="Arial"/>
                <w:sz w:val="16"/>
                <w:szCs w:val="16"/>
              </w:rPr>
            </w:pPr>
          </w:p>
        </w:tc>
      </w:tr>
      <w:tr w:rsidR="007520D9" w:rsidRPr="006B575D" w14:paraId="2D34EE85" w14:textId="77777777" w:rsidTr="00B95B54">
        <w:trPr>
          <w:trHeight w:val="19"/>
        </w:trPr>
        <w:tc>
          <w:tcPr>
            <w:tcW w:w="3371" w:type="dxa"/>
          </w:tcPr>
          <w:p w14:paraId="1D6C349C" w14:textId="77777777" w:rsidR="007520D9" w:rsidRPr="006B575D" w:rsidRDefault="007520D9" w:rsidP="00B95B54">
            <w:pPr>
              <w:rPr>
                <w:rFonts w:ascii="Arial" w:hAnsi="Arial" w:cs="Arial"/>
                <w:sz w:val="16"/>
                <w:szCs w:val="16"/>
              </w:rPr>
            </w:pPr>
            <w:r w:rsidRPr="006B575D">
              <w:rPr>
                <w:rFonts w:ascii="Arial" w:hAnsi="Arial" w:cs="Arial"/>
                <w:sz w:val="16"/>
                <w:szCs w:val="16"/>
              </w:rPr>
              <w:t xml:space="preserve">KDM Biological Age </w:t>
            </w:r>
          </w:p>
        </w:tc>
        <w:tc>
          <w:tcPr>
            <w:tcW w:w="2479" w:type="dxa"/>
            <w:tcBorders>
              <w:right w:val="single" w:sz="4" w:space="0" w:color="auto"/>
            </w:tcBorders>
          </w:tcPr>
          <w:p w14:paraId="5B2B07BB" w14:textId="1D305551" w:rsidR="007520D9" w:rsidRPr="006B575D" w:rsidRDefault="007520D9" w:rsidP="00B95B54">
            <w:pPr>
              <w:jc w:val="center"/>
              <w:rPr>
                <w:rFonts w:ascii="Arial" w:hAnsi="Arial" w:cs="Arial"/>
                <w:sz w:val="16"/>
                <w:szCs w:val="16"/>
              </w:rPr>
            </w:pPr>
            <w:r w:rsidRPr="006B575D">
              <w:rPr>
                <w:rFonts w:ascii="Arial" w:hAnsi="Arial" w:cs="Arial"/>
                <w:sz w:val="16"/>
                <w:szCs w:val="16"/>
              </w:rPr>
              <w:t>31.</w:t>
            </w:r>
            <w:r w:rsidR="00AB3F8F" w:rsidRPr="006B575D">
              <w:rPr>
                <w:rFonts w:ascii="Arial" w:hAnsi="Arial" w:cs="Arial"/>
                <w:sz w:val="16"/>
                <w:szCs w:val="16"/>
              </w:rPr>
              <w:t xml:space="preserve">77 </w:t>
            </w:r>
            <w:r w:rsidRPr="006B575D">
              <w:rPr>
                <w:rFonts w:ascii="Arial" w:hAnsi="Arial" w:cs="Arial"/>
                <w:sz w:val="16"/>
                <w:szCs w:val="16"/>
              </w:rPr>
              <w:t>(0.</w:t>
            </w:r>
            <w:r w:rsidR="00AB3F8F" w:rsidRPr="006B575D">
              <w:rPr>
                <w:rFonts w:ascii="Arial" w:hAnsi="Arial" w:cs="Arial"/>
                <w:sz w:val="16"/>
                <w:szCs w:val="16"/>
              </w:rPr>
              <w:t>31</w:t>
            </w:r>
            <w:r w:rsidRPr="006B575D">
              <w:rPr>
                <w:rFonts w:ascii="Arial" w:hAnsi="Arial" w:cs="Arial"/>
                <w:sz w:val="16"/>
                <w:szCs w:val="16"/>
              </w:rPr>
              <w:t>, 0.6-111.6)</w:t>
            </w:r>
          </w:p>
        </w:tc>
        <w:tc>
          <w:tcPr>
            <w:tcW w:w="2610" w:type="dxa"/>
            <w:tcBorders>
              <w:left w:val="single" w:sz="4" w:space="0" w:color="auto"/>
            </w:tcBorders>
          </w:tcPr>
          <w:p w14:paraId="1CD48094" w14:textId="54E6B748" w:rsidR="007520D9" w:rsidRPr="006B575D" w:rsidRDefault="00F474A4" w:rsidP="00B95B54">
            <w:pPr>
              <w:jc w:val="center"/>
              <w:rPr>
                <w:rFonts w:ascii="Arial" w:hAnsi="Arial" w:cs="Arial"/>
                <w:sz w:val="16"/>
                <w:szCs w:val="16"/>
              </w:rPr>
            </w:pPr>
            <w:r w:rsidRPr="006B575D">
              <w:rPr>
                <w:rFonts w:ascii="Arial" w:hAnsi="Arial" w:cs="Arial"/>
                <w:sz w:val="16"/>
                <w:szCs w:val="16"/>
              </w:rPr>
              <w:t>58.16</w:t>
            </w:r>
            <w:r w:rsidR="007520D9" w:rsidRPr="006B575D">
              <w:rPr>
                <w:rFonts w:ascii="Arial" w:hAnsi="Arial" w:cs="Arial"/>
                <w:sz w:val="16"/>
                <w:szCs w:val="16"/>
              </w:rPr>
              <w:t xml:space="preserve"> (0.</w:t>
            </w:r>
            <w:r w:rsidRPr="006B575D">
              <w:rPr>
                <w:rFonts w:ascii="Arial" w:hAnsi="Arial" w:cs="Arial"/>
                <w:sz w:val="16"/>
                <w:szCs w:val="16"/>
              </w:rPr>
              <w:t>41</w:t>
            </w:r>
            <w:r w:rsidR="007520D9" w:rsidRPr="006B575D">
              <w:rPr>
                <w:rFonts w:ascii="Arial" w:hAnsi="Arial" w:cs="Arial"/>
                <w:sz w:val="16"/>
                <w:szCs w:val="16"/>
              </w:rPr>
              <w:t>, 17.1-147.3)</w:t>
            </w:r>
          </w:p>
        </w:tc>
        <w:tc>
          <w:tcPr>
            <w:tcW w:w="1260" w:type="dxa"/>
          </w:tcPr>
          <w:p w14:paraId="1F5579F8"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&lt;0.001</w:t>
            </w:r>
            <w:r w:rsidRPr="006B575D">
              <w:rPr>
                <w:rFonts w:ascii="Arial" w:hAnsi="Arial" w:cs="Arial"/>
                <w:sz w:val="16"/>
                <w:szCs w:val="16"/>
                <w:shd w:val="clear" w:color="auto" w:fill="FFFFFF"/>
                <w:vertAlign w:val="superscript"/>
              </w:rPr>
              <w:t>†</w:t>
            </w:r>
          </w:p>
        </w:tc>
      </w:tr>
      <w:tr w:rsidR="00ED4070" w:rsidRPr="006B575D" w14:paraId="14C2E357" w14:textId="77777777" w:rsidTr="00B95B54">
        <w:trPr>
          <w:trHeight w:val="19"/>
        </w:trPr>
        <w:tc>
          <w:tcPr>
            <w:tcW w:w="3371" w:type="dxa"/>
          </w:tcPr>
          <w:p w14:paraId="31B7050B" w14:textId="0B984656" w:rsidR="00ED4070" w:rsidRPr="006B575D" w:rsidRDefault="00ED4070" w:rsidP="00B95B54">
            <w:pPr>
              <w:rPr>
                <w:rFonts w:ascii="Arial" w:hAnsi="Arial" w:cs="Arial"/>
                <w:sz w:val="16"/>
                <w:szCs w:val="16"/>
              </w:rPr>
            </w:pPr>
            <w:r w:rsidRPr="006B575D">
              <w:rPr>
                <w:rFonts w:ascii="Arial" w:hAnsi="Arial" w:cs="Arial"/>
                <w:sz w:val="16"/>
                <w:szCs w:val="16"/>
              </w:rPr>
              <w:t>KDM Biological Age acceleration</w:t>
            </w:r>
          </w:p>
        </w:tc>
        <w:tc>
          <w:tcPr>
            <w:tcW w:w="2479" w:type="dxa"/>
            <w:tcBorders>
              <w:right w:val="single" w:sz="4" w:space="0" w:color="auto"/>
            </w:tcBorders>
          </w:tcPr>
          <w:p w14:paraId="55493496" w14:textId="2D73A7F1" w:rsidR="00ED4070" w:rsidRPr="006B575D" w:rsidRDefault="00AB3F8F" w:rsidP="00B95B54">
            <w:pPr>
              <w:jc w:val="center"/>
              <w:rPr>
                <w:rFonts w:ascii="Arial" w:hAnsi="Arial" w:cs="Arial"/>
                <w:sz w:val="16"/>
                <w:szCs w:val="16"/>
              </w:rPr>
            </w:pPr>
            <w:r w:rsidRPr="006B575D">
              <w:rPr>
                <w:rFonts w:ascii="Arial" w:hAnsi="Arial" w:cs="Arial"/>
                <w:sz w:val="16"/>
                <w:szCs w:val="16"/>
              </w:rPr>
              <w:t xml:space="preserve">-1.14 (0.24, </w:t>
            </w:r>
            <w:r w:rsidR="00BC3C47" w:rsidRPr="006B575D">
              <w:rPr>
                <w:rFonts w:ascii="Arial" w:hAnsi="Arial" w:cs="Arial"/>
                <w:sz w:val="16"/>
                <w:szCs w:val="16"/>
              </w:rPr>
              <w:t>-25.7-83.85</w:t>
            </w:r>
            <w:r w:rsidRPr="006B575D">
              <w:rPr>
                <w:rFonts w:ascii="Arial" w:hAnsi="Arial" w:cs="Arial"/>
                <w:sz w:val="16"/>
                <w:szCs w:val="16"/>
              </w:rPr>
              <w:t>)</w:t>
            </w:r>
          </w:p>
        </w:tc>
        <w:tc>
          <w:tcPr>
            <w:tcW w:w="2610" w:type="dxa"/>
            <w:tcBorders>
              <w:left w:val="single" w:sz="4" w:space="0" w:color="auto"/>
            </w:tcBorders>
          </w:tcPr>
          <w:p w14:paraId="7473442B" w14:textId="69361302" w:rsidR="00ED4070" w:rsidRPr="006B575D" w:rsidRDefault="00F474A4" w:rsidP="00B95B54">
            <w:pPr>
              <w:jc w:val="center"/>
              <w:rPr>
                <w:rFonts w:ascii="Arial" w:hAnsi="Arial" w:cs="Arial"/>
                <w:sz w:val="16"/>
                <w:szCs w:val="16"/>
              </w:rPr>
            </w:pPr>
            <w:r w:rsidRPr="006B575D">
              <w:rPr>
                <w:rFonts w:ascii="Arial" w:hAnsi="Arial" w:cs="Arial"/>
                <w:sz w:val="16"/>
                <w:szCs w:val="16"/>
              </w:rPr>
              <w:t xml:space="preserve">-0.15 (0.36, </w:t>
            </w:r>
            <w:r w:rsidR="00BC3C47" w:rsidRPr="006B575D">
              <w:rPr>
                <w:rFonts w:ascii="Arial" w:hAnsi="Arial" w:cs="Arial"/>
                <w:sz w:val="16"/>
                <w:szCs w:val="16"/>
              </w:rPr>
              <w:t>-34.7, 83.2</w:t>
            </w:r>
            <w:r w:rsidRPr="006B575D">
              <w:rPr>
                <w:rFonts w:ascii="Arial" w:hAnsi="Arial" w:cs="Arial"/>
                <w:sz w:val="16"/>
                <w:szCs w:val="16"/>
              </w:rPr>
              <w:t>)</w:t>
            </w:r>
          </w:p>
        </w:tc>
        <w:tc>
          <w:tcPr>
            <w:tcW w:w="1260" w:type="dxa"/>
          </w:tcPr>
          <w:p w14:paraId="050B121F" w14:textId="77777777" w:rsidR="00ED4070" w:rsidRPr="006B575D" w:rsidRDefault="00ED4070" w:rsidP="00B95B54">
            <w:pPr>
              <w:jc w:val="center"/>
              <w:rPr>
                <w:rFonts w:ascii="Arial" w:hAnsi="Arial" w:cs="Arial"/>
                <w:sz w:val="16"/>
                <w:szCs w:val="16"/>
              </w:rPr>
            </w:pPr>
          </w:p>
        </w:tc>
      </w:tr>
      <w:tr w:rsidR="007520D9" w:rsidRPr="006B575D" w14:paraId="30247A25" w14:textId="77777777" w:rsidTr="00ED4070">
        <w:trPr>
          <w:trHeight w:val="19"/>
        </w:trPr>
        <w:tc>
          <w:tcPr>
            <w:tcW w:w="3371" w:type="dxa"/>
          </w:tcPr>
          <w:p w14:paraId="62AF2C78" w14:textId="77777777" w:rsidR="007520D9" w:rsidRPr="006B575D" w:rsidRDefault="007520D9" w:rsidP="00B95B54">
            <w:pPr>
              <w:rPr>
                <w:rFonts w:ascii="Arial" w:hAnsi="Arial" w:cs="Arial"/>
                <w:sz w:val="16"/>
                <w:szCs w:val="16"/>
              </w:rPr>
            </w:pPr>
            <w:r w:rsidRPr="006B575D">
              <w:rPr>
                <w:rFonts w:ascii="Arial" w:hAnsi="Arial" w:cs="Arial"/>
                <w:sz w:val="16"/>
                <w:szCs w:val="16"/>
              </w:rPr>
              <w:t xml:space="preserve">Allostatic Load </w:t>
            </w:r>
          </w:p>
        </w:tc>
        <w:tc>
          <w:tcPr>
            <w:tcW w:w="2479" w:type="dxa"/>
            <w:tcBorders>
              <w:right w:val="single" w:sz="4" w:space="0" w:color="auto"/>
            </w:tcBorders>
          </w:tcPr>
          <w:p w14:paraId="7549F4B9" w14:textId="3BDDE880" w:rsidR="007520D9" w:rsidRPr="006B575D" w:rsidRDefault="007520D9" w:rsidP="00B95B54">
            <w:pPr>
              <w:jc w:val="center"/>
              <w:rPr>
                <w:rFonts w:ascii="Arial" w:hAnsi="Arial" w:cs="Arial"/>
                <w:sz w:val="16"/>
                <w:szCs w:val="16"/>
              </w:rPr>
            </w:pPr>
            <w:r w:rsidRPr="006B575D">
              <w:rPr>
                <w:rFonts w:ascii="Arial" w:hAnsi="Arial" w:cs="Arial"/>
                <w:sz w:val="16"/>
                <w:szCs w:val="16"/>
              </w:rPr>
              <w:t>0.2</w:t>
            </w:r>
            <w:r w:rsidR="00AB3F8F" w:rsidRPr="006B575D">
              <w:rPr>
                <w:rFonts w:ascii="Arial" w:hAnsi="Arial" w:cs="Arial"/>
                <w:sz w:val="16"/>
                <w:szCs w:val="16"/>
              </w:rPr>
              <w:t>1</w:t>
            </w:r>
            <w:r w:rsidRPr="006B575D">
              <w:rPr>
                <w:rFonts w:ascii="Arial" w:hAnsi="Arial" w:cs="Arial"/>
                <w:sz w:val="16"/>
                <w:szCs w:val="16"/>
              </w:rPr>
              <w:t xml:space="preserve"> (0.00</w:t>
            </w:r>
            <w:r w:rsidR="00AB3F8F" w:rsidRPr="006B575D">
              <w:rPr>
                <w:rFonts w:ascii="Arial" w:hAnsi="Arial" w:cs="Arial"/>
                <w:sz w:val="16"/>
                <w:szCs w:val="16"/>
              </w:rPr>
              <w:t>3</w:t>
            </w:r>
            <w:r w:rsidRPr="006B575D">
              <w:rPr>
                <w:rFonts w:ascii="Arial" w:hAnsi="Arial" w:cs="Arial"/>
                <w:sz w:val="16"/>
                <w:szCs w:val="16"/>
              </w:rPr>
              <w:t>, 0.0-0.8)</w:t>
            </w:r>
          </w:p>
        </w:tc>
        <w:tc>
          <w:tcPr>
            <w:tcW w:w="2610" w:type="dxa"/>
            <w:tcBorders>
              <w:left w:val="single" w:sz="4" w:space="0" w:color="auto"/>
            </w:tcBorders>
          </w:tcPr>
          <w:p w14:paraId="313E4416" w14:textId="25AF2EAD" w:rsidR="007520D9" w:rsidRPr="006B575D" w:rsidRDefault="007520D9" w:rsidP="00B95B54">
            <w:pPr>
              <w:jc w:val="center"/>
              <w:rPr>
                <w:rFonts w:ascii="Arial" w:hAnsi="Arial" w:cs="Arial"/>
                <w:sz w:val="16"/>
                <w:szCs w:val="16"/>
              </w:rPr>
            </w:pPr>
            <w:r w:rsidRPr="006B575D">
              <w:rPr>
                <w:rFonts w:ascii="Arial" w:hAnsi="Arial" w:cs="Arial"/>
                <w:sz w:val="16"/>
                <w:szCs w:val="16"/>
              </w:rPr>
              <w:t>0.</w:t>
            </w:r>
            <w:r w:rsidR="00F474A4" w:rsidRPr="006B575D">
              <w:rPr>
                <w:rFonts w:ascii="Arial" w:hAnsi="Arial" w:cs="Arial"/>
                <w:sz w:val="16"/>
                <w:szCs w:val="16"/>
              </w:rPr>
              <w:t>30</w:t>
            </w:r>
            <w:r w:rsidRPr="006B575D">
              <w:rPr>
                <w:rFonts w:ascii="Arial" w:hAnsi="Arial" w:cs="Arial"/>
                <w:sz w:val="16"/>
                <w:szCs w:val="16"/>
              </w:rPr>
              <w:t xml:space="preserve"> (0.0</w:t>
            </w:r>
            <w:r w:rsidR="00F474A4" w:rsidRPr="006B575D">
              <w:rPr>
                <w:rFonts w:ascii="Arial" w:hAnsi="Arial" w:cs="Arial"/>
                <w:sz w:val="16"/>
                <w:szCs w:val="16"/>
              </w:rPr>
              <w:t>1</w:t>
            </w:r>
            <w:r w:rsidRPr="006B575D">
              <w:rPr>
                <w:rFonts w:ascii="Arial" w:hAnsi="Arial" w:cs="Arial"/>
                <w:sz w:val="16"/>
                <w:szCs w:val="16"/>
              </w:rPr>
              <w:t>, 0.0-0.9)</w:t>
            </w:r>
          </w:p>
        </w:tc>
        <w:tc>
          <w:tcPr>
            <w:tcW w:w="1260" w:type="dxa"/>
          </w:tcPr>
          <w:p w14:paraId="3CC6C29B" w14:textId="77777777" w:rsidR="007520D9" w:rsidRPr="006B575D" w:rsidRDefault="007520D9" w:rsidP="00B95B54">
            <w:pPr>
              <w:jc w:val="center"/>
              <w:rPr>
                <w:rFonts w:ascii="Arial" w:hAnsi="Arial" w:cs="Arial"/>
                <w:sz w:val="16"/>
                <w:szCs w:val="16"/>
              </w:rPr>
            </w:pPr>
            <w:r w:rsidRPr="006B575D">
              <w:rPr>
                <w:rFonts w:ascii="Arial" w:hAnsi="Arial" w:cs="Arial"/>
                <w:sz w:val="16"/>
                <w:szCs w:val="16"/>
              </w:rPr>
              <w:t>0.307</w:t>
            </w:r>
            <w:r w:rsidRPr="006B575D">
              <w:rPr>
                <w:rFonts w:ascii="Arial" w:hAnsi="Arial" w:cs="Arial"/>
                <w:sz w:val="16"/>
                <w:szCs w:val="16"/>
                <w:shd w:val="clear" w:color="auto" w:fill="FFFFFF"/>
                <w:vertAlign w:val="superscript"/>
              </w:rPr>
              <w:t>†</w:t>
            </w:r>
          </w:p>
        </w:tc>
      </w:tr>
      <w:tr w:rsidR="00ED4070" w:rsidRPr="006B575D" w14:paraId="07A4A6C5" w14:textId="77777777" w:rsidTr="00B95B54">
        <w:trPr>
          <w:trHeight w:val="19"/>
        </w:trPr>
        <w:tc>
          <w:tcPr>
            <w:tcW w:w="3371" w:type="dxa"/>
            <w:tcBorders>
              <w:bottom w:val="single" w:sz="4" w:space="0" w:color="auto"/>
            </w:tcBorders>
          </w:tcPr>
          <w:p w14:paraId="10F2C13B" w14:textId="4728CA3A" w:rsidR="00ED4070" w:rsidRPr="006B575D" w:rsidRDefault="00ED4070" w:rsidP="00B95B54">
            <w:pPr>
              <w:rPr>
                <w:rFonts w:ascii="Arial" w:hAnsi="Arial" w:cs="Arial"/>
                <w:sz w:val="16"/>
                <w:szCs w:val="16"/>
              </w:rPr>
            </w:pPr>
            <w:r w:rsidRPr="006B575D">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2E06B1FF" w:rsidR="00ED4070" w:rsidRPr="006B575D" w:rsidRDefault="00AB3F8F" w:rsidP="00B95B54">
            <w:pPr>
              <w:jc w:val="center"/>
              <w:rPr>
                <w:rFonts w:ascii="Arial" w:hAnsi="Arial" w:cs="Arial"/>
                <w:sz w:val="16"/>
                <w:szCs w:val="16"/>
              </w:rPr>
            </w:pPr>
            <w:r w:rsidRPr="006B575D">
              <w:rPr>
                <w:rFonts w:ascii="Arial" w:hAnsi="Arial" w:cs="Arial"/>
                <w:sz w:val="16"/>
                <w:szCs w:val="16"/>
              </w:rPr>
              <w:t xml:space="preserve">-0.02 (0.004, </w:t>
            </w:r>
            <w:r w:rsidR="00BC3C47" w:rsidRPr="006B575D">
              <w:rPr>
                <w:rFonts w:ascii="Arial" w:hAnsi="Arial" w:cs="Arial"/>
                <w:sz w:val="16"/>
                <w:szCs w:val="16"/>
              </w:rPr>
              <w:t>-0.3-0.54</w:t>
            </w:r>
            <w:r w:rsidRPr="006B575D">
              <w:rPr>
                <w:rFonts w:ascii="Arial" w:hAnsi="Arial" w:cs="Arial"/>
                <w:sz w:val="16"/>
                <w:szCs w:val="16"/>
              </w:rPr>
              <w:t>)</w:t>
            </w:r>
          </w:p>
        </w:tc>
        <w:tc>
          <w:tcPr>
            <w:tcW w:w="2610" w:type="dxa"/>
            <w:tcBorders>
              <w:left w:val="single" w:sz="4" w:space="0" w:color="auto"/>
              <w:bottom w:val="single" w:sz="4" w:space="0" w:color="auto"/>
            </w:tcBorders>
          </w:tcPr>
          <w:p w14:paraId="2DE2814C" w14:textId="7D6128DF" w:rsidR="00ED4070" w:rsidRPr="006B575D" w:rsidRDefault="00F474A4" w:rsidP="00B95B54">
            <w:pPr>
              <w:jc w:val="center"/>
              <w:rPr>
                <w:rFonts w:ascii="Arial" w:hAnsi="Arial" w:cs="Arial"/>
                <w:sz w:val="16"/>
                <w:szCs w:val="16"/>
              </w:rPr>
            </w:pPr>
            <w:r w:rsidRPr="006B575D">
              <w:rPr>
                <w:rFonts w:ascii="Arial" w:hAnsi="Arial" w:cs="Arial"/>
                <w:sz w:val="16"/>
                <w:szCs w:val="16"/>
              </w:rPr>
              <w:t xml:space="preserve">-0.01 (0.01, </w:t>
            </w:r>
            <w:r w:rsidR="00BC3C47" w:rsidRPr="006B575D">
              <w:rPr>
                <w:rFonts w:ascii="Arial" w:hAnsi="Arial" w:cs="Arial"/>
                <w:sz w:val="16"/>
                <w:szCs w:val="16"/>
              </w:rPr>
              <w:t>-0.4-0.6</w:t>
            </w:r>
            <w:r w:rsidRPr="006B575D">
              <w:rPr>
                <w:rFonts w:ascii="Arial" w:hAnsi="Arial" w:cs="Arial"/>
                <w:sz w:val="16"/>
                <w:szCs w:val="16"/>
              </w:rPr>
              <w:t>)</w:t>
            </w:r>
          </w:p>
        </w:tc>
        <w:tc>
          <w:tcPr>
            <w:tcW w:w="1260" w:type="dxa"/>
            <w:tcBorders>
              <w:bottom w:val="single" w:sz="4" w:space="0" w:color="auto"/>
            </w:tcBorders>
          </w:tcPr>
          <w:p w14:paraId="658703AB" w14:textId="77777777" w:rsidR="00ED4070" w:rsidRPr="006B575D" w:rsidRDefault="00ED4070" w:rsidP="00B95B54">
            <w:pPr>
              <w:jc w:val="center"/>
              <w:rPr>
                <w:rFonts w:ascii="Arial" w:hAnsi="Arial" w:cs="Arial"/>
                <w:sz w:val="16"/>
                <w:szCs w:val="16"/>
              </w:rPr>
            </w:pPr>
          </w:p>
        </w:tc>
      </w:tr>
    </w:tbl>
    <w:p w14:paraId="026E9C03" w14:textId="77777777" w:rsidR="007520D9" w:rsidRPr="006B575D" w:rsidRDefault="007520D9" w:rsidP="007520D9">
      <w:pPr>
        <w:shd w:val="clear" w:color="auto" w:fill="FFFFFF"/>
        <w:spacing w:line="240" w:lineRule="auto"/>
        <w:rPr>
          <w:sz w:val="18"/>
          <w:szCs w:val="18"/>
          <w:shd w:val="clear" w:color="auto" w:fill="FFFFFF"/>
        </w:rPr>
      </w:pPr>
      <w:r w:rsidRPr="006B575D">
        <w:rPr>
          <w:sz w:val="18"/>
          <w:szCs w:val="18"/>
          <w:shd w:val="clear" w:color="auto" w:fill="FFFFFF"/>
          <w:vertAlign w:val="superscript"/>
        </w:rPr>
        <w:t>†</w:t>
      </w:r>
      <w:r w:rsidRPr="006B575D">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Pr="006B575D" w:rsidRDefault="007520D9" w:rsidP="007520D9">
      <w:pPr>
        <w:shd w:val="clear" w:color="auto" w:fill="FFFFFF"/>
        <w:spacing w:line="240" w:lineRule="auto"/>
        <w:rPr>
          <w:b/>
          <w:bCs/>
        </w:rPr>
      </w:pPr>
    </w:p>
    <w:p w14:paraId="56AC0C34" w14:textId="77777777" w:rsidR="007520D9" w:rsidRPr="006B575D" w:rsidRDefault="007520D9" w:rsidP="007520D9">
      <w:pPr>
        <w:shd w:val="clear" w:color="auto" w:fill="FFFFFF"/>
        <w:spacing w:line="240" w:lineRule="auto"/>
        <w:rPr>
          <w:b/>
          <w:bCs/>
        </w:rPr>
      </w:pPr>
    </w:p>
    <w:p w14:paraId="23781F31" w14:textId="52516D25" w:rsidR="007520D9" w:rsidRPr="006B575D" w:rsidRDefault="007520D9" w:rsidP="00693C80">
      <w:pPr>
        <w:shd w:val="clear" w:color="auto" w:fill="FFFFFF"/>
        <w:spacing w:line="240" w:lineRule="auto"/>
        <w:rPr>
          <w:b/>
          <w:bCs/>
        </w:rPr>
      </w:pPr>
    </w:p>
    <w:p w14:paraId="18D5162F" w14:textId="41C0D893" w:rsidR="007520D9" w:rsidRPr="006B575D" w:rsidRDefault="007520D9" w:rsidP="00693C80">
      <w:pPr>
        <w:shd w:val="clear" w:color="auto" w:fill="FFFFFF"/>
        <w:spacing w:line="240" w:lineRule="auto"/>
        <w:rPr>
          <w:b/>
          <w:bCs/>
        </w:rPr>
      </w:pPr>
    </w:p>
    <w:p w14:paraId="1E414E87" w14:textId="4A6E63B0" w:rsidR="007520D9" w:rsidRPr="006B575D" w:rsidRDefault="007520D9" w:rsidP="00693C80">
      <w:pPr>
        <w:shd w:val="clear" w:color="auto" w:fill="FFFFFF"/>
        <w:spacing w:line="240" w:lineRule="auto"/>
        <w:rPr>
          <w:b/>
          <w:bCs/>
        </w:rPr>
      </w:pPr>
    </w:p>
    <w:p w14:paraId="07F33E31" w14:textId="19A59CD1" w:rsidR="007520D9" w:rsidRPr="006B575D" w:rsidRDefault="007520D9" w:rsidP="00693C80">
      <w:pPr>
        <w:shd w:val="clear" w:color="auto" w:fill="FFFFFF"/>
        <w:spacing w:line="240" w:lineRule="auto"/>
        <w:rPr>
          <w:b/>
          <w:bCs/>
        </w:rPr>
      </w:pPr>
    </w:p>
    <w:p w14:paraId="017DCE8E" w14:textId="5269BBC8" w:rsidR="007520D9" w:rsidRPr="006B575D" w:rsidRDefault="007520D9" w:rsidP="00693C80">
      <w:pPr>
        <w:shd w:val="clear" w:color="auto" w:fill="FFFFFF"/>
        <w:spacing w:line="240" w:lineRule="auto"/>
        <w:rPr>
          <w:b/>
          <w:bCs/>
        </w:rPr>
      </w:pPr>
    </w:p>
    <w:p w14:paraId="3D55C937" w14:textId="1F1514F4" w:rsidR="007520D9" w:rsidRPr="006B575D" w:rsidRDefault="007520D9" w:rsidP="00693C80">
      <w:pPr>
        <w:shd w:val="clear" w:color="auto" w:fill="FFFFFF"/>
        <w:spacing w:line="240" w:lineRule="auto"/>
        <w:rPr>
          <w:b/>
          <w:bCs/>
        </w:rPr>
      </w:pPr>
    </w:p>
    <w:p w14:paraId="06D1A38B" w14:textId="337BC93D" w:rsidR="007520D9" w:rsidRPr="006B575D" w:rsidRDefault="007520D9" w:rsidP="00693C80">
      <w:pPr>
        <w:shd w:val="clear" w:color="auto" w:fill="FFFFFF"/>
        <w:spacing w:line="240" w:lineRule="auto"/>
        <w:rPr>
          <w:b/>
          <w:bCs/>
        </w:rPr>
      </w:pPr>
    </w:p>
    <w:p w14:paraId="2EE3F66A" w14:textId="7A70FE65" w:rsidR="007520D9" w:rsidRPr="006B575D" w:rsidRDefault="007520D9" w:rsidP="00693C80">
      <w:pPr>
        <w:shd w:val="clear" w:color="auto" w:fill="FFFFFF"/>
        <w:spacing w:line="240" w:lineRule="auto"/>
        <w:rPr>
          <w:b/>
          <w:bCs/>
        </w:rPr>
      </w:pPr>
    </w:p>
    <w:p w14:paraId="5BDC6A3E" w14:textId="31E4A89D" w:rsidR="007520D9" w:rsidRPr="006B575D" w:rsidRDefault="007520D9" w:rsidP="00693C80">
      <w:pPr>
        <w:shd w:val="clear" w:color="auto" w:fill="FFFFFF"/>
        <w:spacing w:line="240" w:lineRule="auto"/>
        <w:rPr>
          <w:b/>
          <w:bCs/>
        </w:rPr>
      </w:pPr>
    </w:p>
    <w:p w14:paraId="2C254B94" w14:textId="2DD13D9D" w:rsidR="007520D9" w:rsidRPr="006B575D" w:rsidRDefault="007520D9" w:rsidP="00693C80">
      <w:pPr>
        <w:shd w:val="clear" w:color="auto" w:fill="FFFFFF"/>
        <w:spacing w:line="240" w:lineRule="auto"/>
        <w:rPr>
          <w:b/>
          <w:bCs/>
        </w:rPr>
      </w:pPr>
    </w:p>
    <w:p w14:paraId="4F358980" w14:textId="53E8C8B1" w:rsidR="007520D9" w:rsidRPr="006B575D" w:rsidRDefault="007520D9" w:rsidP="00693C80">
      <w:pPr>
        <w:shd w:val="clear" w:color="auto" w:fill="FFFFFF"/>
        <w:spacing w:line="240" w:lineRule="auto"/>
        <w:rPr>
          <w:b/>
          <w:bCs/>
        </w:rPr>
      </w:pPr>
    </w:p>
    <w:p w14:paraId="24681C4C" w14:textId="34B34821" w:rsidR="007520D9" w:rsidRPr="006B575D" w:rsidRDefault="007520D9" w:rsidP="00693C80">
      <w:pPr>
        <w:shd w:val="clear" w:color="auto" w:fill="FFFFFF"/>
        <w:spacing w:line="240" w:lineRule="auto"/>
        <w:rPr>
          <w:b/>
          <w:bCs/>
        </w:rPr>
      </w:pPr>
    </w:p>
    <w:p w14:paraId="5CE2EE82" w14:textId="08E4C6E0" w:rsidR="000C69A4" w:rsidRPr="006B575D" w:rsidRDefault="000C69A4" w:rsidP="00693C80">
      <w:pPr>
        <w:shd w:val="clear" w:color="auto" w:fill="FFFFFF"/>
        <w:spacing w:line="240" w:lineRule="auto"/>
        <w:rPr>
          <w:b/>
          <w:bCs/>
        </w:rPr>
      </w:pPr>
    </w:p>
    <w:p w14:paraId="4BAE2417" w14:textId="72AB6057" w:rsidR="000C69A4" w:rsidRPr="006B575D" w:rsidRDefault="000C69A4" w:rsidP="00693C80">
      <w:pPr>
        <w:shd w:val="clear" w:color="auto" w:fill="FFFFFF"/>
        <w:spacing w:line="240" w:lineRule="auto"/>
        <w:rPr>
          <w:b/>
          <w:bCs/>
        </w:rPr>
      </w:pPr>
    </w:p>
    <w:p w14:paraId="339BEF94" w14:textId="0042D1EB" w:rsidR="000C69A4" w:rsidRPr="006B575D" w:rsidRDefault="000C69A4" w:rsidP="00693C80">
      <w:pPr>
        <w:shd w:val="clear" w:color="auto" w:fill="FFFFFF"/>
        <w:spacing w:line="240" w:lineRule="auto"/>
        <w:rPr>
          <w:b/>
          <w:bCs/>
        </w:rPr>
      </w:pPr>
    </w:p>
    <w:p w14:paraId="1E7BCCFC" w14:textId="0E73A443" w:rsidR="000C69A4" w:rsidRPr="006B575D" w:rsidRDefault="000C69A4" w:rsidP="00693C80">
      <w:pPr>
        <w:shd w:val="clear" w:color="auto" w:fill="FFFFFF"/>
        <w:spacing w:line="240" w:lineRule="auto"/>
        <w:rPr>
          <w:b/>
          <w:bCs/>
        </w:rPr>
      </w:pPr>
    </w:p>
    <w:p w14:paraId="05714F7F" w14:textId="77777777" w:rsidR="000C69A4" w:rsidRPr="006B575D" w:rsidRDefault="000C69A4" w:rsidP="00693C80">
      <w:pPr>
        <w:shd w:val="clear" w:color="auto" w:fill="FFFFFF"/>
        <w:spacing w:line="240" w:lineRule="auto"/>
        <w:rPr>
          <w:b/>
          <w:bCs/>
        </w:rPr>
      </w:pPr>
    </w:p>
    <w:p w14:paraId="605EC9BA" w14:textId="77777777" w:rsidR="007520D9" w:rsidRPr="006B575D" w:rsidRDefault="007520D9" w:rsidP="00693C80">
      <w:pPr>
        <w:shd w:val="clear" w:color="auto" w:fill="FFFFFF"/>
        <w:spacing w:line="240" w:lineRule="auto"/>
        <w:rPr>
          <w:b/>
          <w:bCs/>
        </w:rPr>
      </w:pPr>
    </w:p>
    <w:p w14:paraId="1D1CFBED" w14:textId="38DBC8A2" w:rsidR="004E19F4" w:rsidRPr="006B575D" w:rsidRDefault="004E19F4" w:rsidP="004E19F4">
      <w:pPr>
        <w:shd w:val="clear" w:color="auto" w:fill="FFFFFF"/>
        <w:spacing w:line="240" w:lineRule="auto"/>
      </w:pPr>
      <w:r w:rsidRPr="006B575D">
        <w:rPr>
          <w:b/>
          <w:bCs/>
        </w:rPr>
        <w:lastRenderedPageBreak/>
        <w:t xml:space="preserve">Table </w:t>
      </w:r>
      <w:r w:rsidR="000C69A4" w:rsidRPr="006B575D">
        <w:rPr>
          <w:b/>
          <w:bCs/>
        </w:rPr>
        <w:t>2</w:t>
      </w:r>
      <w:r w:rsidRPr="006B575D">
        <w:rPr>
          <w:b/>
          <w:bCs/>
        </w:rPr>
        <w:t xml:space="preserve">. </w:t>
      </w:r>
      <w:r w:rsidRPr="006B575D">
        <w:t xml:space="preserve">Multiple linear regression examining the </w:t>
      </w:r>
      <w:r w:rsidR="00C079F9" w:rsidRPr="006B575D">
        <w:t>durable</w:t>
      </w:r>
      <w:r w:rsidRPr="006B575D">
        <w:t xml:space="preserve"> and </w:t>
      </w:r>
      <w:r w:rsidR="00C079F9" w:rsidRPr="006B575D">
        <w:t>transient</w:t>
      </w:r>
      <w:r w:rsidRPr="006B575D">
        <w:t xml:space="preserve"> effects of number of live births on biological age </w:t>
      </w:r>
      <w:r w:rsidR="00021165" w:rsidRPr="006B575D">
        <w:t xml:space="preserve">acceleration </w:t>
      </w:r>
      <w:r w:rsidRPr="006B575D">
        <w:t>for pre</w:t>
      </w:r>
      <w:r w:rsidR="002533E0" w:rsidRPr="006B575D">
        <w:t>-</w:t>
      </w:r>
      <w:r w:rsidRPr="006B575D">
        <w:t xml:space="preserve">menopausal women only, National Health and Nutrition Examination Survey 1999-2010. Values represent coefficient estimates and 95% confidence intervals. </w:t>
      </w:r>
    </w:p>
    <w:p w14:paraId="7BF9661F" w14:textId="77777777" w:rsidR="004E19F4" w:rsidRPr="006B575D" w:rsidRDefault="004E19F4" w:rsidP="004E19F4">
      <w:pPr>
        <w:spacing w:line="240" w:lineRule="auto"/>
      </w:pPr>
      <w:r w:rsidRPr="006B575D">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6B575D" w14:paraId="766ADB9E" w14:textId="77777777" w:rsidTr="00875CA4">
        <w:trPr>
          <w:trHeight w:val="23"/>
        </w:trPr>
        <w:tc>
          <w:tcPr>
            <w:tcW w:w="2790" w:type="dxa"/>
            <w:tcBorders>
              <w:bottom w:val="single" w:sz="4" w:space="0" w:color="auto"/>
            </w:tcBorders>
          </w:tcPr>
          <w:p w14:paraId="29CFA7DA" w14:textId="77777777" w:rsidR="004E19F4" w:rsidRPr="006B575D"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LM</w:t>
            </w:r>
          </w:p>
        </w:tc>
        <w:tc>
          <w:tcPr>
            <w:tcW w:w="1981" w:type="dxa"/>
            <w:tcBorders>
              <w:bottom w:val="single" w:sz="4" w:space="0" w:color="auto"/>
            </w:tcBorders>
          </w:tcPr>
          <w:p w14:paraId="758E3340"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HD (log)</w:t>
            </w:r>
          </w:p>
        </w:tc>
        <w:tc>
          <w:tcPr>
            <w:tcW w:w="1620" w:type="dxa"/>
            <w:tcBorders>
              <w:bottom w:val="single" w:sz="4" w:space="0" w:color="auto"/>
            </w:tcBorders>
          </w:tcPr>
          <w:p w14:paraId="6B51257E"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KDM</w:t>
            </w:r>
          </w:p>
        </w:tc>
        <w:tc>
          <w:tcPr>
            <w:tcW w:w="1747" w:type="dxa"/>
            <w:tcBorders>
              <w:bottom w:val="single" w:sz="4" w:space="0" w:color="auto"/>
            </w:tcBorders>
          </w:tcPr>
          <w:p w14:paraId="23184DBC"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AL</w:t>
            </w:r>
          </w:p>
        </w:tc>
      </w:tr>
      <w:tr w:rsidR="004E19F4" w:rsidRPr="006B575D"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Primary model (</w:t>
            </w:r>
            <w:r w:rsidRPr="006B575D">
              <w:rPr>
                <w:rFonts w:ascii="Arial" w:hAnsi="Arial" w:cs="Arial"/>
                <w:b/>
                <w:bCs/>
                <w:i/>
                <w:iCs/>
                <w:sz w:val="16"/>
                <w:szCs w:val="16"/>
              </w:rPr>
              <w:t>n</w:t>
            </w:r>
            <w:r w:rsidRPr="006B575D">
              <w:rPr>
                <w:rFonts w:ascii="Arial" w:hAnsi="Arial" w:cs="Arial"/>
                <w:b/>
                <w:bCs/>
                <w:sz w:val="16"/>
                <w:szCs w:val="16"/>
              </w:rPr>
              <w:t xml:space="preserve"> = 2,166)</w:t>
            </w:r>
            <w:r w:rsidRPr="006B575D">
              <w:rPr>
                <w:rFonts w:ascii="Arial" w:hAnsi="Arial" w:cs="Arial"/>
                <w:sz w:val="16"/>
                <w:szCs w:val="16"/>
                <w:shd w:val="clear" w:color="auto" w:fill="FFFFFF"/>
                <w:vertAlign w:val="superscript"/>
              </w:rPr>
              <w:t xml:space="preserve"> †</w:t>
            </w:r>
          </w:p>
        </w:tc>
      </w:tr>
      <w:tr w:rsidR="004E19F4" w:rsidRPr="006B575D" w14:paraId="4B2A882C" w14:textId="77777777" w:rsidTr="00875CA4">
        <w:trPr>
          <w:trHeight w:val="23"/>
        </w:trPr>
        <w:tc>
          <w:tcPr>
            <w:tcW w:w="2790" w:type="dxa"/>
            <w:tcBorders>
              <w:top w:val="single" w:sz="4" w:space="0" w:color="auto"/>
            </w:tcBorders>
          </w:tcPr>
          <w:p w14:paraId="10240F40"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w:t>
            </w:r>
          </w:p>
        </w:tc>
        <w:tc>
          <w:tcPr>
            <w:tcW w:w="1794" w:type="dxa"/>
            <w:tcBorders>
              <w:top w:val="single" w:sz="4" w:space="0" w:color="auto"/>
            </w:tcBorders>
          </w:tcPr>
          <w:p w14:paraId="5269CA3D" w14:textId="77777777" w:rsidR="004E19F4" w:rsidRPr="006B575D" w:rsidRDefault="004E19F4" w:rsidP="00A949FD">
            <w:pPr>
              <w:rPr>
                <w:rFonts w:ascii="Arial" w:hAnsi="Arial" w:cs="Arial"/>
                <w:sz w:val="16"/>
                <w:szCs w:val="16"/>
              </w:rPr>
            </w:pPr>
            <w:r w:rsidRPr="006B575D">
              <w:rPr>
                <w:rFonts w:ascii="Arial" w:hAnsi="Arial" w:cs="Arial"/>
                <w:sz w:val="16"/>
                <w:szCs w:val="16"/>
              </w:rPr>
              <w:t>-0.24 (-0.70, 0.22)</w:t>
            </w:r>
          </w:p>
        </w:tc>
        <w:tc>
          <w:tcPr>
            <w:tcW w:w="1981" w:type="dxa"/>
            <w:tcBorders>
              <w:top w:val="single" w:sz="4" w:space="0" w:color="auto"/>
            </w:tcBorders>
          </w:tcPr>
          <w:p w14:paraId="3F8064A5" w14:textId="77777777" w:rsidR="004E19F4" w:rsidRPr="006B575D" w:rsidRDefault="004E19F4" w:rsidP="00A949FD">
            <w:pPr>
              <w:rPr>
                <w:rFonts w:ascii="Arial" w:hAnsi="Arial" w:cs="Arial"/>
                <w:sz w:val="16"/>
                <w:szCs w:val="16"/>
              </w:rPr>
            </w:pPr>
            <w:r w:rsidRPr="006B575D">
              <w:rPr>
                <w:rFonts w:ascii="Arial" w:hAnsi="Arial" w:cs="Arial"/>
                <w:sz w:val="16"/>
                <w:szCs w:val="16"/>
              </w:rPr>
              <w:t>0.02 (-0.03, 0.06)</w:t>
            </w:r>
          </w:p>
        </w:tc>
        <w:tc>
          <w:tcPr>
            <w:tcW w:w="1620" w:type="dxa"/>
            <w:tcBorders>
              <w:top w:val="single" w:sz="4" w:space="0" w:color="auto"/>
            </w:tcBorders>
          </w:tcPr>
          <w:p w14:paraId="3BA1E9A7" w14:textId="77777777" w:rsidR="004E19F4" w:rsidRPr="006B575D" w:rsidRDefault="004E19F4" w:rsidP="00A949FD">
            <w:pPr>
              <w:rPr>
                <w:rFonts w:ascii="Arial" w:hAnsi="Arial" w:cs="Arial"/>
                <w:sz w:val="16"/>
                <w:szCs w:val="16"/>
              </w:rPr>
            </w:pPr>
            <w:r w:rsidRPr="006B575D">
              <w:rPr>
                <w:rFonts w:ascii="Arial" w:hAnsi="Arial" w:cs="Arial"/>
                <w:sz w:val="16"/>
                <w:szCs w:val="16"/>
              </w:rPr>
              <w:t>-0.51 (-1.53, 0.51)</w:t>
            </w:r>
          </w:p>
        </w:tc>
        <w:tc>
          <w:tcPr>
            <w:tcW w:w="1747" w:type="dxa"/>
            <w:tcBorders>
              <w:top w:val="single" w:sz="4" w:space="0" w:color="auto"/>
            </w:tcBorders>
          </w:tcPr>
          <w:p w14:paraId="4D8D9218" w14:textId="77777777" w:rsidR="004E19F4" w:rsidRPr="006B575D" w:rsidRDefault="004E19F4" w:rsidP="00A949FD">
            <w:pPr>
              <w:rPr>
                <w:rFonts w:ascii="Arial" w:hAnsi="Arial" w:cs="Arial"/>
                <w:sz w:val="16"/>
                <w:szCs w:val="16"/>
              </w:rPr>
            </w:pPr>
            <w:r w:rsidRPr="006B575D">
              <w:rPr>
                <w:rFonts w:ascii="Arial" w:hAnsi="Arial" w:cs="Arial"/>
                <w:sz w:val="16"/>
                <w:szCs w:val="16"/>
              </w:rPr>
              <w:t>-0.01 (-0.02, 0.01)</w:t>
            </w:r>
          </w:p>
        </w:tc>
      </w:tr>
      <w:tr w:rsidR="004E19F4" w:rsidRPr="006B575D" w14:paraId="3808BA27" w14:textId="77777777" w:rsidTr="00875CA4">
        <w:trPr>
          <w:trHeight w:val="23"/>
        </w:trPr>
        <w:tc>
          <w:tcPr>
            <w:tcW w:w="2790" w:type="dxa"/>
          </w:tcPr>
          <w:p w14:paraId="39B6D794"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w:t>
            </w:r>
          </w:p>
        </w:tc>
        <w:tc>
          <w:tcPr>
            <w:tcW w:w="1794" w:type="dxa"/>
          </w:tcPr>
          <w:p w14:paraId="36790934" w14:textId="77777777" w:rsidR="004E19F4" w:rsidRPr="006B575D" w:rsidRDefault="004E19F4" w:rsidP="00A949FD">
            <w:pPr>
              <w:rPr>
                <w:rFonts w:ascii="Arial" w:hAnsi="Arial" w:cs="Arial"/>
                <w:sz w:val="16"/>
                <w:szCs w:val="16"/>
              </w:rPr>
            </w:pPr>
            <w:r w:rsidRPr="006B575D">
              <w:rPr>
                <w:rFonts w:ascii="Arial" w:hAnsi="Arial" w:cs="Arial"/>
                <w:sz w:val="16"/>
                <w:szCs w:val="16"/>
              </w:rPr>
              <w:t>0.04 (-0.06, 0.13)</w:t>
            </w:r>
          </w:p>
        </w:tc>
        <w:tc>
          <w:tcPr>
            <w:tcW w:w="1981" w:type="dxa"/>
          </w:tcPr>
          <w:p w14:paraId="5C62F1D2" w14:textId="77777777" w:rsidR="004E19F4" w:rsidRPr="006B575D" w:rsidRDefault="004E19F4" w:rsidP="00A949FD">
            <w:pPr>
              <w:rPr>
                <w:rFonts w:ascii="Arial" w:hAnsi="Arial" w:cs="Arial"/>
                <w:sz w:val="16"/>
                <w:szCs w:val="16"/>
              </w:rPr>
            </w:pPr>
            <w:r w:rsidRPr="006B575D">
              <w:rPr>
                <w:rFonts w:ascii="Arial" w:hAnsi="Arial" w:cs="Arial"/>
                <w:sz w:val="16"/>
                <w:szCs w:val="16"/>
              </w:rPr>
              <w:t>-0.01 (-0.02, 0.004)</w:t>
            </w:r>
          </w:p>
        </w:tc>
        <w:tc>
          <w:tcPr>
            <w:tcW w:w="1620" w:type="dxa"/>
          </w:tcPr>
          <w:p w14:paraId="5AE3EEA3" w14:textId="77777777" w:rsidR="004E19F4" w:rsidRPr="006B575D" w:rsidRDefault="004E19F4" w:rsidP="00A949FD">
            <w:pPr>
              <w:rPr>
                <w:rFonts w:ascii="Arial" w:hAnsi="Arial" w:cs="Arial"/>
                <w:sz w:val="16"/>
                <w:szCs w:val="16"/>
              </w:rPr>
            </w:pPr>
            <w:r w:rsidRPr="006B575D">
              <w:rPr>
                <w:rFonts w:ascii="Arial" w:hAnsi="Arial" w:cs="Arial"/>
                <w:sz w:val="16"/>
                <w:szCs w:val="16"/>
              </w:rPr>
              <w:t>0.03 (-0.18, 0.24)</w:t>
            </w:r>
          </w:p>
        </w:tc>
        <w:tc>
          <w:tcPr>
            <w:tcW w:w="1747" w:type="dxa"/>
          </w:tcPr>
          <w:p w14:paraId="7546CBE3" w14:textId="77777777" w:rsidR="004E19F4" w:rsidRPr="006B575D" w:rsidRDefault="004E19F4" w:rsidP="00A949FD">
            <w:pPr>
              <w:rPr>
                <w:rFonts w:ascii="Arial" w:hAnsi="Arial" w:cs="Arial"/>
                <w:sz w:val="16"/>
                <w:szCs w:val="16"/>
              </w:rPr>
            </w:pPr>
            <w:r w:rsidRPr="006B575D">
              <w:rPr>
                <w:rFonts w:ascii="Arial" w:hAnsi="Arial" w:cs="Arial"/>
                <w:sz w:val="16"/>
                <w:szCs w:val="16"/>
              </w:rPr>
              <w:t>0.001 (-0.002, 0.003)</w:t>
            </w:r>
          </w:p>
        </w:tc>
      </w:tr>
      <w:tr w:rsidR="004E19F4" w:rsidRPr="006B575D"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6B575D" w:rsidRDefault="004E19F4" w:rsidP="00A949FD">
            <w:pPr>
              <w:rPr>
                <w:rFonts w:ascii="Arial" w:hAnsi="Arial" w:cs="Arial"/>
                <w:sz w:val="16"/>
                <w:szCs w:val="16"/>
              </w:rPr>
            </w:pPr>
            <w:r w:rsidRPr="006B575D">
              <w:rPr>
                <w:rFonts w:ascii="Arial" w:hAnsi="Arial" w:cs="Arial"/>
                <w:b/>
                <w:bCs/>
                <w:sz w:val="16"/>
                <w:szCs w:val="16"/>
              </w:rPr>
              <w:t>Sensitivity analysis 1 (n = 2,686)</w:t>
            </w:r>
            <w:r w:rsidRPr="006B575D">
              <w:rPr>
                <w:rFonts w:ascii="Arial" w:hAnsi="Arial" w:cs="Arial"/>
                <w:sz w:val="16"/>
                <w:szCs w:val="16"/>
                <w:shd w:val="clear" w:color="auto" w:fill="FFFFFF"/>
                <w:vertAlign w:val="superscript"/>
              </w:rPr>
              <w:t xml:space="preserve"> ††</w:t>
            </w:r>
          </w:p>
        </w:tc>
      </w:tr>
      <w:tr w:rsidR="004E19F4" w:rsidRPr="006B575D" w14:paraId="2E36AC1B" w14:textId="77777777" w:rsidTr="00875CA4">
        <w:trPr>
          <w:trHeight w:val="23"/>
        </w:trPr>
        <w:tc>
          <w:tcPr>
            <w:tcW w:w="2790" w:type="dxa"/>
            <w:tcBorders>
              <w:top w:val="single" w:sz="4" w:space="0" w:color="auto"/>
            </w:tcBorders>
          </w:tcPr>
          <w:p w14:paraId="6E4BDC30"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w:t>
            </w:r>
          </w:p>
        </w:tc>
        <w:tc>
          <w:tcPr>
            <w:tcW w:w="1794" w:type="dxa"/>
            <w:tcBorders>
              <w:top w:val="single" w:sz="4" w:space="0" w:color="auto"/>
            </w:tcBorders>
          </w:tcPr>
          <w:p w14:paraId="6F4B0283" w14:textId="77777777" w:rsidR="004E19F4" w:rsidRPr="006B575D" w:rsidRDefault="004E19F4" w:rsidP="00A949FD">
            <w:pPr>
              <w:rPr>
                <w:rFonts w:ascii="Arial" w:hAnsi="Arial" w:cs="Arial"/>
                <w:sz w:val="16"/>
                <w:szCs w:val="16"/>
              </w:rPr>
            </w:pPr>
            <w:r w:rsidRPr="006B575D">
              <w:rPr>
                <w:rFonts w:ascii="Arial" w:hAnsi="Arial" w:cs="Arial"/>
                <w:sz w:val="16"/>
                <w:szCs w:val="16"/>
              </w:rPr>
              <w:t>0.03 (-0.46, 0.52)</w:t>
            </w:r>
          </w:p>
        </w:tc>
        <w:tc>
          <w:tcPr>
            <w:tcW w:w="1981" w:type="dxa"/>
            <w:tcBorders>
              <w:top w:val="single" w:sz="4" w:space="0" w:color="auto"/>
            </w:tcBorders>
          </w:tcPr>
          <w:p w14:paraId="2BAC5D24" w14:textId="77777777" w:rsidR="004E19F4" w:rsidRPr="006B575D" w:rsidRDefault="004E19F4" w:rsidP="00A949FD">
            <w:pPr>
              <w:rPr>
                <w:rFonts w:ascii="Arial" w:hAnsi="Arial" w:cs="Arial"/>
                <w:sz w:val="16"/>
                <w:szCs w:val="16"/>
              </w:rPr>
            </w:pPr>
            <w:r w:rsidRPr="006B575D">
              <w:rPr>
                <w:rFonts w:ascii="Arial" w:hAnsi="Arial" w:cs="Arial"/>
                <w:sz w:val="16"/>
                <w:szCs w:val="16"/>
              </w:rPr>
              <w:t>0.01 (-0.03, 0.05)</w:t>
            </w:r>
          </w:p>
        </w:tc>
        <w:tc>
          <w:tcPr>
            <w:tcW w:w="1620" w:type="dxa"/>
            <w:tcBorders>
              <w:top w:val="single" w:sz="4" w:space="0" w:color="auto"/>
            </w:tcBorders>
          </w:tcPr>
          <w:p w14:paraId="0E7E0A2B" w14:textId="77777777" w:rsidR="004E19F4" w:rsidRPr="006B575D" w:rsidRDefault="004E19F4" w:rsidP="00A949FD">
            <w:pPr>
              <w:rPr>
                <w:rFonts w:ascii="Arial" w:hAnsi="Arial" w:cs="Arial"/>
                <w:sz w:val="16"/>
                <w:szCs w:val="16"/>
              </w:rPr>
            </w:pPr>
            <w:r w:rsidRPr="006B575D">
              <w:rPr>
                <w:rFonts w:ascii="Arial" w:hAnsi="Arial" w:cs="Arial"/>
                <w:sz w:val="16"/>
                <w:szCs w:val="16"/>
              </w:rPr>
              <w:t>-0.24 (-1.15, 0.67)</w:t>
            </w:r>
          </w:p>
        </w:tc>
        <w:tc>
          <w:tcPr>
            <w:tcW w:w="1747" w:type="dxa"/>
            <w:tcBorders>
              <w:top w:val="single" w:sz="4" w:space="0" w:color="auto"/>
            </w:tcBorders>
          </w:tcPr>
          <w:p w14:paraId="1458D02B" w14:textId="77777777" w:rsidR="004E19F4" w:rsidRPr="006B575D" w:rsidRDefault="004E19F4" w:rsidP="00A949FD">
            <w:pPr>
              <w:rPr>
                <w:rFonts w:ascii="Arial" w:hAnsi="Arial" w:cs="Arial"/>
                <w:sz w:val="16"/>
                <w:szCs w:val="16"/>
              </w:rPr>
            </w:pPr>
            <w:r w:rsidRPr="006B575D">
              <w:rPr>
                <w:rFonts w:ascii="Arial" w:hAnsi="Arial" w:cs="Arial"/>
                <w:sz w:val="16"/>
                <w:szCs w:val="16"/>
              </w:rPr>
              <w:t>-0.004 (-0.02, 0.01)</w:t>
            </w:r>
          </w:p>
        </w:tc>
      </w:tr>
      <w:tr w:rsidR="004E19F4" w:rsidRPr="006B575D" w14:paraId="1F495B7B" w14:textId="77777777" w:rsidTr="00875CA4">
        <w:trPr>
          <w:trHeight w:val="23"/>
        </w:trPr>
        <w:tc>
          <w:tcPr>
            <w:tcW w:w="2790" w:type="dxa"/>
            <w:tcBorders>
              <w:bottom w:val="single" w:sz="4" w:space="0" w:color="auto"/>
            </w:tcBorders>
          </w:tcPr>
          <w:p w14:paraId="02756147"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w:t>
            </w:r>
          </w:p>
        </w:tc>
        <w:tc>
          <w:tcPr>
            <w:tcW w:w="1794" w:type="dxa"/>
            <w:tcBorders>
              <w:bottom w:val="single" w:sz="4" w:space="0" w:color="auto"/>
            </w:tcBorders>
          </w:tcPr>
          <w:p w14:paraId="6C218F9F" w14:textId="77777777" w:rsidR="004E19F4" w:rsidRPr="006B575D" w:rsidRDefault="004E19F4" w:rsidP="00A949FD">
            <w:pPr>
              <w:rPr>
                <w:rFonts w:ascii="Arial" w:hAnsi="Arial" w:cs="Arial"/>
                <w:sz w:val="16"/>
                <w:szCs w:val="16"/>
              </w:rPr>
            </w:pPr>
            <w:r w:rsidRPr="006B575D">
              <w:rPr>
                <w:rFonts w:ascii="Arial" w:hAnsi="Arial" w:cs="Arial"/>
                <w:sz w:val="16"/>
                <w:szCs w:val="16"/>
              </w:rPr>
              <w:t>0.06 (-0.04, 0.17)</w:t>
            </w:r>
          </w:p>
        </w:tc>
        <w:tc>
          <w:tcPr>
            <w:tcW w:w="1981" w:type="dxa"/>
            <w:tcBorders>
              <w:bottom w:val="single" w:sz="4" w:space="0" w:color="auto"/>
            </w:tcBorders>
          </w:tcPr>
          <w:p w14:paraId="5E8FB4C2" w14:textId="77777777" w:rsidR="004E19F4" w:rsidRPr="006B575D" w:rsidRDefault="004E19F4" w:rsidP="00A949FD">
            <w:pPr>
              <w:rPr>
                <w:rFonts w:ascii="Arial" w:hAnsi="Arial" w:cs="Arial"/>
                <w:sz w:val="16"/>
                <w:szCs w:val="16"/>
              </w:rPr>
            </w:pPr>
            <w:r w:rsidRPr="006B575D">
              <w:rPr>
                <w:rFonts w:ascii="Arial" w:hAnsi="Arial" w:cs="Arial"/>
                <w:sz w:val="16"/>
                <w:szCs w:val="16"/>
              </w:rPr>
              <w:t>-0.003 (-0.01, 0.01)</w:t>
            </w:r>
          </w:p>
        </w:tc>
        <w:tc>
          <w:tcPr>
            <w:tcW w:w="1620" w:type="dxa"/>
            <w:tcBorders>
              <w:bottom w:val="single" w:sz="4" w:space="0" w:color="auto"/>
            </w:tcBorders>
          </w:tcPr>
          <w:p w14:paraId="4A1659E8" w14:textId="77777777" w:rsidR="004E19F4" w:rsidRPr="006B575D" w:rsidRDefault="004E19F4" w:rsidP="00A949FD">
            <w:pPr>
              <w:rPr>
                <w:rFonts w:ascii="Arial" w:hAnsi="Arial" w:cs="Arial"/>
                <w:sz w:val="16"/>
                <w:szCs w:val="16"/>
              </w:rPr>
            </w:pPr>
            <w:r w:rsidRPr="006B575D">
              <w:rPr>
                <w:rFonts w:ascii="Arial" w:hAnsi="Arial" w:cs="Arial"/>
                <w:sz w:val="16"/>
                <w:szCs w:val="16"/>
              </w:rPr>
              <w:t>0.05 (-0.13, 0.24)</w:t>
            </w:r>
          </w:p>
        </w:tc>
        <w:tc>
          <w:tcPr>
            <w:tcW w:w="1747" w:type="dxa"/>
            <w:tcBorders>
              <w:bottom w:val="single" w:sz="4" w:space="0" w:color="auto"/>
            </w:tcBorders>
          </w:tcPr>
          <w:p w14:paraId="5683F48B" w14:textId="77777777" w:rsidR="004E19F4" w:rsidRPr="006B575D" w:rsidRDefault="004E19F4" w:rsidP="00A949FD">
            <w:pPr>
              <w:rPr>
                <w:rFonts w:ascii="Arial" w:hAnsi="Arial" w:cs="Arial"/>
                <w:sz w:val="16"/>
                <w:szCs w:val="16"/>
              </w:rPr>
            </w:pPr>
            <w:r w:rsidRPr="006B575D">
              <w:rPr>
                <w:rFonts w:ascii="Arial" w:hAnsi="Arial" w:cs="Arial"/>
                <w:sz w:val="16"/>
                <w:szCs w:val="16"/>
              </w:rPr>
              <w:t>0.002 (-0.001, 0.01)</w:t>
            </w:r>
          </w:p>
        </w:tc>
      </w:tr>
      <w:tr w:rsidR="004E19F4" w:rsidRPr="006B575D"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6B575D" w:rsidRDefault="004E19F4" w:rsidP="00A949FD">
            <w:pPr>
              <w:rPr>
                <w:rFonts w:ascii="Arial" w:hAnsi="Arial" w:cs="Arial"/>
                <w:sz w:val="16"/>
                <w:szCs w:val="16"/>
              </w:rPr>
            </w:pPr>
            <w:r w:rsidRPr="006B575D">
              <w:rPr>
                <w:rFonts w:ascii="Arial" w:hAnsi="Arial" w:cs="Arial"/>
                <w:b/>
                <w:bCs/>
                <w:sz w:val="16"/>
                <w:szCs w:val="16"/>
              </w:rPr>
              <w:t>Sensitivity analysis 2 (n = 1,617)</w:t>
            </w:r>
            <w:r w:rsidRPr="006B575D">
              <w:rPr>
                <w:rFonts w:ascii="Arial" w:hAnsi="Arial" w:cs="Arial"/>
                <w:sz w:val="16"/>
                <w:szCs w:val="16"/>
                <w:shd w:val="clear" w:color="auto" w:fill="FFFFFF"/>
                <w:vertAlign w:val="superscript"/>
              </w:rPr>
              <w:t xml:space="preserve"> †</w:t>
            </w:r>
          </w:p>
        </w:tc>
      </w:tr>
      <w:tr w:rsidR="004E19F4" w:rsidRPr="006B575D" w14:paraId="1ECE7FB8" w14:textId="77777777" w:rsidTr="00875CA4">
        <w:trPr>
          <w:trHeight w:val="23"/>
        </w:trPr>
        <w:tc>
          <w:tcPr>
            <w:tcW w:w="2790" w:type="dxa"/>
            <w:tcBorders>
              <w:top w:val="single" w:sz="4" w:space="0" w:color="auto"/>
            </w:tcBorders>
          </w:tcPr>
          <w:p w14:paraId="322F4005"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w:t>
            </w:r>
          </w:p>
        </w:tc>
        <w:tc>
          <w:tcPr>
            <w:tcW w:w="1794" w:type="dxa"/>
            <w:tcBorders>
              <w:top w:val="single" w:sz="4" w:space="0" w:color="auto"/>
            </w:tcBorders>
          </w:tcPr>
          <w:p w14:paraId="59B7C3ED" w14:textId="77777777" w:rsidR="004E19F4" w:rsidRPr="006B575D" w:rsidRDefault="004E19F4" w:rsidP="00A949FD">
            <w:pPr>
              <w:rPr>
                <w:rFonts w:ascii="Arial" w:hAnsi="Arial" w:cs="Arial"/>
                <w:sz w:val="16"/>
                <w:szCs w:val="16"/>
              </w:rPr>
            </w:pPr>
            <w:r w:rsidRPr="006B575D">
              <w:rPr>
                <w:rFonts w:ascii="Arial" w:hAnsi="Arial" w:cs="Arial"/>
                <w:sz w:val="16"/>
                <w:szCs w:val="16"/>
              </w:rPr>
              <w:t>-0.04 (-1.66, 1.57)</w:t>
            </w:r>
          </w:p>
        </w:tc>
        <w:tc>
          <w:tcPr>
            <w:tcW w:w="1981" w:type="dxa"/>
            <w:tcBorders>
              <w:top w:val="single" w:sz="4" w:space="0" w:color="auto"/>
            </w:tcBorders>
          </w:tcPr>
          <w:p w14:paraId="79E43934" w14:textId="77777777" w:rsidR="004E19F4" w:rsidRPr="006B575D" w:rsidRDefault="004E19F4" w:rsidP="00A949FD">
            <w:pPr>
              <w:rPr>
                <w:rFonts w:ascii="Arial" w:hAnsi="Arial" w:cs="Arial"/>
                <w:sz w:val="16"/>
                <w:szCs w:val="16"/>
              </w:rPr>
            </w:pPr>
            <w:r w:rsidRPr="006B575D">
              <w:rPr>
                <w:rFonts w:ascii="Arial" w:hAnsi="Arial" w:cs="Arial"/>
                <w:sz w:val="16"/>
                <w:szCs w:val="16"/>
              </w:rPr>
              <w:t>0.08 (-0.06, 0.22)</w:t>
            </w:r>
          </w:p>
        </w:tc>
        <w:tc>
          <w:tcPr>
            <w:tcW w:w="1620" w:type="dxa"/>
            <w:tcBorders>
              <w:top w:val="single" w:sz="4" w:space="0" w:color="auto"/>
            </w:tcBorders>
          </w:tcPr>
          <w:p w14:paraId="4373857D" w14:textId="77777777" w:rsidR="004E19F4" w:rsidRPr="006B575D" w:rsidRDefault="004E19F4" w:rsidP="00A949FD">
            <w:pPr>
              <w:rPr>
                <w:rFonts w:ascii="Arial" w:hAnsi="Arial" w:cs="Arial"/>
                <w:sz w:val="16"/>
                <w:szCs w:val="16"/>
              </w:rPr>
            </w:pPr>
            <w:r w:rsidRPr="006B575D">
              <w:rPr>
                <w:rFonts w:ascii="Arial" w:hAnsi="Arial" w:cs="Arial"/>
                <w:sz w:val="16"/>
                <w:szCs w:val="16"/>
              </w:rPr>
              <w:t>-1.34 (-4.24, 1.56)</w:t>
            </w:r>
          </w:p>
        </w:tc>
        <w:tc>
          <w:tcPr>
            <w:tcW w:w="1747" w:type="dxa"/>
            <w:tcBorders>
              <w:top w:val="single" w:sz="4" w:space="0" w:color="auto"/>
            </w:tcBorders>
          </w:tcPr>
          <w:p w14:paraId="41D4E127" w14:textId="77777777" w:rsidR="004E19F4" w:rsidRPr="006B575D" w:rsidRDefault="004E19F4" w:rsidP="00A949FD">
            <w:pPr>
              <w:rPr>
                <w:rFonts w:ascii="Arial" w:hAnsi="Arial" w:cs="Arial"/>
                <w:sz w:val="16"/>
                <w:szCs w:val="16"/>
              </w:rPr>
            </w:pPr>
            <w:r w:rsidRPr="006B575D">
              <w:rPr>
                <w:rFonts w:ascii="Arial" w:hAnsi="Arial" w:cs="Arial"/>
                <w:sz w:val="16"/>
                <w:szCs w:val="16"/>
              </w:rPr>
              <w:t>-0.04 (-0.08, 0.01)</w:t>
            </w:r>
          </w:p>
        </w:tc>
      </w:tr>
      <w:tr w:rsidR="004E19F4" w:rsidRPr="006B575D" w14:paraId="634AE1E2" w14:textId="77777777" w:rsidTr="00875CA4">
        <w:trPr>
          <w:trHeight w:val="23"/>
        </w:trPr>
        <w:tc>
          <w:tcPr>
            <w:tcW w:w="2790" w:type="dxa"/>
          </w:tcPr>
          <w:p w14:paraId="7306748E"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w:t>
            </w:r>
          </w:p>
        </w:tc>
        <w:tc>
          <w:tcPr>
            <w:tcW w:w="1794" w:type="dxa"/>
          </w:tcPr>
          <w:p w14:paraId="59B26D10" w14:textId="77777777" w:rsidR="004E19F4" w:rsidRPr="006B575D" w:rsidRDefault="004E19F4" w:rsidP="00A949FD">
            <w:pPr>
              <w:rPr>
                <w:rFonts w:ascii="Arial" w:hAnsi="Arial" w:cs="Arial"/>
                <w:sz w:val="16"/>
                <w:szCs w:val="16"/>
              </w:rPr>
            </w:pPr>
            <w:r w:rsidRPr="006B575D">
              <w:rPr>
                <w:rFonts w:ascii="Arial" w:hAnsi="Arial" w:cs="Arial"/>
                <w:sz w:val="16"/>
                <w:szCs w:val="16"/>
              </w:rPr>
              <w:t>0.01 (-0.26, 0.29)</w:t>
            </w:r>
          </w:p>
        </w:tc>
        <w:tc>
          <w:tcPr>
            <w:tcW w:w="1981" w:type="dxa"/>
          </w:tcPr>
          <w:p w14:paraId="2D0ED3DC" w14:textId="77777777" w:rsidR="004E19F4" w:rsidRPr="006B575D" w:rsidRDefault="004E19F4" w:rsidP="00A949FD">
            <w:pPr>
              <w:rPr>
                <w:rFonts w:ascii="Arial" w:hAnsi="Arial" w:cs="Arial"/>
                <w:sz w:val="16"/>
                <w:szCs w:val="16"/>
              </w:rPr>
            </w:pPr>
            <w:r w:rsidRPr="006B575D">
              <w:rPr>
                <w:rFonts w:ascii="Arial" w:hAnsi="Arial" w:cs="Arial"/>
                <w:sz w:val="16"/>
                <w:szCs w:val="16"/>
              </w:rPr>
              <w:t>-0.02 (-0.04, 0.001)</w:t>
            </w:r>
          </w:p>
        </w:tc>
        <w:tc>
          <w:tcPr>
            <w:tcW w:w="1620" w:type="dxa"/>
          </w:tcPr>
          <w:p w14:paraId="2CE2589E" w14:textId="77777777" w:rsidR="004E19F4" w:rsidRPr="006B575D" w:rsidRDefault="004E19F4" w:rsidP="00A949FD">
            <w:pPr>
              <w:rPr>
                <w:rFonts w:ascii="Arial" w:hAnsi="Arial" w:cs="Arial"/>
                <w:sz w:val="16"/>
                <w:szCs w:val="16"/>
              </w:rPr>
            </w:pPr>
            <w:r w:rsidRPr="006B575D">
              <w:rPr>
                <w:rFonts w:ascii="Arial" w:hAnsi="Arial" w:cs="Arial"/>
                <w:sz w:val="16"/>
                <w:szCs w:val="16"/>
              </w:rPr>
              <w:t>0.10 (-0.40, 0.60)</w:t>
            </w:r>
          </w:p>
        </w:tc>
        <w:tc>
          <w:tcPr>
            <w:tcW w:w="1747" w:type="dxa"/>
          </w:tcPr>
          <w:p w14:paraId="026E79FF" w14:textId="77777777" w:rsidR="004E19F4" w:rsidRPr="006B575D" w:rsidRDefault="004E19F4" w:rsidP="00A949FD">
            <w:pPr>
              <w:rPr>
                <w:rFonts w:ascii="Arial" w:hAnsi="Arial" w:cs="Arial"/>
                <w:sz w:val="16"/>
                <w:szCs w:val="16"/>
              </w:rPr>
            </w:pPr>
            <w:r w:rsidRPr="006B575D">
              <w:rPr>
                <w:rFonts w:ascii="Arial" w:hAnsi="Arial" w:cs="Arial"/>
                <w:sz w:val="16"/>
                <w:szCs w:val="16"/>
              </w:rPr>
              <w:t>0.005 (-0.002, 0.01)</w:t>
            </w:r>
          </w:p>
        </w:tc>
      </w:tr>
      <w:tr w:rsidR="004E19F4" w:rsidRPr="006B575D" w14:paraId="765D8513" w14:textId="77777777" w:rsidTr="00875CA4">
        <w:trPr>
          <w:trHeight w:val="23"/>
        </w:trPr>
        <w:tc>
          <w:tcPr>
            <w:tcW w:w="2790" w:type="dxa"/>
          </w:tcPr>
          <w:p w14:paraId="4AC8886D"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 xml:space="preserve">Years since last birth </w:t>
            </w:r>
          </w:p>
        </w:tc>
        <w:tc>
          <w:tcPr>
            <w:tcW w:w="1794" w:type="dxa"/>
          </w:tcPr>
          <w:p w14:paraId="0A26889B" w14:textId="77777777" w:rsidR="004E19F4" w:rsidRPr="006B575D" w:rsidRDefault="004E19F4" w:rsidP="00A949FD">
            <w:pPr>
              <w:rPr>
                <w:rFonts w:ascii="Arial" w:hAnsi="Arial" w:cs="Arial"/>
                <w:sz w:val="16"/>
                <w:szCs w:val="16"/>
              </w:rPr>
            </w:pPr>
            <w:r w:rsidRPr="006B575D">
              <w:rPr>
                <w:rFonts w:ascii="Arial" w:hAnsi="Arial" w:cs="Arial"/>
                <w:sz w:val="16"/>
                <w:szCs w:val="16"/>
              </w:rPr>
              <w:t>0.02 (-0.14, 0.19)</w:t>
            </w:r>
          </w:p>
        </w:tc>
        <w:tc>
          <w:tcPr>
            <w:tcW w:w="1981" w:type="dxa"/>
          </w:tcPr>
          <w:p w14:paraId="03534EF8" w14:textId="77777777" w:rsidR="004E19F4" w:rsidRPr="006B575D" w:rsidRDefault="004E19F4" w:rsidP="00A949FD">
            <w:pPr>
              <w:rPr>
                <w:rFonts w:ascii="Arial" w:hAnsi="Arial" w:cs="Arial"/>
                <w:sz w:val="16"/>
                <w:szCs w:val="16"/>
              </w:rPr>
            </w:pPr>
            <w:r w:rsidRPr="006B575D">
              <w:rPr>
                <w:rFonts w:ascii="Arial" w:hAnsi="Arial" w:cs="Arial"/>
                <w:sz w:val="16"/>
                <w:szCs w:val="16"/>
              </w:rPr>
              <w:t xml:space="preserve">-0.01 (0.02, 0.01) </w:t>
            </w:r>
          </w:p>
        </w:tc>
        <w:tc>
          <w:tcPr>
            <w:tcW w:w="1620" w:type="dxa"/>
          </w:tcPr>
          <w:p w14:paraId="2E093D76" w14:textId="77777777" w:rsidR="004E19F4" w:rsidRPr="006B575D" w:rsidRDefault="004E19F4" w:rsidP="00A949FD">
            <w:pPr>
              <w:rPr>
                <w:rFonts w:ascii="Arial" w:hAnsi="Arial" w:cs="Arial"/>
                <w:sz w:val="16"/>
                <w:szCs w:val="16"/>
              </w:rPr>
            </w:pPr>
            <w:r w:rsidRPr="006B575D">
              <w:rPr>
                <w:rFonts w:ascii="Arial" w:hAnsi="Arial" w:cs="Arial"/>
                <w:sz w:val="16"/>
                <w:szCs w:val="16"/>
              </w:rPr>
              <w:t>-0.004 (-0.36, 0.36)</w:t>
            </w:r>
          </w:p>
        </w:tc>
        <w:tc>
          <w:tcPr>
            <w:tcW w:w="1747" w:type="dxa"/>
          </w:tcPr>
          <w:p w14:paraId="3387A8A5" w14:textId="77777777" w:rsidR="004E19F4" w:rsidRPr="006B575D" w:rsidRDefault="004E19F4" w:rsidP="00A949FD">
            <w:pPr>
              <w:rPr>
                <w:rFonts w:ascii="Arial" w:hAnsi="Arial" w:cs="Arial"/>
                <w:sz w:val="16"/>
                <w:szCs w:val="16"/>
              </w:rPr>
            </w:pPr>
            <w:r w:rsidRPr="006B575D">
              <w:rPr>
                <w:rFonts w:ascii="Arial" w:hAnsi="Arial" w:cs="Arial"/>
                <w:sz w:val="16"/>
                <w:szCs w:val="16"/>
              </w:rPr>
              <w:t>-0.002 (-0.01, 0.003)</w:t>
            </w:r>
          </w:p>
        </w:tc>
      </w:tr>
      <w:tr w:rsidR="004E19F4" w:rsidRPr="006B575D" w14:paraId="6315E170" w14:textId="77777777" w:rsidTr="00875CA4">
        <w:trPr>
          <w:trHeight w:val="23"/>
        </w:trPr>
        <w:tc>
          <w:tcPr>
            <w:tcW w:w="2790" w:type="dxa"/>
          </w:tcPr>
          <w:p w14:paraId="7CC72083"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 x years since last live birth</w:t>
            </w:r>
          </w:p>
        </w:tc>
        <w:tc>
          <w:tcPr>
            <w:tcW w:w="1794" w:type="dxa"/>
          </w:tcPr>
          <w:p w14:paraId="7E37301B" w14:textId="77777777" w:rsidR="004E19F4" w:rsidRPr="006B575D" w:rsidRDefault="004E19F4" w:rsidP="00A949FD">
            <w:pPr>
              <w:rPr>
                <w:rFonts w:ascii="Arial" w:hAnsi="Arial" w:cs="Arial"/>
                <w:sz w:val="16"/>
                <w:szCs w:val="16"/>
              </w:rPr>
            </w:pPr>
            <w:r w:rsidRPr="006B575D">
              <w:rPr>
                <w:rFonts w:ascii="Arial" w:hAnsi="Arial" w:cs="Arial"/>
                <w:sz w:val="16"/>
                <w:szCs w:val="16"/>
              </w:rPr>
              <w:t>0.03 (-0.10, 0.17)</w:t>
            </w:r>
          </w:p>
        </w:tc>
        <w:tc>
          <w:tcPr>
            <w:tcW w:w="1981" w:type="dxa"/>
          </w:tcPr>
          <w:p w14:paraId="263D7904" w14:textId="77777777" w:rsidR="004E19F4" w:rsidRPr="006B575D" w:rsidRDefault="004E19F4" w:rsidP="00A949FD">
            <w:pPr>
              <w:rPr>
                <w:rFonts w:ascii="Arial" w:hAnsi="Arial" w:cs="Arial"/>
                <w:sz w:val="16"/>
                <w:szCs w:val="16"/>
              </w:rPr>
            </w:pPr>
            <w:r w:rsidRPr="006B575D">
              <w:rPr>
                <w:rFonts w:ascii="Arial" w:hAnsi="Arial" w:cs="Arial"/>
                <w:sz w:val="16"/>
                <w:szCs w:val="16"/>
              </w:rPr>
              <w:t>-0.001 (-0.01, 0.01)</w:t>
            </w:r>
          </w:p>
        </w:tc>
        <w:tc>
          <w:tcPr>
            <w:tcW w:w="1620" w:type="dxa"/>
          </w:tcPr>
          <w:p w14:paraId="1F585603" w14:textId="77777777" w:rsidR="004E19F4" w:rsidRPr="006B575D" w:rsidRDefault="004E19F4" w:rsidP="00A949FD">
            <w:pPr>
              <w:rPr>
                <w:rFonts w:ascii="Arial" w:hAnsi="Arial" w:cs="Arial"/>
                <w:sz w:val="16"/>
                <w:szCs w:val="16"/>
              </w:rPr>
            </w:pPr>
            <w:r w:rsidRPr="006B575D">
              <w:rPr>
                <w:rFonts w:ascii="Arial" w:hAnsi="Arial" w:cs="Arial"/>
                <w:sz w:val="16"/>
                <w:szCs w:val="16"/>
              </w:rPr>
              <w:t>0.02 (-0.27, 0.32)</w:t>
            </w:r>
          </w:p>
        </w:tc>
        <w:tc>
          <w:tcPr>
            <w:tcW w:w="1747" w:type="dxa"/>
          </w:tcPr>
          <w:p w14:paraId="1AE8767A" w14:textId="77777777" w:rsidR="004E19F4" w:rsidRPr="006B575D" w:rsidRDefault="004E19F4" w:rsidP="00A949FD">
            <w:pPr>
              <w:rPr>
                <w:rFonts w:ascii="Arial" w:hAnsi="Arial" w:cs="Arial"/>
                <w:sz w:val="16"/>
                <w:szCs w:val="16"/>
              </w:rPr>
            </w:pPr>
            <w:r w:rsidRPr="006B575D">
              <w:rPr>
                <w:rFonts w:ascii="Arial" w:hAnsi="Arial" w:cs="Arial"/>
                <w:sz w:val="16"/>
                <w:szCs w:val="16"/>
              </w:rPr>
              <w:t>0.002 (-0.003, 0.006)</w:t>
            </w:r>
          </w:p>
        </w:tc>
      </w:tr>
      <w:tr w:rsidR="004E19F4" w:rsidRPr="006B575D" w14:paraId="5B2B9CEC" w14:textId="77777777" w:rsidTr="00875CA4">
        <w:trPr>
          <w:trHeight w:val="23"/>
        </w:trPr>
        <w:tc>
          <w:tcPr>
            <w:tcW w:w="2790" w:type="dxa"/>
            <w:tcBorders>
              <w:bottom w:val="single" w:sz="4" w:space="0" w:color="auto"/>
            </w:tcBorders>
          </w:tcPr>
          <w:p w14:paraId="59766B97"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6B575D" w:rsidRDefault="004E19F4" w:rsidP="00A949FD">
            <w:pPr>
              <w:rPr>
                <w:rFonts w:ascii="Arial" w:hAnsi="Arial" w:cs="Arial"/>
                <w:sz w:val="16"/>
                <w:szCs w:val="16"/>
              </w:rPr>
            </w:pPr>
            <w:r w:rsidRPr="006B575D">
              <w:rPr>
                <w:rFonts w:ascii="Arial" w:hAnsi="Arial" w:cs="Arial"/>
                <w:sz w:val="16"/>
                <w:szCs w:val="16"/>
              </w:rPr>
              <w:t>-0.01 (-0.03, 0.02)</w:t>
            </w:r>
          </w:p>
        </w:tc>
        <w:tc>
          <w:tcPr>
            <w:tcW w:w="1981" w:type="dxa"/>
            <w:tcBorders>
              <w:bottom w:val="single" w:sz="4" w:space="0" w:color="auto"/>
            </w:tcBorders>
          </w:tcPr>
          <w:p w14:paraId="3B4DD144" w14:textId="77777777" w:rsidR="004E19F4" w:rsidRPr="006B575D" w:rsidRDefault="004E19F4" w:rsidP="00A949FD">
            <w:pPr>
              <w:rPr>
                <w:rFonts w:ascii="Arial" w:hAnsi="Arial" w:cs="Arial"/>
                <w:sz w:val="16"/>
                <w:szCs w:val="16"/>
              </w:rPr>
            </w:pPr>
            <w:r w:rsidRPr="006B575D">
              <w:rPr>
                <w:rFonts w:ascii="Arial" w:hAnsi="Arial" w:cs="Arial"/>
                <w:sz w:val="16"/>
                <w:szCs w:val="16"/>
              </w:rPr>
              <w:t>0.001 (-0.002, 0.003)</w:t>
            </w:r>
          </w:p>
        </w:tc>
        <w:tc>
          <w:tcPr>
            <w:tcW w:w="1620" w:type="dxa"/>
            <w:tcBorders>
              <w:bottom w:val="single" w:sz="4" w:space="0" w:color="auto"/>
            </w:tcBorders>
          </w:tcPr>
          <w:p w14:paraId="336201E2" w14:textId="77777777" w:rsidR="004E19F4" w:rsidRPr="006B575D" w:rsidRDefault="004E19F4" w:rsidP="00A949FD">
            <w:pPr>
              <w:rPr>
                <w:rFonts w:ascii="Arial" w:hAnsi="Arial" w:cs="Arial"/>
                <w:sz w:val="16"/>
                <w:szCs w:val="16"/>
              </w:rPr>
            </w:pPr>
            <w:r w:rsidRPr="006B575D">
              <w:rPr>
                <w:rFonts w:ascii="Arial" w:hAnsi="Arial" w:cs="Arial"/>
                <w:sz w:val="16"/>
                <w:szCs w:val="16"/>
              </w:rPr>
              <w:t>0.006 (-0.05, 0.06)</w:t>
            </w:r>
          </w:p>
        </w:tc>
        <w:tc>
          <w:tcPr>
            <w:tcW w:w="1747" w:type="dxa"/>
            <w:tcBorders>
              <w:bottom w:val="single" w:sz="4" w:space="0" w:color="auto"/>
            </w:tcBorders>
          </w:tcPr>
          <w:p w14:paraId="51EF0F52" w14:textId="77777777" w:rsidR="004E19F4" w:rsidRPr="006B575D" w:rsidRDefault="004E19F4" w:rsidP="00A949FD">
            <w:pPr>
              <w:rPr>
                <w:rFonts w:ascii="Arial" w:hAnsi="Arial" w:cs="Arial"/>
                <w:sz w:val="16"/>
                <w:szCs w:val="16"/>
              </w:rPr>
            </w:pPr>
            <w:r w:rsidRPr="006B575D">
              <w:rPr>
                <w:rFonts w:ascii="Arial" w:hAnsi="Arial" w:cs="Arial"/>
                <w:sz w:val="16"/>
                <w:szCs w:val="16"/>
              </w:rPr>
              <w:t>-0.0002 (-0.0009, 0.0006)</w:t>
            </w:r>
          </w:p>
        </w:tc>
      </w:tr>
      <w:tr w:rsidR="004E19F4" w:rsidRPr="006B575D"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Pr="006B575D" w:rsidRDefault="004E19F4" w:rsidP="004E19F4">
            <w:pPr>
              <w:rPr>
                <w:sz w:val="16"/>
                <w:szCs w:val="16"/>
              </w:rPr>
            </w:pPr>
            <w:r w:rsidRPr="006B575D">
              <w:rPr>
                <w:rFonts w:ascii="Arial" w:hAnsi="Arial" w:cs="Arial"/>
                <w:b/>
                <w:bCs/>
                <w:sz w:val="16"/>
                <w:szCs w:val="16"/>
              </w:rPr>
              <w:t>Sensitivity analysis 3 (n = 107)</w:t>
            </w:r>
            <w:r w:rsidRPr="006B575D">
              <w:rPr>
                <w:rFonts w:ascii="Arial" w:hAnsi="Arial" w:cs="Arial"/>
                <w:sz w:val="16"/>
                <w:szCs w:val="16"/>
                <w:shd w:val="clear" w:color="auto" w:fill="FFFFFF"/>
                <w:vertAlign w:val="superscript"/>
              </w:rPr>
              <w:t xml:space="preserve"> †</w:t>
            </w:r>
          </w:p>
        </w:tc>
      </w:tr>
      <w:tr w:rsidR="004E19F4" w:rsidRPr="006B575D" w14:paraId="31E5DF16" w14:textId="77777777" w:rsidTr="00875CA4">
        <w:trPr>
          <w:trHeight w:val="23"/>
        </w:trPr>
        <w:tc>
          <w:tcPr>
            <w:tcW w:w="2790" w:type="dxa"/>
            <w:tcBorders>
              <w:top w:val="single" w:sz="4" w:space="0" w:color="auto"/>
            </w:tcBorders>
          </w:tcPr>
          <w:p w14:paraId="4531F814" w14:textId="18662EEA" w:rsidR="004E19F4" w:rsidRPr="006B575D" w:rsidRDefault="004E19F4" w:rsidP="004E19F4">
            <w:pPr>
              <w:ind w:left="160"/>
              <w:rPr>
                <w:sz w:val="16"/>
                <w:szCs w:val="16"/>
              </w:rPr>
            </w:pPr>
            <w:r w:rsidRPr="006B575D">
              <w:rPr>
                <w:rFonts w:ascii="Arial" w:hAnsi="Arial" w:cs="Arial"/>
                <w:sz w:val="16"/>
                <w:szCs w:val="16"/>
              </w:rPr>
              <w:t>Live births (linear)</w:t>
            </w:r>
          </w:p>
        </w:tc>
        <w:tc>
          <w:tcPr>
            <w:tcW w:w="1794" w:type="dxa"/>
            <w:tcBorders>
              <w:top w:val="single" w:sz="4" w:space="0" w:color="auto"/>
            </w:tcBorders>
          </w:tcPr>
          <w:p w14:paraId="290702A4" w14:textId="23228187" w:rsidR="004E19F4" w:rsidRPr="006B575D" w:rsidRDefault="004E19F4" w:rsidP="004E19F4">
            <w:pPr>
              <w:rPr>
                <w:sz w:val="16"/>
                <w:szCs w:val="16"/>
              </w:rPr>
            </w:pPr>
            <w:r w:rsidRPr="006B575D">
              <w:rPr>
                <w:rFonts w:ascii="Arial" w:hAnsi="Arial" w:cs="Arial"/>
                <w:sz w:val="16"/>
                <w:szCs w:val="16"/>
              </w:rPr>
              <w:t>-6.63 (-13.19, -0.07) *</w:t>
            </w:r>
          </w:p>
        </w:tc>
        <w:tc>
          <w:tcPr>
            <w:tcW w:w="1981" w:type="dxa"/>
            <w:tcBorders>
              <w:top w:val="single" w:sz="4" w:space="0" w:color="auto"/>
            </w:tcBorders>
          </w:tcPr>
          <w:p w14:paraId="0CFD0C39" w14:textId="7DCFEC8F" w:rsidR="004E19F4" w:rsidRPr="006B575D" w:rsidRDefault="004E19F4" w:rsidP="004E19F4">
            <w:pPr>
              <w:rPr>
                <w:sz w:val="16"/>
                <w:szCs w:val="16"/>
              </w:rPr>
            </w:pPr>
            <w:r w:rsidRPr="006B575D">
              <w:rPr>
                <w:rFonts w:ascii="Arial" w:hAnsi="Arial" w:cs="Arial"/>
                <w:sz w:val="16"/>
                <w:szCs w:val="16"/>
              </w:rPr>
              <w:t>0.25 (-0.39, 0.90)</w:t>
            </w:r>
          </w:p>
        </w:tc>
        <w:tc>
          <w:tcPr>
            <w:tcW w:w="1620" w:type="dxa"/>
            <w:tcBorders>
              <w:top w:val="single" w:sz="4" w:space="0" w:color="auto"/>
            </w:tcBorders>
          </w:tcPr>
          <w:p w14:paraId="62CA947D" w14:textId="2CB325F5" w:rsidR="004E19F4" w:rsidRPr="006B575D" w:rsidRDefault="004E19F4" w:rsidP="004E19F4">
            <w:pPr>
              <w:rPr>
                <w:sz w:val="16"/>
                <w:szCs w:val="16"/>
              </w:rPr>
            </w:pPr>
            <w:r w:rsidRPr="006B575D">
              <w:rPr>
                <w:rFonts w:ascii="Arial" w:hAnsi="Arial" w:cs="Arial"/>
                <w:sz w:val="16"/>
                <w:szCs w:val="16"/>
              </w:rPr>
              <w:t>-2.70 (-14.83, 9.43)</w:t>
            </w:r>
          </w:p>
        </w:tc>
        <w:tc>
          <w:tcPr>
            <w:tcW w:w="1747" w:type="dxa"/>
            <w:tcBorders>
              <w:top w:val="single" w:sz="4" w:space="0" w:color="auto"/>
            </w:tcBorders>
          </w:tcPr>
          <w:p w14:paraId="10AF5894" w14:textId="6FC3F328" w:rsidR="004E19F4" w:rsidRPr="006B575D" w:rsidRDefault="004E19F4" w:rsidP="004E19F4">
            <w:pPr>
              <w:rPr>
                <w:sz w:val="16"/>
                <w:szCs w:val="16"/>
              </w:rPr>
            </w:pPr>
            <w:r w:rsidRPr="006B575D">
              <w:rPr>
                <w:rFonts w:ascii="Arial" w:hAnsi="Arial" w:cs="Arial"/>
                <w:sz w:val="16"/>
                <w:szCs w:val="16"/>
              </w:rPr>
              <w:t>-0.06 (-0.21, 0.08)</w:t>
            </w:r>
          </w:p>
        </w:tc>
      </w:tr>
      <w:tr w:rsidR="004E19F4" w:rsidRPr="006B575D" w14:paraId="73DD3A0E" w14:textId="77777777" w:rsidTr="00875CA4">
        <w:trPr>
          <w:trHeight w:val="23"/>
        </w:trPr>
        <w:tc>
          <w:tcPr>
            <w:tcW w:w="2790" w:type="dxa"/>
          </w:tcPr>
          <w:p w14:paraId="11502B5A" w14:textId="4B54267D" w:rsidR="004E19F4" w:rsidRPr="006B575D" w:rsidRDefault="004E19F4" w:rsidP="004E19F4">
            <w:pPr>
              <w:ind w:left="160"/>
              <w:rPr>
                <w:sz w:val="16"/>
                <w:szCs w:val="16"/>
              </w:rPr>
            </w:pPr>
            <w:r w:rsidRPr="006B575D">
              <w:rPr>
                <w:rFonts w:ascii="Arial" w:hAnsi="Arial" w:cs="Arial"/>
                <w:sz w:val="16"/>
                <w:szCs w:val="16"/>
              </w:rPr>
              <w:t>Live births (quadratic)</w:t>
            </w:r>
          </w:p>
        </w:tc>
        <w:tc>
          <w:tcPr>
            <w:tcW w:w="1794" w:type="dxa"/>
          </w:tcPr>
          <w:p w14:paraId="4B9BD17E" w14:textId="7655650B" w:rsidR="004E19F4" w:rsidRPr="006B575D" w:rsidRDefault="004E19F4" w:rsidP="004E19F4">
            <w:pPr>
              <w:rPr>
                <w:sz w:val="16"/>
                <w:szCs w:val="16"/>
              </w:rPr>
            </w:pPr>
            <w:r w:rsidRPr="006B575D">
              <w:rPr>
                <w:rFonts w:ascii="Arial" w:hAnsi="Arial" w:cs="Arial"/>
                <w:sz w:val="16"/>
                <w:szCs w:val="16"/>
              </w:rPr>
              <w:t>1.15 (0.14, 2.17) *</w:t>
            </w:r>
          </w:p>
        </w:tc>
        <w:tc>
          <w:tcPr>
            <w:tcW w:w="1981" w:type="dxa"/>
          </w:tcPr>
          <w:p w14:paraId="33C0B8A6" w14:textId="45125CD1" w:rsidR="004E19F4" w:rsidRPr="006B575D" w:rsidRDefault="004E19F4" w:rsidP="004E19F4">
            <w:pPr>
              <w:rPr>
                <w:sz w:val="16"/>
                <w:szCs w:val="16"/>
              </w:rPr>
            </w:pPr>
            <w:r w:rsidRPr="006B575D">
              <w:rPr>
                <w:rFonts w:ascii="Arial" w:hAnsi="Arial" w:cs="Arial"/>
                <w:sz w:val="16"/>
                <w:szCs w:val="16"/>
              </w:rPr>
              <w:t>-0.02 (-0.12, 0.08)</w:t>
            </w:r>
          </w:p>
        </w:tc>
        <w:tc>
          <w:tcPr>
            <w:tcW w:w="1620" w:type="dxa"/>
          </w:tcPr>
          <w:p w14:paraId="03788509" w14:textId="6C7FA7A6" w:rsidR="004E19F4" w:rsidRPr="006B575D" w:rsidRDefault="004E19F4" w:rsidP="004E19F4">
            <w:pPr>
              <w:rPr>
                <w:sz w:val="16"/>
                <w:szCs w:val="16"/>
              </w:rPr>
            </w:pPr>
            <w:r w:rsidRPr="006B575D">
              <w:rPr>
                <w:rFonts w:ascii="Arial" w:hAnsi="Arial" w:cs="Arial"/>
                <w:sz w:val="16"/>
                <w:szCs w:val="16"/>
              </w:rPr>
              <w:t>0.66 (-1.49, 2.82)</w:t>
            </w:r>
          </w:p>
        </w:tc>
        <w:tc>
          <w:tcPr>
            <w:tcW w:w="1747" w:type="dxa"/>
          </w:tcPr>
          <w:p w14:paraId="41945DBF" w14:textId="784F7074" w:rsidR="004E19F4" w:rsidRPr="006B575D" w:rsidRDefault="004E19F4" w:rsidP="004E19F4">
            <w:pPr>
              <w:rPr>
                <w:sz w:val="16"/>
                <w:szCs w:val="16"/>
              </w:rPr>
            </w:pPr>
            <w:r w:rsidRPr="006B575D">
              <w:rPr>
                <w:rFonts w:ascii="Arial" w:hAnsi="Arial" w:cs="Arial"/>
                <w:sz w:val="16"/>
                <w:szCs w:val="16"/>
              </w:rPr>
              <w:t>0.02 (-0.01, 0.04)</w:t>
            </w:r>
          </w:p>
        </w:tc>
      </w:tr>
      <w:tr w:rsidR="004E19F4" w:rsidRPr="006B575D" w14:paraId="002A49E7" w14:textId="77777777" w:rsidTr="00875CA4">
        <w:trPr>
          <w:trHeight w:val="23"/>
        </w:trPr>
        <w:tc>
          <w:tcPr>
            <w:tcW w:w="2790" w:type="dxa"/>
          </w:tcPr>
          <w:p w14:paraId="012AA672" w14:textId="1A9A1ABD" w:rsidR="004E19F4" w:rsidRPr="006B575D" w:rsidRDefault="004E19F4" w:rsidP="004E19F4">
            <w:pPr>
              <w:ind w:left="160"/>
              <w:rPr>
                <w:sz w:val="16"/>
                <w:szCs w:val="16"/>
              </w:rPr>
            </w:pPr>
            <w:r w:rsidRPr="006B575D">
              <w:rPr>
                <w:rFonts w:ascii="Arial" w:hAnsi="Arial" w:cs="Arial"/>
                <w:sz w:val="16"/>
                <w:szCs w:val="16"/>
              </w:rPr>
              <w:t>Months since last live birth</w:t>
            </w:r>
          </w:p>
        </w:tc>
        <w:tc>
          <w:tcPr>
            <w:tcW w:w="1794" w:type="dxa"/>
          </w:tcPr>
          <w:p w14:paraId="5C402473" w14:textId="25007D3C" w:rsidR="004E19F4" w:rsidRPr="006B575D" w:rsidRDefault="004E19F4" w:rsidP="004E19F4">
            <w:pPr>
              <w:rPr>
                <w:sz w:val="16"/>
                <w:szCs w:val="16"/>
              </w:rPr>
            </w:pPr>
            <w:r w:rsidRPr="006B575D">
              <w:rPr>
                <w:rFonts w:ascii="Arial" w:hAnsi="Arial" w:cs="Arial"/>
                <w:sz w:val="16"/>
                <w:szCs w:val="16"/>
              </w:rPr>
              <w:t>-1.07 (-1.81, -0.34) *</w:t>
            </w:r>
          </w:p>
        </w:tc>
        <w:tc>
          <w:tcPr>
            <w:tcW w:w="1981" w:type="dxa"/>
          </w:tcPr>
          <w:p w14:paraId="23C34318" w14:textId="1ED11F98" w:rsidR="004E19F4" w:rsidRPr="006B575D" w:rsidRDefault="004E19F4" w:rsidP="004E19F4">
            <w:pPr>
              <w:rPr>
                <w:sz w:val="16"/>
                <w:szCs w:val="16"/>
              </w:rPr>
            </w:pPr>
            <w:r w:rsidRPr="006B575D">
              <w:rPr>
                <w:rFonts w:ascii="Arial" w:hAnsi="Arial" w:cs="Arial"/>
                <w:sz w:val="16"/>
                <w:szCs w:val="16"/>
              </w:rPr>
              <w:t>0.05 (-0.04, 0.14)</w:t>
            </w:r>
          </w:p>
        </w:tc>
        <w:tc>
          <w:tcPr>
            <w:tcW w:w="1620" w:type="dxa"/>
          </w:tcPr>
          <w:p w14:paraId="14F1C391" w14:textId="57B5D7EB" w:rsidR="004E19F4" w:rsidRPr="006B575D" w:rsidRDefault="004E19F4" w:rsidP="004E19F4">
            <w:pPr>
              <w:rPr>
                <w:sz w:val="16"/>
                <w:szCs w:val="16"/>
              </w:rPr>
            </w:pPr>
            <w:r w:rsidRPr="006B575D">
              <w:rPr>
                <w:rFonts w:ascii="Arial" w:hAnsi="Arial" w:cs="Arial"/>
                <w:sz w:val="16"/>
                <w:szCs w:val="16"/>
              </w:rPr>
              <w:t>-0.71 (-2.06, 0.65)</w:t>
            </w:r>
          </w:p>
        </w:tc>
        <w:tc>
          <w:tcPr>
            <w:tcW w:w="1747" w:type="dxa"/>
          </w:tcPr>
          <w:p w14:paraId="19E84EF8" w14:textId="76293A12" w:rsidR="004E19F4" w:rsidRPr="006B575D" w:rsidRDefault="004E19F4" w:rsidP="004E19F4">
            <w:pPr>
              <w:rPr>
                <w:sz w:val="16"/>
                <w:szCs w:val="16"/>
              </w:rPr>
            </w:pPr>
            <w:r w:rsidRPr="006B575D">
              <w:rPr>
                <w:rFonts w:ascii="Arial" w:hAnsi="Arial" w:cs="Arial"/>
                <w:sz w:val="16"/>
                <w:szCs w:val="16"/>
              </w:rPr>
              <w:t>-0.01 (-0.02, 0.01)</w:t>
            </w:r>
          </w:p>
        </w:tc>
      </w:tr>
      <w:tr w:rsidR="004E19F4" w:rsidRPr="006B575D" w14:paraId="79D0E549" w14:textId="77777777" w:rsidTr="00875CA4">
        <w:trPr>
          <w:trHeight w:val="23"/>
        </w:trPr>
        <w:tc>
          <w:tcPr>
            <w:tcW w:w="2790" w:type="dxa"/>
          </w:tcPr>
          <w:p w14:paraId="5F689668" w14:textId="26A5AD5E" w:rsidR="004E19F4" w:rsidRPr="006B575D" w:rsidRDefault="004E19F4" w:rsidP="004E19F4">
            <w:pPr>
              <w:ind w:left="160"/>
              <w:rPr>
                <w:sz w:val="16"/>
                <w:szCs w:val="16"/>
              </w:rPr>
            </w:pPr>
            <w:r w:rsidRPr="006B575D">
              <w:rPr>
                <w:rFonts w:ascii="Arial" w:hAnsi="Arial" w:cs="Arial"/>
                <w:sz w:val="16"/>
                <w:szCs w:val="16"/>
              </w:rPr>
              <w:t>Live births (linear) x months since last live birth</w:t>
            </w:r>
          </w:p>
        </w:tc>
        <w:tc>
          <w:tcPr>
            <w:tcW w:w="1794" w:type="dxa"/>
          </w:tcPr>
          <w:p w14:paraId="4A5EF377" w14:textId="3CF8A71F" w:rsidR="004E19F4" w:rsidRPr="006B575D" w:rsidRDefault="004E19F4" w:rsidP="004E19F4">
            <w:pPr>
              <w:rPr>
                <w:sz w:val="16"/>
                <w:szCs w:val="16"/>
              </w:rPr>
            </w:pPr>
            <w:r w:rsidRPr="006B575D">
              <w:rPr>
                <w:rFonts w:ascii="Arial" w:hAnsi="Arial" w:cs="Arial"/>
                <w:sz w:val="16"/>
                <w:szCs w:val="16"/>
              </w:rPr>
              <w:t>0.60 (0.14, 1.05) *</w:t>
            </w:r>
          </w:p>
        </w:tc>
        <w:tc>
          <w:tcPr>
            <w:tcW w:w="1981" w:type="dxa"/>
          </w:tcPr>
          <w:p w14:paraId="37AEF459" w14:textId="2A301E0A" w:rsidR="004E19F4" w:rsidRPr="006B575D" w:rsidRDefault="004E19F4" w:rsidP="004E19F4">
            <w:pPr>
              <w:rPr>
                <w:sz w:val="16"/>
                <w:szCs w:val="16"/>
              </w:rPr>
            </w:pPr>
            <w:r w:rsidRPr="006B575D">
              <w:rPr>
                <w:rFonts w:ascii="Arial" w:hAnsi="Arial" w:cs="Arial"/>
                <w:sz w:val="16"/>
                <w:szCs w:val="16"/>
              </w:rPr>
              <w:t>-0.04 (-0.10, 0.02)</w:t>
            </w:r>
          </w:p>
        </w:tc>
        <w:tc>
          <w:tcPr>
            <w:tcW w:w="1620" w:type="dxa"/>
          </w:tcPr>
          <w:p w14:paraId="4DE0C52F" w14:textId="12FD2DF1" w:rsidR="004E19F4" w:rsidRPr="006B575D" w:rsidRDefault="004E19F4" w:rsidP="004E19F4">
            <w:pPr>
              <w:rPr>
                <w:sz w:val="16"/>
                <w:szCs w:val="16"/>
              </w:rPr>
            </w:pPr>
            <w:r w:rsidRPr="006B575D">
              <w:rPr>
                <w:rFonts w:ascii="Arial" w:hAnsi="Arial" w:cs="Arial"/>
                <w:sz w:val="16"/>
                <w:szCs w:val="16"/>
              </w:rPr>
              <w:t>0.23 (-0.72, 1.17)</w:t>
            </w:r>
          </w:p>
        </w:tc>
        <w:tc>
          <w:tcPr>
            <w:tcW w:w="1747" w:type="dxa"/>
          </w:tcPr>
          <w:p w14:paraId="42F98786" w14:textId="15D834E5" w:rsidR="004E19F4" w:rsidRPr="006B575D" w:rsidRDefault="004E19F4" w:rsidP="004E19F4">
            <w:pPr>
              <w:rPr>
                <w:sz w:val="16"/>
                <w:szCs w:val="16"/>
              </w:rPr>
            </w:pPr>
            <w:r w:rsidRPr="006B575D">
              <w:rPr>
                <w:rFonts w:ascii="Arial" w:hAnsi="Arial" w:cs="Arial"/>
                <w:sz w:val="16"/>
                <w:szCs w:val="16"/>
              </w:rPr>
              <w:t>-0.001 (-0.01, 0.01)</w:t>
            </w:r>
          </w:p>
        </w:tc>
      </w:tr>
      <w:tr w:rsidR="004E19F4" w:rsidRPr="006B575D" w14:paraId="4EA81271" w14:textId="77777777" w:rsidTr="00875CA4">
        <w:trPr>
          <w:trHeight w:val="23"/>
        </w:trPr>
        <w:tc>
          <w:tcPr>
            <w:tcW w:w="2790" w:type="dxa"/>
            <w:tcBorders>
              <w:bottom w:val="single" w:sz="4" w:space="0" w:color="auto"/>
            </w:tcBorders>
          </w:tcPr>
          <w:p w14:paraId="1078A954" w14:textId="20D84F25" w:rsidR="004E19F4" w:rsidRPr="006B575D" w:rsidRDefault="004E19F4" w:rsidP="004E19F4">
            <w:pPr>
              <w:ind w:left="160"/>
              <w:rPr>
                <w:sz w:val="16"/>
                <w:szCs w:val="16"/>
              </w:rPr>
            </w:pPr>
            <w:r w:rsidRPr="006B575D">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6B575D" w:rsidRDefault="004E19F4" w:rsidP="004E19F4">
            <w:pPr>
              <w:rPr>
                <w:sz w:val="16"/>
                <w:szCs w:val="16"/>
              </w:rPr>
            </w:pPr>
            <w:r w:rsidRPr="006B575D">
              <w:rPr>
                <w:rFonts w:ascii="Arial" w:hAnsi="Arial" w:cs="Arial"/>
                <w:sz w:val="16"/>
                <w:szCs w:val="16"/>
              </w:rPr>
              <w:t>-0.09 (-0.15, -0.02) *</w:t>
            </w:r>
          </w:p>
        </w:tc>
        <w:tc>
          <w:tcPr>
            <w:tcW w:w="1981" w:type="dxa"/>
            <w:tcBorders>
              <w:bottom w:val="single" w:sz="4" w:space="0" w:color="auto"/>
            </w:tcBorders>
          </w:tcPr>
          <w:p w14:paraId="50804383" w14:textId="173B475C" w:rsidR="004E19F4" w:rsidRPr="006B575D" w:rsidRDefault="004E19F4" w:rsidP="004E19F4">
            <w:pPr>
              <w:rPr>
                <w:sz w:val="16"/>
                <w:szCs w:val="16"/>
              </w:rPr>
            </w:pPr>
            <w:r w:rsidRPr="006B575D">
              <w:rPr>
                <w:rFonts w:ascii="Arial" w:hAnsi="Arial" w:cs="Arial"/>
                <w:sz w:val="16"/>
                <w:szCs w:val="16"/>
              </w:rPr>
              <w:t>0.01 (-0.003, 0.014)</w:t>
            </w:r>
          </w:p>
        </w:tc>
        <w:tc>
          <w:tcPr>
            <w:tcW w:w="1620" w:type="dxa"/>
            <w:tcBorders>
              <w:bottom w:val="single" w:sz="4" w:space="0" w:color="auto"/>
            </w:tcBorders>
          </w:tcPr>
          <w:p w14:paraId="63AAD307" w14:textId="582D4FEA" w:rsidR="004E19F4" w:rsidRPr="006B575D" w:rsidRDefault="004E19F4" w:rsidP="004E19F4">
            <w:pPr>
              <w:rPr>
                <w:sz w:val="16"/>
                <w:szCs w:val="16"/>
              </w:rPr>
            </w:pPr>
            <w:r w:rsidRPr="006B575D">
              <w:rPr>
                <w:rFonts w:ascii="Arial" w:hAnsi="Arial" w:cs="Arial"/>
                <w:sz w:val="16"/>
                <w:szCs w:val="16"/>
              </w:rPr>
              <w:t>-0.03 (-0.18, 0.11)</w:t>
            </w:r>
          </w:p>
        </w:tc>
        <w:tc>
          <w:tcPr>
            <w:tcW w:w="1747" w:type="dxa"/>
            <w:tcBorders>
              <w:bottom w:val="single" w:sz="4" w:space="0" w:color="auto"/>
            </w:tcBorders>
          </w:tcPr>
          <w:p w14:paraId="2B6EA476" w14:textId="5D5FA663" w:rsidR="004E19F4" w:rsidRPr="006B575D" w:rsidRDefault="004E19F4" w:rsidP="004E19F4">
            <w:pPr>
              <w:rPr>
                <w:sz w:val="16"/>
                <w:szCs w:val="16"/>
              </w:rPr>
            </w:pPr>
            <w:r w:rsidRPr="006B575D">
              <w:rPr>
                <w:rFonts w:ascii="Arial" w:hAnsi="Arial" w:cs="Arial"/>
                <w:sz w:val="16"/>
                <w:szCs w:val="16"/>
              </w:rPr>
              <w:t>0.0003 (-0.001, 0.002)</w:t>
            </w:r>
          </w:p>
        </w:tc>
      </w:tr>
    </w:tbl>
    <w:p w14:paraId="70EA760B" w14:textId="77777777" w:rsidR="004E19F4" w:rsidRPr="006B575D" w:rsidRDefault="004E19F4" w:rsidP="004E19F4">
      <w:pPr>
        <w:shd w:val="clear" w:color="auto" w:fill="FFFFFF"/>
        <w:spacing w:line="240" w:lineRule="auto"/>
        <w:rPr>
          <w:sz w:val="16"/>
          <w:szCs w:val="16"/>
          <w:shd w:val="clear" w:color="auto" w:fill="FFFFFF"/>
        </w:rPr>
      </w:pPr>
      <w:r w:rsidRPr="006B575D">
        <w:rPr>
          <w:sz w:val="16"/>
          <w:szCs w:val="16"/>
          <w:shd w:val="clear" w:color="auto" w:fill="FFFFFF"/>
          <w:vertAlign w:val="superscript"/>
        </w:rPr>
        <w:t>†</w:t>
      </w:r>
      <w:r w:rsidRPr="006B575D">
        <w:rPr>
          <w:sz w:val="16"/>
          <w:szCs w:val="16"/>
          <w:shd w:val="clear" w:color="auto" w:fill="FFFFFF"/>
        </w:rPr>
        <w:t xml:space="preserve"> Models were adjusted for the following variables: chronological age, body mass index, federal income-to-poverty ratio, smoking, education, and self-identified race/ethnicity.</w:t>
      </w:r>
    </w:p>
    <w:p w14:paraId="6DBF8731" w14:textId="10D351A3" w:rsidR="004E19F4" w:rsidRPr="006B575D" w:rsidRDefault="004E19F4" w:rsidP="004E19F4">
      <w:pPr>
        <w:shd w:val="clear" w:color="auto" w:fill="FFFFFF"/>
        <w:spacing w:line="240" w:lineRule="auto"/>
        <w:rPr>
          <w:sz w:val="16"/>
          <w:szCs w:val="16"/>
          <w:shd w:val="clear" w:color="auto" w:fill="FFFFFF"/>
        </w:rPr>
      </w:pPr>
      <w:r w:rsidRPr="006B575D">
        <w:rPr>
          <w:sz w:val="16"/>
          <w:szCs w:val="16"/>
          <w:shd w:val="clear" w:color="auto" w:fill="FFFFFF"/>
          <w:vertAlign w:val="superscript"/>
        </w:rPr>
        <w:t xml:space="preserve">†† </w:t>
      </w:r>
      <w:r w:rsidRPr="006B575D">
        <w:rPr>
          <w:sz w:val="16"/>
          <w:szCs w:val="16"/>
          <w:shd w:val="clear" w:color="auto" w:fill="FFFFFF"/>
        </w:rPr>
        <w:t xml:space="preserve">Model was adjusted for chronological age only. </w:t>
      </w:r>
    </w:p>
    <w:p w14:paraId="15EF9EDA" w14:textId="24ADD35C" w:rsidR="00764EF3" w:rsidRPr="006B575D" w:rsidRDefault="00764EF3" w:rsidP="004E19F4">
      <w:pPr>
        <w:shd w:val="clear" w:color="auto" w:fill="FFFFFF"/>
        <w:spacing w:line="240" w:lineRule="auto"/>
        <w:rPr>
          <w:sz w:val="16"/>
          <w:szCs w:val="16"/>
          <w:shd w:val="clear" w:color="auto" w:fill="FFFFFF"/>
        </w:rPr>
      </w:pPr>
    </w:p>
    <w:p w14:paraId="72B4067D" w14:textId="77777777" w:rsidR="00764EF3" w:rsidRPr="006B575D" w:rsidRDefault="00764EF3" w:rsidP="00764EF3">
      <w:pPr>
        <w:shd w:val="clear" w:color="auto" w:fill="FFFFFF"/>
        <w:spacing w:line="240" w:lineRule="auto"/>
      </w:pPr>
      <w:r w:rsidRPr="006B575D">
        <w:rPr>
          <w:i/>
        </w:rPr>
        <w:t>Notes:</w:t>
      </w:r>
      <w:r w:rsidRPr="006B575D">
        <w:t xml:space="preserve"> * </w:t>
      </w:r>
      <w:r w:rsidRPr="006B575D">
        <w:rPr>
          <w:i/>
        </w:rPr>
        <w:t>p</w:t>
      </w:r>
      <w:r w:rsidRPr="006B575D">
        <w:t xml:space="preserve"> &lt; 0.05,  ** </w:t>
      </w:r>
      <w:r w:rsidRPr="006B575D">
        <w:rPr>
          <w:i/>
        </w:rPr>
        <w:t>p</w:t>
      </w:r>
      <w:r w:rsidRPr="006B575D">
        <w:t xml:space="preserve"> &lt; 0.01, *** </w:t>
      </w:r>
      <w:r w:rsidRPr="006B575D">
        <w:rPr>
          <w:i/>
        </w:rPr>
        <w:t>p</w:t>
      </w:r>
      <w:r w:rsidRPr="006B575D">
        <w:t xml:space="preserve"> &lt; 0.001; values in </w:t>
      </w:r>
      <w:r w:rsidRPr="006B575D">
        <w:rPr>
          <w:b/>
          <w:bCs/>
        </w:rPr>
        <w:t>bold</w:t>
      </w:r>
      <w:r w:rsidRPr="006B575D">
        <w:t xml:space="preserve"> represent effects significant after multiple comparison correction at </w:t>
      </w:r>
      <w:r w:rsidRPr="006B575D">
        <w:sym w:font="Symbol" w:char="F061"/>
      </w:r>
      <w:r w:rsidRPr="006B575D">
        <w:t xml:space="preserve"> = (0.05/4) = 0.0125.</w:t>
      </w:r>
    </w:p>
    <w:p w14:paraId="3B9232CF" w14:textId="77777777" w:rsidR="00764EF3" w:rsidRPr="006B575D" w:rsidRDefault="00764EF3" w:rsidP="004E19F4">
      <w:pPr>
        <w:shd w:val="clear" w:color="auto" w:fill="FFFFFF"/>
        <w:spacing w:line="240" w:lineRule="auto"/>
        <w:rPr>
          <w:sz w:val="16"/>
          <w:szCs w:val="16"/>
          <w:shd w:val="clear" w:color="auto" w:fill="FFFFFF"/>
        </w:rPr>
      </w:pPr>
    </w:p>
    <w:p w14:paraId="32ED4508" w14:textId="77777777" w:rsidR="00D534A0" w:rsidRPr="006B575D" w:rsidRDefault="00D534A0" w:rsidP="004E19F4">
      <w:pPr>
        <w:shd w:val="clear" w:color="auto" w:fill="FFFFFF"/>
        <w:spacing w:line="240" w:lineRule="auto"/>
        <w:rPr>
          <w:b/>
          <w:bCs/>
        </w:rPr>
      </w:pPr>
    </w:p>
    <w:p w14:paraId="1AF7F772" w14:textId="77777777" w:rsidR="00764EF3" w:rsidRPr="006B575D" w:rsidRDefault="00764EF3">
      <w:pPr>
        <w:rPr>
          <w:b/>
          <w:bCs/>
        </w:rPr>
      </w:pPr>
      <w:r w:rsidRPr="006B575D">
        <w:rPr>
          <w:b/>
          <w:bCs/>
        </w:rPr>
        <w:br w:type="page"/>
      </w:r>
    </w:p>
    <w:p w14:paraId="140E901C" w14:textId="7DCBC1EC" w:rsidR="004E19F4" w:rsidRPr="006B575D" w:rsidRDefault="004E19F4" w:rsidP="004E19F4">
      <w:pPr>
        <w:shd w:val="clear" w:color="auto" w:fill="FFFFFF"/>
        <w:spacing w:line="240" w:lineRule="auto"/>
      </w:pPr>
      <w:r w:rsidRPr="006B575D">
        <w:rPr>
          <w:b/>
          <w:bCs/>
        </w:rPr>
        <w:lastRenderedPageBreak/>
        <w:t xml:space="preserve">Table </w:t>
      </w:r>
      <w:r w:rsidR="000C69A4" w:rsidRPr="006B575D">
        <w:rPr>
          <w:b/>
          <w:bCs/>
        </w:rPr>
        <w:t>3</w:t>
      </w:r>
      <w:r w:rsidRPr="006B575D">
        <w:rPr>
          <w:b/>
          <w:bCs/>
        </w:rPr>
        <w:t xml:space="preserve">. </w:t>
      </w:r>
      <w:r w:rsidRPr="006B575D">
        <w:t xml:space="preserve">Multiple linear regression examining the </w:t>
      </w:r>
      <w:r w:rsidR="00C079F9" w:rsidRPr="006B575D">
        <w:t xml:space="preserve">durable </w:t>
      </w:r>
      <w:r w:rsidRPr="006B575D">
        <w:t>and</w:t>
      </w:r>
      <w:r w:rsidR="00C079F9" w:rsidRPr="006B575D">
        <w:t xml:space="preserve"> transient</w:t>
      </w:r>
      <w:r w:rsidRPr="006B575D">
        <w:t xml:space="preserve"> effects of number of live births on biological age</w:t>
      </w:r>
      <w:r w:rsidR="00021165" w:rsidRPr="006B575D">
        <w:t xml:space="preserve"> acceleration</w:t>
      </w:r>
      <w:r w:rsidRPr="006B575D">
        <w:t xml:space="preserve"> for post</w:t>
      </w:r>
      <w:r w:rsidR="002533E0" w:rsidRPr="006B575D">
        <w:t>-</w:t>
      </w:r>
      <w:r w:rsidRPr="006B575D">
        <w:t xml:space="preserve">menopausal women only, National Health and Nutrition Examination Survey 1999-2010. Values represent coefficient estimates and 95% confidence intervals. </w:t>
      </w:r>
      <w:r w:rsidRPr="006B575D">
        <w:rPr>
          <w:i/>
        </w:rPr>
        <w:t>Notes:</w:t>
      </w:r>
      <w:r w:rsidRPr="006B575D">
        <w:t xml:space="preserve"> * </w:t>
      </w:r>
      <w:r w:rsidRPr="006B575D">
        <w:rPr>
          <w:i/>
        </w:rPr>
        <w:t>p</w:t>
      </w:r>
      <w:r w:rsidRPr="006B575D">
        <w:t xml:space="preserve"> &lt; 0.05,  ** </w:t>
      </w:r>
      <w:r w:rsidRPr="006B575D">
        <w:rPr>
          <w:i/>
        </w:rPr>
        <w:t>p</w:t>
      </w:r>
      <w:r w:rsidRPr="006B575D">
        <w:t xml:space="preserve"> &lt; 0.01, *** </w:t>
      </w:r>
      <w:r w:rsidRPr="006B575D">
        <w:rPr>
          <w:i/>
        </w:rPr>
        <w:t>p</w:t>
      </w:r>
      <w:r w:rsidRPr="006B575D">
        <w:t xml:space="preserve"> &lt; 0.001; values in </w:t>
      </w:r>
      <w:r w:rsidRPr="006B575D">
        <w:rPr>
          <w:b/>
          <w:bCs/>
        </w:rPr>
        <w:t>bold</w:t>
      </w:r>
      <w:r w:rsidRPr="006B575D">
        <w:t xml:space="preserve"> represent effects significant after multiple comparison correction at </w:t>
      </w:r>
      <w:r w:rsidRPr="006B575D">
        <w:sym w:font="Symbol" w:char="F061"/>
      </w:r>
      <w:r w:rsidR="005B1D17" w:rsidRPr="006B575D">
        <w:t xml:space="preserve"> </w:t>
      </w:r>
      <w:r w:rsidRPr="006B575D">
        <w:t>= (0.05/</w:t>
      </w:r>
      <w:r w:rsidR="007520D9" w:rsidRPr="006B575D">
        <w:t>4</w:t>
      </w:r>
      <w:r w:rsidRPr="006B575D">
        <w:t>) = 0.0</w:t>
      </w:r>
      <w:r w:rsidR="007520D9" w:rsidRPr="006B575D">
        <w:t>125</w:t>
      </w:r>
      <w:r w:rsidRPr="006B575D">
        <w:t>.</w:t>
      </w:r>
    </w:p>
    <w:p w14:paraId="0DBB404B" w14:textId="77777777" w:rsidR="004E19F4" w:rsidRPr="006B575D" w:rsidRDefault="004E19F4" w:rsidP="004E19F4">
      <w:pPr>
        <w:spacing w:line="240" w:lineRule="auto"/>
      </w:pPr>
      <w:r w:rsidRPr="006B575D">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6B575D" w14:paraId="366A01A1" w14:textId="77777777" w:rsidTr="00A949FD">
        <w:trPr>
          <w:trHeight w:val="23"/>
        </w:trPr>
        <w:tc>
          <w:tcPr>
            <w:tcW w:w="2700" w:type="dxa"/>
            <w:tcBorders>
              <w:bottom w:val="single" w:sz="4" w:space="0" w:color="auto"/>
            </w:tcBorders>
          </w:tcPr>
          <w:p w14:paraId="639E2C1D" w14:textId="77777777" w:rsidR="004E19F4" w:rsidRPr="006B575D"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LM</w:t>
            </w:r>
          </w:p>
        </w:tc>
        <w:tc>
          <w:tcPr>
            <w:tcW w:w="1980" w:type="dxa"/>
            <w:tcBorders>
              <w:bottom w:val="single" w:sz="4" w:space="0" w:color="auto"/>
            </w:tcBorders>
          </w:tcPr>
          <w:p w14:paraId="501DF2E4"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HD (log)</w:t>
            </w:r>
          </w:p>
        </w:tc>
        <w:tc>
          <w:tcPr>
            <w:tcW w:w="1710" w:type="dxa"/>
            <w:tcBorders>
              <w:bottom w:val="single" w:sz="4" w:space="0" w:color="auto"/>
            </w:tcBorders>
          </w:tcPr>
          <w:p w14:paraId="27FBE2AE"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KDM</w:t>
            </w:r>
          </w:p>
        </w:tc>
        <w:tc>
          <w:tcPr>
            <w:tcW w:w="1832" w:type="dxa"/>
            <w:tcBorders>
              <w:bottom w:val="single" w:sz="4" w:space="0" w:color="auto"/>
            </w:tcBorders>
          </w:tcPr>
          <w:p w14:paraId="0533FC7D" w14:textId="77777777" w:rsidR="004E19F4" w:rsidRPr="006B575D" w:rsidRDefault="004E19F4" w:rsidP="00A949FD">
            <w:pPr>
              <w:jc w:val="center"/>
              <w:rPr>
                <w:rFonts w:ascii="Arial" w:hAnsi="Arial" w:cs="Arial"/>
                <w:b/>
                <w:bCs/>
                <w:sz w:val="16"/>
                <w:szCs w:val="16"/>
              </w:rPr>
            </w:pPr>
            <w:r w:rsidRPr="006B575D">
              <w:rPr>
                <w:rFonts w:ascii="Arial" w:hAnsi="Arial" w:cs="Arial"/>
                <w:b/>
                <w:bCs/>
                <w:sz w:val="16"/>
                <w:szCs w:val="16"/>
              </w:rPr>
              <w:t>AL</w:t>
            </w:r>
          </w:p>
        </w:tc>
      </w:tr>
      <w:tr w:rsidR="004E19F4" w:rsidRPr="006B575D"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Primary model (</w:t>
            </w:r>
            <w:r w:rsidRPr="006B575D">
              <w:rPr>
                <w:rFonts w:ascii="Arial" w:hAnsi="Arial" w:cs="Arial"/>
                <w:b/>
                <w:bCs/>
                <w:i/>
                <w:iCs/>
                <w:sz w:val="16"/>
                <w:szCs w:val="16"/>
              </w:rPr>
              <w:t>n</w:t>
            </w:r>
            <w:r w:rsidRPr="006B575D">
              <w:rPr>
                <w:rFonts w:ascii="Arial" w:hAnsi="Arial" w:cs="Arial"/>
                <w:b/>
                <w:bCs/>
                <w:sz w:val="16"/>
                <w:szCs w:val="16"/>
              </w:rPr>
              <w:t xml:space="preserve"> = 2,252)</w:t>
            </w:r>
            <w:r w:rsidRPr="006B575D">
              <w:rPr>
                <w:rFonts w:ascii="Arial" w:hAnsi="Arial" w:cs="Arial"/>
                <w:sz w:val="16"/>
                <w:szCs w:val="16"/>
                <w:shd w:val="clear" w:color="auto" w:fill="FFFFFF"/>
                <w:vertAlign w:val="superscript"/>
              </w:rPr>
              <w:t xml:space="preserve"> †</w:t>
            </w:r>
          </w:p>
        </w:tc>
      </w:tr>
      <w:tr w:rsidR="004E19F4" w:rsidRPr="006B575D" w14:paraId="58F4DEFD" w14:textId="77777777" w:rsidTr="00A949FD">
        <w:trPr>
          <w:trHeight w:val="23"/>
        </w:trPr>
        <w:tc>
          <w:tcPr>
            <w:tcW w:w="2700" w:type="dxa"/>
            <w:tcBorders>
              <w:top w:val="single" w:sz="4" w:space="0" w:color="auto"/>
            </w:tcBorders>
          </w:tcPr>
          <w:p w14:paraId="482DAC48"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w:t>
            </w:r>
          </w:p>
        </w:tc>
        <w:tc>
          <w:tcPr>
            <w:tcW w:w="1710" w:type="dxa"/>
            <w:tcBorders>
              <w:top w:val="single" w:sz="4" w:space="0" w:color="auto"/>
            </w:tcBorders>
          </w:tcPr>
          <w:p w14:paraId="1B372E3C"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-0.68 (-1.11, -0.25)**</w:t>
            </w:r>
          </w:p>
        </w:tc>
        <w:tc>
          <w:tcPr>
            <w:tcW w:w="1980" w:type="dxa"/>
            <w:tcBorders>
              <w:top w:val="single" w:sz="4" w:space="0" w:color="auto"/>
            </w:tcBorders>
          </w:tcPr>
          <w:p w14:paraId="2EF572BD"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-0.07 (-0.11, -0.04)***</w:t>
            </w:r>
          </w:p>
        </w:tc>
        <w:tc>
          <w:tcPr>
            <w:tcW w:w="1710" w:type="dxa"/>
            <w:tcBorders>
              <w:top w:val="single" w:sz="4" w:space="0" w:color="auto"/>
            </w:tcBorders>
          </w:tcPr>
          <w:p w14:paraId="193F8651" w14:textId="77777777" w:rsidR="004E19F4" w:rsidRPr="006B575D" w:rsidRDefault="004E19F4" w:rsidP="00A949FD">
            <w:pPr>
              <w:rPr>
                <w:rFonts w:ascii="Arial" w:hAnsi="Arial" w:cs="Arial"/>
                <w:sz w:val="16"/>
                <w:szCs w:val="16"/>
              </w:rPr>
            </w:pPr>
            <w:r w:rsidRPr="006B575D">
              <w:rPr>
                <w:rFonts w:ascii="Arial" w:hAnsi="Arial" w:cs="Arial"/>
                <w:sz w:val="16"/>
                <w:szCs w:val="16"/>
              </w:rPr>
              <w:t>-1.07 (-2.12, -0.02)*</w:t>
            </w:r>
          </w:p>
        </w:tc>
        <w:tc>
          <w:tcPr>
            <w:tcW w:w="1832" w:type="dxa"/>
            <w:tcBorders>
              <w:top w:val="single" w:sz="4" w:space="0" w:color="auto"/>
            </w:tcBorders>
          </w:tcPr>
          <w:p w14:paraId="35109A1B"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-0.02 (-0.03, -0.01)**</w:t>
            </w:r>
          </w:p>
        </w:tc>
      </w:tr>
      <w:tr w:rsidR="004E19F4" w:rsidRPr="006B575D" w14:paraId="3A228698" w14:textId="77777777" w:rsidTr="00A949FD">
        <w:trPr>
          <w:trHeight w:val="23"/>
        </w:trPr>
        <w:tc>
          <w:tcPr>
            <w:tcW w:w="2700" w:type="dxa"/>
          </w:tcPr>
          <w:p w14:paraId="451B804D"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w:t>
            </w:r>
          </w:p>
        </w:tc>
        <w:tc>
          <w:tcPr>
            <w:tcW w:w="1710" w:type="dxa"/>
          </w:tcPr>
          <w:p w14:paraId="4B15F57F"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0.10 (0.03, 0.17)**</w:t>
            </w:r>
          </w:p>
        </w:tc>
        <w:tc>
          <w:tcPr>
            <w:tcW w:w="1980" w:type="dxa"/>
          </w:tcPr>
          <w:p w14:paraId="2477D5B7"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0.010 (0.004, 0.02)**</w:t>
            </w:r>
          </w:p>
        </w:tc>
        <w:tc>
          <w:tcPr>
            <w:tcW w:w="1710" w:type="dxa"/>
          </w:tcPr>
          <w:p w14:paraId="244E9963" w14:textId="77777777" w:rsidR="004E19F4" w:rsidRPr="006B575D" w:rsidRDefault="004E19F4" w:rsidP="00A949FD">
            <w:pPr>
              <w:rPr>
                <w:rFonts w:ascii="Arial" w:hAnsi="Arial" w:cs="Arial"/>
                <w:sz w:val="16"/>
                <w:szCs w:val="16"/>
              </w:rPr>
            </w:pPr>
            <w:r w:rsidRPr="006B575D">
              <w:rPr>
                <w:rFonts w:ascii="Arial" w:hAnsi="Arial" w:cs="Arial"/>
                <w:sz w:val="16"/>
                <w:szCs w:val="16"/>
              </w:rPr>
              <w:t>0.16 (-0.01, 0.33)</w:t>
            </w:r>
          </w:p>
        </w:tc>
        <w:tc>
          <w:tcPr>
            <w:tcW w:w="1832" w:type="dxa"/>
          </w:tcPr>
          <w:p w14:paraId="765F1E83"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0.002 (0.001, 0.004)*</w:t>
            </w:r>
          </w:p>
        </w:tc>
      </w:tr>
      <w:tr w:rsidR="004E19F4" w:rsidRPr="006B575D"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6B575D" w:rsidRDefault="004E19F4" w:rsidP="00A949FD">
            <w:pPr>
              <w:rPr>
                <w:rFonts w:ascii="Arial" w:hAnsi="Arial" w:cs="Arial"/>
                <w:sz w:val="16"/>
                <w:szCs w:val="16"/>
              </w:rPr>
            </w:pPr>
            <w:r w:rsidRPr="006B575D">
              <w:rPr>
                <w:rFonts w:ascii="Arial" w:hAnsi="Arial" w:cs="Arial"/>
                <w:b/>
                <w:bCs/>
                <w:sz w:val="16"/>
                <w:szCs w:val="16"/>
              </w:rPr>
              <w:t>Sensitivity analysis 1 (n = 2,498)</w:t>
            </w:r>
            <w:r w:rsidRPr="006B575D">
              <w:rPr>
                <w:rFonts w:ascii="Arial" w:hAnsi="Arial" w:cs="Arial"/>
                <w:sz w:val="16"/>
                <w:szCs w:val="16"/>
                <w:shd w:val="clear" w:color="auto" w:fill="FFFFFF"/>
                <w:vertAlign w:val="superscript"/>
              </w:rPr>
              <w:t xml:space="preserve"> ††</w:t>
            </w:r>
          </w:p>
        </w:tc>
      </w:tr>
      <w:tr w:rsidR="004E19F4" w:rsidRPr="006B575D" w14:paraId="1E702D25" w14:textId="77777777" w:rsidTr="00A949FD">
        <w:trPr>
          <w:trHeight w:val="23"/>
        </w:trPr>
        <w:tc>
          <w:tcPr>
            <w:tcW w:w="2700" w:type="dxa"/>
            <w:tcBorders>
              <w:top w:val="single" w:sz="4" w:space="0" w:color="auto"/>
            </w:tcBorders>
          </w:tcPr>
          <w:p w14:paraId="1CC2E137"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w:t>
            </w:r>
          </w:p>
        </w:tc>
        <w:tc>
          <w:tcPr>
            <w:tcW w:w="1710" w:type="dxa"/>
            <w:tcBorders>
              <w:top w:val="single" w:sz="4" w:space="0" w:color="auto"/>
            </w:tcBorders>
          </w:tcPr>
          <w:p w14:paraId="7B46B2B9"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-0.80 (-1.30, -0.30)**</w:t>
            </w:r>
          </w:p>
        </w:tc>
        <w:tc>
          <w:tcPr>
            <w:tcW w:w="1980" w:type="dxa"/>
            <w:tcBorders>
              <w:top w:val="single" w:sz="4" w:space="0" w:color="auto"/>
            </w:tcBorders>
          </w:tcPr>
          <w:p w14:paraId="624368CD"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-0.08 (-0.12, -0.04)***</w:t>
            </w:r>
          </w:p>
        </w:tc>
        <w:tc>
          <w:tcPr>
            <w:tcW w:w="1710" w:type="dxa"/>
            <w:tcBorders>
              <w:top w:val="single" w:sz="4" w:space="0" w:color="auto"/>
            </w:tcBorders>
          </w:tcPr>
          <w:p w14:paraId="4F187B94" w14:textId="77777777" w:rsidR="004E19F4" w:rsidRPr="006B575D" w:rsidRDefault="004E19F4" w:rsidP="00A949FD">
            <w:pPr>
              <w:rPr>
                <w:rFonts w:ascii="Arial" w:hAnsi="Arial" w:cs="Arial"/>
                <w:sz w:val="16"/>
                <w:szCs w:val="16"/>
              </w:rPr>
            </w:pPr>
            <w:r w:rsidRPr="006B575D">
              <w:rPr>
                <w:rFonts w:ascii="Arial" w:hAnsi="Arial" w:cs="Arial"/>
                <w:sz w:val="16"/>
                <w:szCs w:val="16"/>
              </w:rPr>
              <w:t>-1.10 (-2.10, -0.10)*</w:t>
            </w:r>
          </w:p>
        </w:tc>
        <w:tc>
          <w:tcPr>
            <w:tcW w:w="1832" w:type="dxa"/>
            <w:tcBorders>
              <w:top w:val="single" w:sz="4" w:space="0" w:color="auto"/>
            </w:tcBorders>
          </w:tcPr>
          <w:p w14:paraId="7949C74F"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-0.02 (-0.03, -0.01)**</w:t>
            </w:r>
          </w:p>
        </w:tc>
      </w:tr>
      <w:tr w:rsidR="004E19F4" w:rsidRPr="006B575D" w14:paraId="462A4BC5" w14:textId="77777777" w:rsidTr="00A949FD">
        <w:trPr>
          <w:trHeight w:val="23"/>
        </w:trPr>
        <w:tc>
          <w:tcPr>
            <w:tcW w:w="2700" w:type="dxa"/>
            <w:tcBorders>
              <w:bottom w:val="single" w:sz="4" w:space="0" w:color="auto"/>
            </w:tcBorders>
          </w:tcPr>
          <w:p w14:paraId="50809944"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w:t>
            </w:r>
          </w:p>
        </w:tc>
        <w:tc>
          <w:tcPr>
            <w:tcW w:w="1710" w:type="dxa"/>
            <w:tcBorders>
              <w:bottom w:val="single" w:sz="4" w:space="0" w:color="auto"/>
            </w:tcBorders>
          </w:tcPr>
          <w:p w14:paraId="7084A1B6"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0.17 (0.09, 0.25)***</w:t>
            </w:r>
          </w:p>
        </w:tc>
        <w:tc>
          <w:tcPr>
            <w:tcW w:w="1980" w:type="dxa"/>
            <w:tcBorders>
              <w:bottom w:val="single" w:sz="4" w:space="0" w:color="auto"/>
            </w:tcBorders>
          </w:tcPr>
          <w:p w14:paraId="2B3CC56B"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0.013 (0.007, 0.02)***</w:t>
            </w:r>
          </w:p>
        </w:tc>
        <w:tc>
          <w:tcPr>
            <w:tcW w:w="1710" w:type="dxa"/>
            <w:tcBorders>
              <w:bottom w:val="single" w:sz="4" w:space="0" w:color="auto"/>
            </w:tcBorders>
          </w:tcPr>
          <w:p w14:paraId="556E6EEA"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0.23 (0.08, 0.39)**</w:t>
            </w:r>
          </w:p>
        </w:tc>
        <w:tc>
          <w:tcPr>
            <w:tcW w:w="1832" w:type="dxa"/>
            <w:tcBorders>
              <w:bottom w:val="single" w:sz="4" w:space="0" w:color="auto"/>
            </w:tcBorders>
          </w:tcPr>
          <w:p w14:paraId="08A1E712"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0.004 (0.002, 0.01)***</w:t>
            </w:r>
          </w:p>
        </w:tc>
      </w:tr>
      <w:tr w:rsidR="004E19F4" w:rsidRPr="006B575D"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6B575D" w:rsidRDefault="004E19F4" w:rsidP="00A949FD">
            <w:pPr>
              <w:rPr>
                <w:rFonts w:ascii="Arial" w:hAnsi="Arial" w:cs="Arial"/>
                <w:b/>
                <w:bCs/>
                <w:sz w:val="16"/>
                <w:szCs w:val="16"/>
              </w:rPr>
            </w:pPr>
            <w:r w:rsidRPr="006B575D">
              <w:rPr>
                <w:rFonts w:ascii="Arial" w:hAnsi="Arial" w:cs="Arial"/>
                <w:b/>
                <w:bCs/>
                <w:sz w:val="16"/>
                <w:szCs w:val="16"/>
              </w:rPr>
              <w:t>Sensitivity analysis 2 (n = 1.970)</w:t>
            </w:r>
            <w:r w:rsidRPr="006B575D">
              <w:rPr>
                <w:rFonts w:ascii="Arial" w:hAnsi="Arial" w:cs="Arial"/>
                <w:sz w:val="16"/>
                <w:szCs w:val="16"/>
                <w:shd w:val="clear" w:color="auto" w:fill="FFFFFF"/>
                <w:vertAlign w:val="superscript"/>
              </w:rPr>
              <w:t xml:space="preserve"> †</w:t>
            </w:r>
          </w:p>
        </w:tc>
      </w:tr>
      <w:tr w:rsidR="004E19F4" w:rsidRPr="006B575D" w14:paraId="40004218" w14:textId="77777777" w:rsidTr="00A949FD">
        <w:trPr>
          <w:trHeight w:val="23"/>
        </w:trPr>
        <w:tc>
          <w:tcPr>
            <w:tcW w:w="2700" w:type="dxa"/>
            <w:tcBorders>
              <w:top w:val="single" w:sz="4" w:space="0" w:color="auto"/>
            </w:tcBorders>
          </w:tcPr>
          <w:p w14:paraId="53BA027C"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w:t>
            </w:r>
          </w:p>
        </w:tc>
        <w:tc>
          <w:tcPr>
            <w:tcW w:w="1710" w:type="dxa"/>
            <w:tcBorders>
              <w:top w:val="single" w:sz="4" w:space="0" w:color="auto"/>
            </w:tcBorders>
          </w:tcPr>
          <w:p w14:paraId="21FE2B23" w14:textId="77777777" w:rsidR="004E19F4" w:rsidRPr="006B575D" w:rsidRDefault="004E19F4" w:rsidP="00A949FD">
            <w:pPr>
              <w:rPr>
                <w:rFonts w:ascii="Arial" w:hAnsi="Arial" w:cs="Arial"/>
                <w:sz w:val="16"/>
                <w:szCs w:val="16"/>
              </w:rPr>
            </w:pPr>
            <w:r w:rsidRPr="006B575D">
              <w:rPr>
                <w:rFonts w:ascii="Arial" w:hAnsi="Arial" w:cs="Arial"/>
                <w:sz w:val="16"/>
                <w:szCs w:val="16"/>
              </w:rPr>
              <w:t>-0.27 (-2.76, 2.22)</w:t>
            </w:r>
          </w:p>
        </w:tc>
        <w:tc>
          <w:tcPr>
            <w:tcW w:w="1980" w:type="dxa"/>
            <w:tcBorders>
              <w:top w:val="single" w:sz="4" w:space="0" w:color="auto"/>
            </w:tcBorders>
          </w:tcPr>
          <w:p w14:paraId="2EC99A42" w14:textId="77777777" w:rsidR="004E19F4" w:rsidRPr="006B575D" w:rsidRDefault="004E19F4" w:rsidP="00A949FD">
            <w:pPr>
              <w:rPr>
                <w:rFonts w:ascii="Arial" w:hAnsi="Arial" w:cs="Arial"/>
                <w:sz w:val="16"/>
                <w:szCs w:val="16"/>
              </w:rPr>
            </w:pPr>
            <w:r w:rsidRPr="006B575D">
              <w:rPr>
                <w:rFonts w:ascii="Arial" w:hAnsi="Arial" w:cs="Arial"/>
                <w:sz w:val="16"/>
                <w:szCs w:val="16"/>
              </w:rPr>
              <w:t>-0.21 (-0.45, 0.04)</w:t>
            </w:r>
          </w:p>
        </w:tc>
        <w:tc>
          <w:tcPr>
            <w:tcW w:w="1710" w:type="dxa"/>
            <w:tcBorders>
              <w:top w:val="single" w:sz="4" w:space="0" w:color="auto"/>
            </w:tcBorders>
          </w:tcPr>
          <w:p w14:paraId="072FA6D4" w14:textId="77777777" w:rsidR="004E19F4" w:rsidRPr="006B575D" w:rsidRDefault="004E19F4" w:rsidP="00A949FD">
            <w:pPr>
              <w:rPr>
                <w:rFonts w:ascii="Arial" w:hAnsi="Arial" w:cs="Arial"/>
                <w:sz w:val="16"/>
                <w:szCs w:val="16"/>
              </w:rPr>
            </w:pPr>
            <w:r w:rsidRPr="006B575D">
              <w:rPr>
                <w:rFonts w:ascii="Arial" w:hAnsi="Arial" w:cs="Arial"/>
                <w:sz w:val="16"/>
                <w:szCs w:val="16"/>
              </w:rPr>
              <w:t>-2.75 (-8.56, 3.06)</w:t>
            </w:r>
          </w:p>
        </w:tc>
        <w:tc>
          <w:tcPr>
            <w:tcW w:w="1832" w:type="dxa"/>
            <w:tcBorders>
              <w:top w:val="single" w:sz="4" w:space="0" w:color="auto"/>
            </w:tcBorders>
          </w:tcPr>
          <w:p w14:paraId="4A1FC61E" w14:textId="77777777" w:rsidR="004E19F4" w:rsidRPr="006B575D" w:rsidRDefault="004E19F4" w:rsidP="00A949FD">
            <w:pPr>
              <w:rPr>
                <w:rFonts w:ascii="Arial" w:hAnsi="Arial" w:cs="Arial"/>
                <w:sz w:val="16"/>
                <w:szCs w:val="16"/>
              </w:rPr>
            </w:pPr>
            <w:r w:rsidRPr="006B575D">
              <w:rPr>
                <w:rFonts w:ascii="Arial" w:hAnsi="Arial" w:cs="Arial"/>
                <w:sz w:val="16"/>
                <w:szCs w:val="16"/>
              </w:rPr>
              <w:t>-0.02 (-0.10, 0.05)</w:t>
            </w:r>
          </w:p>
        </w:tc>
      </w:tr>
      <w:tr w:rsidR="004E19F4" w:rsidRPr="006B575D" w14:paraId="327DF721" w14:textId="77777777" w:rsidTr="00A949FD">
        <w:trPr>
          <w:trHeight w:val="23"/>
        </w:trPr>
        <w:tc>
          <w:tcPr>
            <w:tcW w:w="2700" w:type="dxa"/>
          </w:tcPr>
          <w:p w14:paraId="64F45A59"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w:t>
            </w:r>
          </w:p>
        </w:tc>
        <w:tc>
          <w:tcPr>
            <w:tcW w:w="1710" w:type="dxa"/>
          </w:tcPr>
          <w:p w14:paraId="0D3AFB0D" w14:textId="77777777" w:rsidR="004E19F4" w:rsidRPr="006B575D" w:rsidRDefault="004E19F4" w:rsidP="00A949FD">
            <w:pPr>
              <w:rPr>
                <w:rFonts w:ascii="Arial" w:hAnsi="Arial" w:cs="Arial"/>
                <w:sz w:val="16"/>
                <w:szCs w:val="16"/>
              </w:rPr>
            </w:pPr>
            <w:r w:rsidRPr="006B575D">
              <w:rPr>
                <w:rFonts w:ascii="Arial" w:hAnsi="Arial" w:cs="Arial"/>
                <w:sz w:val="16"/>
                <w:szCs w:val="16"/>
              </w:rPr>
              <w:t>0.06 (-0.33, 0.46)</w:t>
            </w:r>
          </w:p>
        </w:tc>
        <w:tc>
          <w:tcPr>
            <w:tcW w:w="1980" w:type="dxa"/>
          </w:tcPr>
          <w:p w14:paraId="2ABDD8B9" w14:textId="77777777" w:rsidR="004E19F4" w:rsidRPr="006B575D" w:rsidRDefault="004E19F4" w:rsidP="00A949FD">
            <w:pPr>
              <w:rPr>
                <w:rFonts w:ascii="Arial" w:hAnsi="Arial" w:cs="Arial"/>
                <w:sz w:val="16"/>
                <w:szCs w:val="16"/>
              </w:rPr>
            </w:pPr>
            <w:r w:rsidRPr="006B575D">
              <w:rPr>
                <w:rFonts w:ascii="Arial" w:hAnsi="Arial" w:cs="Arial"/>
                <w:sz w:val="16"/>
                <w:szCs w:val="16"/>
              </w:rPr>
              <w:t>0.03 (-0.01, 0.06)</w:t>
            </w:r>
          </w:p>
        </w:tc>
        <w:tc>
          <w:tcPr>
            <w:tcW w:w="1710" w:type="dxa"/>
          </w:tcPr>
          <w:p w14:paraId="502FF11F" w14:textId="77777777" w:rsidR="004E19F4" w:rsidRPr="006B575D" w:rsidRDefault="004E19F4" w:rsidP="00A949FD">
            <w:pPr>
              <w:rPr>
                <w:rFonts w:ascii="Arial" w:hAnsi="Arial" w:cs="Arial"/>
                <w:sz w:val="16"/>
                <w:szCs w:val="16"/>
              </w:rPr>
            </w:pPr>
            <w:r w:rsidRPr="006B575D">
              <w:rPr>
                <w:rFonts w:ascii="Arial" w:hAnsi="Arial" w:cs="Arial"/>
                <w:sz w:val="16"/>
                <w:szCs w:val="16"/>
              </w:rPr>
              <w:t>0.50 (-0.33, 1.32)</w:t>
            </w:r>
          </w:p>
        </w:tc>
        <w:tc>
          <w:tcPr>
            <w:tcW w:w="1832" w:type="dxa"/>
          </w:tcPr>
          <w:p w14:paraId="5A4209C7" w14:textId="77777777" w:rsidR="004E19F4" w:rsidRPr="006B575D" w:rsidRDefault="004E19F4" w:rsidP="00A949FD">
            <w:pPr>
              <w:rPr>
                <w:rFonts w:ascii="Arial" w:hAnsi="Arial" w:cs="Arial"/>
                <w:sz w:val="16"/>
                <w:szCs w:val="16"/>
              </w:rPr>
            </w:pPr>
            <w:r w:rsidRPr="006B575D">
              <w:rPr>
                <w:rFonts w:ascii="Arial" w:hAnsi="Arial" w:cs="Arial"/>
                <w:sz w:val="16"/>
                <w:szCs w:val="16"/>
              </w:rPr>
              <w:t>-0.005 (-0.005, 0.015)</w:t>
            </w:r>
          </w:p>
        </w:tc>
      </w:tr>
      <w:tr w:rsidR="004E19F4" w:rsidRPr="006B575D" w14:paraId="43314113" w14:textId="77777777" w:rsidTr="00A949FD">
        <w:trPr>
          <w:trHeight w:val="23"/>
        </w:trPr>
        <w:tc>
          <w:tcPr>
            <w:tcW w:w="2700" w:type="dxa"/>
          </w:tcPr>
          <w:p w14:paraId="257E6CAE"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 xml:space="preserve">Years since last birth </w:t>
            </w:r>
          </w:p>
        </w:tc>
        <w:tc>
          <w:tcPr>
            <w:tcW w:w="1710" w:type="dxa"/>
          </w:tcPr>
          <w:p w14:paraId="7E1C11D2" w14:textId="77777777" w:rsidR="004E19F4" w:rsidRPr="006B575D" w:rsidRDefault="004E19F4" w:rsidP="00A949FD">
            <w:pPr>
              <w:rPr>
                <w:rFonts w:ascii="Arial" w:hAnsi="Arial" w:cs="Arial"/>
                <w:sz w:val="16"/>
                <w:szCs w:val="16"/>
              </w:rPr>
            </w:pPr>
            <w:r w:rsidRPr="006B575D">
              <w:rPr>
                <w:rFonts w:ascii="Arial" w:hAnsi="Arial" w:cs="Arial"/>
                <w:sz w:val="16"/>
                <w:szCs w:val="16"/>
              </w:rPr>
              <w:t>-0.01 (-0.11, 0.08)</w:t>
            </w:r>
          </w:p>
        </w:tc>
        <w:tc>
          <w:tcPr>
            <w:tcW w:w="1980" w:type="dxa"/>
          </w:tcPr>
          <w:p w14:paraId="15E4917D" w14:textId="77777777" w:rsidR="004E19F4" w:rsidRPr="006B575D" w:rsidRDefault="004E19F4" w:rsidP="00A949FD">
            <w:pPr>
              <w:rPr>
                <w:rFonts w:ascii="Arial" w:hAnsi="Arial" w:cs="Arial"/>
                <w:sz w:val="16"/>
                <w:szCs w:val="16"/>
              </w:rPr>
            </w:pPr>
            <w:r w:rsidRPr="006B575D">
              <w:rPr>
                <w:rFonts w:ascii="Arial" w:hAnsi="Arial" w:cs="Arial"/>
                <w:sz w:val="16"/>
                <w:szCs w:val="16"/>
              </w:rPr>
              <w:t>-0.002 (-0.01, 0.01)</w:t>
            </w:r>
          </w:p>
        </w:tc>
        <w:tc>
          <w:tcPr>
            <w:tcW w:w="1710" w:type="dxa"/>
          </w:tcPr>
          <w:p w14:paraId="7CAE26F9" w14:textId="77777777" w:rsidR="004E19F4" w:rsidRPr="006B575D" w:rsidRDefault="004E19F4" w:rsidP="00A949FD">
            <w:pPr>
              <w:rPr>
                <w:rFonts w:ascii="Arial" w:hAnsi="Arial" w:cs="Arial"/>
                <w:sz w:val="16"/>
                <w:szCs w:val="16"/>
              </w:rPr>
            </w:pPr>
            <w:r w:rsidRPr="006B575D">
              <w:rPr>
                <w:rFonts w:ascii="Arial" w:hAnsi="Arial" w:cs="Arial"/>
                <w:sz w:val="16"/>
                <w:szCs w:val="16"/>
              </w:rPr>
              <w:t>-0.02 (-0.32, 0.27)</w:t>
            </w:r>
          </w:p>
        </w:tc>
        <w:tc>
          <w:tcPr>
            <w:tcW w:w="1832" w:type="dxa"/>
          </w:tcPr>
          <w:p w14:paraId="401A11FF" w14:textId="77777777" w:rsidR="004E19F4" w:rsidRPr="006B575D" w:rsidRDefault="004E19F4" w:rsidP="00A949FD">
            <w:pPr>
              <w:rPr>
                <w:rFonts w:ascii="Arial" w:hAnsi="Arial" w:cs="Arial"/>
                <w:sz w:val="16"/>
                <w:szCs w:val="16"/>
              </w:rPr>
            </w:pPr>
            <w:r w:rsidRPr="006B575D">
              <w:rPr>
                <w:rFonts w:ascii="Arial" w:hAnsi="Arial" w:cs="Arial"/>
                <w:sz w:val="16"/>
                <w:szCs w:val="16"/>
              </w:rPr>
              <w:t>0.001 (-0.003, 0.004)</w:t>
            </w:r>
          </w:p>
        </w:tc>
      </w:tr>
      <w:tr w:rsidR="004E19F4" w:rsidRPr="006B575D" w14:paraId="79DB3092" w14:textId="77777777" w:rsidTr="00A949FD">
        <w:trPr>
          <w:trHeight w:val="23"/>
        </w:trPr>
        <w:tc>
          <w:tcPr>
            <w:tcW w:w="2700" w:type="dxa"/>
          </w:tcPr>
          <w:p w14:paraId="539A3CC9"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(linear) x years since last live birth</w:t>
            </w:r>
          </w:p>
        </w:tc>
        <w:tc>
          <w:tcPr>
            <w:tcW w:w="1710" w:type="dxa"/>
          </w:tcPr>
          <w:p w14:paraId="5F1ABE6A" w14:textId="77777777" w:rsidR="004E19F4" w:rsidRPr="006B575D" w:rsidRDefault="004E19F4" w:rsidP="00A949FD">
            <w:pPr>
              <w:rPr>
                <w:rFonts w:ascii="Arial" w:hAnsi="Arial" w:cs="Arial"/>
                <w:sz w:val="16"/>
                <w:szCs w:val="16"/>
              </w:rPr>
            </w:pPr>
            <w:r w:rsidRPr="006B575D">
              <w:rPr>
                <w:rFonts w:ascii="Arial" w:hAnsi="Arial" w:cs="Arial"/>
                <w:sz w:val="16"/>
                <w:szCs w:val="16"/>
              </w:rPr>
              <w:t>0.005 (-0.07, 0.08)</w:t>
            </w:r>
          </w:p>
        </w:tc>
        <w:tc>
          <w:tcPr>
            <w:tcW w:w="1980" w:type="dxa"/>
          </w:tcPr>
          <w:p w14:paraId="2007C8B8" w14:textId="77777777" w:rsidR="004E19F4" w:rsidRPr="006B575D" w:rsidRDefault="004E19F4" w:rsidP="00A949FD">
            <w:pPr>
              <w:rPr>
                <w:rFonts w:ascii="Arial" w:hAnsi="Arial" w:cs="Arial"/>
                <w:sz w:val="16"/>
                <w:szCs w:val="16"/>
              </w:rPr>
            </w:pPr>
            <w:r w:rsidRPr="006B575D">
              <w:rPr>
                <w:rFonts w:ascii="Arial" w:hAnsi="Arial" w:cs="Arial"/>
                <w:sz w:val="16"/>
                <w:szCs w:val="16"/>
              </w:rPr>
              <w:t>0.004 (-0.002, 0.01)</w:t>
            </w:r>
          </w:p>
        </w:tc>
        <w:tc>
          <w:tcPr>
            <w:tcW w:w="1710" w:type="dxa"/>
          </w:tcPr>
          <w:p w14:paraId="65ABF702" w14:textId="77777777" w:rsidR="004E19F4" w:rsidRPr="006B575D" w:rsidRDefault="004E19F4" w:rsidP="00A949FD">
            <w:pPr>
              <w:rPr>
                <w:rFonts w:ascii="Arial" w:hAnsi="Arial" w:cs="Arial"/>
                <w:sz w:val="16"/>
                <w:szCs w:val="16"/>
              </w:rPr>
            </w:pPr>
            <w:r w:rsidRPr="006B575D">
              <w:rPr>
                <w:rFonts w:ascii="Arial" w:hAnsi="Arial" w:cs="Arial"/>
                <w:sz w:val="16"/>
                <w:szCs w:val="16"/>
              </w:rPr>
              <w:t>0.07 (-0.10, 0.24)</w:t>
            </w:r>
          </w:p>
        </w:tc>
        <w:tc>
          <w:tcPr>
            <w:tcW w:w="1832" w:type="dxa"/>
          </w:tcPr>
          <w:p w14:paraId="11300276" w14:textId="77777777" w:rsidR="004E19F4" w:rsidRPr="006B575D" w:rsidRDefault="004E19F4" w:rsidP="00A949FD">
            <w:pPr>
              <w:rPr>
                <w:rFonts w:ascii="Arial" w:hAnsi="Arial" w:cs="Arial"/>
                <w:sz w:val="16"/>
                <w:szCs w:val="16"/>
              </w:rPr>
            </w:pPr>
            <w:r w:rsidRPr="006B575D">
              <w:rPr>
                <w:rFonts w:ascii="Arial" w:hAnsi="Arial" w:cs="Arial"/>
                <w:sz w:val="16"/>
                <w:szCs w:val="16"/>
              </w:rPr>
              <w:t>0.0003 (-0.002, 0.002)</w:t>
            </w:r>
          </w:p>
        </w:tc>
      </w:tr>
      <w:tr w:rsidR="004E19F4" w:rsidRPr="006B575D" w14:paraId="1F67CA54" w14:textId="77777777" w:rsidTr="00A949FD">
        <w:trPr>
          <w:trHeight w:val="23"/>
        </w:trPr>
        <w:tc>
          <w:tcPr>
            <w:tcW w:w="2700" w:type="dxa"/>
            <w:tcBorders>
              <w:bottom w:val="single" w:sz="4" w:space="0" w:color="auto"/>
            </w:tcBorders>
          </w:tcPr>
          <w:p w14:paraId="68E34AB8" w14:textId="77777777" w:rsidR="004E19F4" w:rsidRPr="006B575D" w:rsidRDefault="004E19F4" w:rsidP="00A949FD">
            <w:pPr>
              <w:ind w:left="160"/>
              <w:rPr>
                <w:rFonts w:ascii="Arial" w:hAnsi="Arial" w:cs="Arial"/>
                <w:sz w:val="16"/>
                <w:szCs w:val="16"/>
              </w:rPr>
            </w:pPr>
            <w:r w:rsidRPr="006B575D">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6B575D" w:rsidRDefault="004E19F4" w:rsidP="00A949FD">
            <w:pPr>
              <w:rPr>
                <w:rFonts w:ascii="Arial" w:hAnsi="Arial" w:cs="Arial"/>
                <w:sz w:val="16"/>
                <w:szCs w:val="16"/>
              </w:rPr>
            </w:pPr>
            <w:r w:rsidRPr="006B575D">
              <w:rPr>
                <w:rFonts w:ascii="Arial" w:hAnsi="Arial" w:cs="Arial"/>
                <w:sz w:val="16"/>
                <w:szCs w:val="16"/>
              </w:rPr>
              <w:t>-0.001 (-0.01, 0.01)</w:t>
            </w:r>
          </w:p>
        </w:tc>
        <w:tc>
          <w:tcPr>
            <w:tcW w:w="1980" w:type="dxa"/>
            <w:tcBorders>
              <w:bottom w:val="single" w:sz="4" w:space="0" w:color="auto"/>
            </w:tcBorders>
          </w:tcPr>
          <w:p w14:paraId="5C9E2010" w14:textId="77777777" w:rsidR="004E19F4" w:rsidRPr="006B575D" w:rsidRDefault="004E19F4" w:rsidP="00A949FD">
            <w:pPr>
              <w:rPr>
                <w:rFonts w:ascii="Arial" w:hAnsi="Arial" w:cs="Arial"/>
                <w:sz w:val="16"/>
                <w:szCs w:val="16"/>
              </w:rPr>
            </w:pPr>
            <w:r w:rsidRPr="006B575D">
              <w:rPr>
                <w:rFonts w:ascii="Arial" w:hAnsi="Arial" w:cs="Arial"/>
                <w:sz w:val="16"/>
                <w:szCs w:val="16"/>
              </w:rPr>
              <w:t>-0.001 (-0.002, 0.000)</w:t>
            </w:r>
          </w:p>
        </w:tc>
        <w:tc>
          <w:tcPr>
            <w:tcW w:w="1710" w:type="dxa"/>
            <w:tcBorders>
              <w:bottom w:val="single" w:sz="4" w:space="0" w:color="auto"/>
            </w:tcBorders>
          </w:tcPr>
          <w:p w14:paraId="39410052" w14:textId="77777777" w:rsidR="004E19F4" w:rsidRPr="006B575D" w:rsidRDefault="004E19F4" w:rsidP="00A949FD">
            <w:pPr>
              <w:rPr>
                <w:rFonts w:ascii="Arial" w:hAnsi="Arial" w:cs="Arial"/>
                <w:sz w:val="16"/>
                <w:szCs w:val="16"/>
              </w:rPr>
            </w:pPr>
            <w:r w:rsidRPr="006B575D">
              <w:rPr>
                <w:rFonts w:ascii="Arial" w:hAnsi="Arial" w:cs="Arial"/>
                <w:sz w:val="16"/>
                <w:szCs w:val="16"/>
              </w:rPr>
              <w:t>-0.01 (-0.04, 0.01)</w:t>
            </w:r>
          </w:p>
        </w:tc>
        <w:tc>
          <w:tcPr>
            <w:tcW w:w="1832" w:type="dxa"/>
            <w:tcBorders>
              <w:bottom w:val="single" w:sz="4" w:space="0" w:color="auto"/>
            </w:tcBorders>
          </w:tcPr>
          <w:p w14:paraId="0DB622F5" w14:textId="77777777" w:rsidR="004E19F4" w:rsidRPr="006B575D" w:rsidRDefault="004E19F4" w:rsidP="00A949FD">
            <w:pPr>
              <w:rPr>
                <w:rFonts w:ascii="Arial" w:hAnsi="Arial" w:cs="Arial"/>
                <w:sz w:val="16"/>
                <w:szCs w:val="16"/>
              </w:rPr>
            </w:pPr>
            <w:r w:rsidRPr="006B575D">
              <w:rPr>
                <w:rFonts w:ascii="Arial" w:hAnsi="Arial" w:cs="Arial"/>
                <w:sz w:val="16"/>
                <w:szCs w:val="16"/>
              </w:rPr>
              <w:t>-0.0001 (-0.0004, 0.0002)</w:t>
            </w:r>
          </w:p>
        </w:tc>
      </w:tr>
    </w:tbl>
    <w:p w14:paraId="6BC9AA44" w14:textId="77777777" w:rsidR="004E19F4" w:rsidRPr="006B575D" w:rsidRDefault="004E19F4" w:rsidP="004E19F4">
      <w:pPr>
        <w:shd w:val="clear" w:color="auto" w:fill="FFFFFF"/>
        <w:spacing w:line="240" w:lineRule="auto"/>
        <w:rPr>
          <w:sz w:val="16"/>
          <w:szCs w:val="16"/>
          <w:shd w:val="clear" w:color="auto" w:fill="FFFFFF"/>
        </w:rPr>
      </w:pPr>
      <w:r w:rsidRPr="006B575D">
        <w:rPr>
          <w:sz w:val="16"/>
          <w:szCs w:val="16"/>
          <w:shd w:val="clear" w:color="auto" w:fill="FFFFFF"/>
          <w:vertAlign w:val="superscript"/>
        </w:rPr>
        <w:t>†</w:t>
      </w:r>
      <w:r w:rsidRPr="006B575D">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6B575D" w:rsidRDefault="004E19F4" w:rsidP="004E19F4">
      <w:pPr>
        <w:shd w:val="clear" w:color="auto" w:fill="FFFFFF"/>
        <w:spacing w:line="240" w:lineRule="auto"/>
        <w:rPr>
          <w:sz w:val="16"/>
          <w:szCs w:val="16"/>
          <w:shd w:val="clear" w:color="auto" w:fill="FFFFFF"/>
        </w:rPr>
      </w:pPr>
      <w:r w:rsidRPr="006B575D">
        <w:rPr>
          <w:sz w:val="16"/>
          <w:szCs w:val="16"/>
          <w:shd w:val="clear" w:color="auto" w:fill="FFFFFF"/>
          <w:vertAlign w:val="superscript"/>
        </w:rPr>
        <w:t xml:space="preserve">†† </w:t>
      </w:r>
      <w:r w:rsidRPr="006B575D">
        <w:rPr>
          <w:sz w:val="16"/>
          <w:szCs w:val="16"/>
          <w:shd w:val="clear" w:color="auto" w:fill="FFFFFF"/>
        </w:rPr>
        <w:t xml:space="preserve">Model was adjusted for chronological age only. </w:t>
      </w:r>
    </w:p>
    <w:p w14:paraId="3B5599E5" w14:textId="77777777" w:rsidR="004E19F4" w:rsidRPr="006B575D" w:rsidRDefault="004E19F4" w:rsidP="004E19F4">
      <w:pPr>
        <w:shd w:val="clear" w:color="auto" w:fill="FFFFFF"/>
        <w:spacing w:line="240" w:lineRule="auto"/>
        <w:rPr>
          <w:b/>
          <w:bCs/>
          <w:sz w:val="16"/>
          <w:szCs w:val="16"/>
        </w:rPr>
      </w:pPr>
    </w:p>
    <w:p w14:paraId="1E238235" w14:textId="69D8FB2F" w:rsidR="00693C80" w:rsidRDefault="00764EF3" w:rsidP="00693C80">
      <w:pPr>
        <w:shd w:val="clear" w:color="auto" w:fill="FFFFFF"/>
        <w:spacing w:line="240" w:lineRule="auto"/>
        <w:rPr>
          <w:b/>
          <w:bCs/>
        </w:rPr>
      </w:pPr>
      <w:r w:rsidRPr="006B575D">
        <w:rPr>
          <w:i/>
        </w:rPr>
        <w:t>Notes:</w:t>
      </w:r>
      <w:r w:rsidRPr="006B575D">
        <w:t xml:space="preserve"> * </w:t>
      </w:r>
      <w:r w:rsidRPr="006B575D">
        <w:rPr>
          <w:i/>
        </w:rPr>
        <w:t>p</w:t>
      </w:r>
      <w:r w:rsidRPr="006B575D">
        <w:t xml:space="preserve"> &lt; 0.05,  ** </w:t>
      </w:r>
      <w:r w:rsidRPr="006B575D">
        <w:rPr>
          <w:i/>
        </w:rPr>
        <w:t>p</w:t>
      </w:r>
      <w:r w:rsidRPr="006B575D">
        <w:t xml:space="preserve"> &lt; 0.01, *** </w:t>
      </w:r>
      <w:r w:rsidRPr="006B575D">
        <w:rPr>
          <w:i/>
        </w:rPr>
        <w:t>p</w:t>
      </w:r>
      <w:r w:rsidRPr="006B575D">
        <w:t xml:space="preserve"> &lt; 0.001; values in </w:t>
      </w:r>
      <w:r w:rsidRPr="006B575D">
        <w:rPr>
          <w:b/>
          <w:bCs/>
        </w:rPr>
        <w:t>bold</w:t>
      </w:r>
      <w:r w:rsidRPr="006B575D">
        <w:t xml:space="preserve"> represent effects significant after multiple comparison correction at </w:t>
      </w:r>
      <w:r w:rsidRPr="006B575D">
        <w:sym w:font="Symbol" w:char="F061"/>
      </w:r>
      <w:r w:rsidRPr="006B575D">
        <w:t xml:space="preserve"> = (0.05/4) = 0.0125.</w:t>
      </w: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90A86" w14:textId="77777777" w:rsidR="00265FE1" w:rsidRDefault="00265FE1">
      <w:pPr>
        <w:spacing w:line="240" w:lineRule="auto"/>
      </w:pPr>
      <w:r>
        <w:separator/>
      </w:r>
    </w:p>
  </w:endnote>
  <w:endnote w:type="continuationSeparator" w:id="0">
    <w:p w14:paraId="13837256" w14:textId="77777777" w:rsidR="00265FE1" w:rsidRDefault="00265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7B2607" w:rsidRDefault="007B26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7B2607" w:rsidRDefault="007B2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EA570" w14:textId="77777777" w:rsidR="00265FE1" w:rsidRDefault="00265FE1">
      <w:pPr>
        <w:spacing w:line="240" w:lineRule="auto"/>
      </w:pPr>
      <w:r>
        <w:separator/>
      </w:r>
    </w:p>
  </w:footnote>
  <w:footnote w:type="continuationSeparator" w:id="0">
    <w:p w14:paraId="30A8981E" w14:textId="77777777" w:rsidR="00265FE1" w:rsidRDefault="00265F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94F35"/>
    <w:rsid w:val="000A073E"/>
    <w:rsid w:val="000A10F1"/>
    <w:rsid w:val="000A308A"/>
    <w:rsid w:val="000A6964"/>
    <w:rsid w:val="000C69A4"/>
    <w:rsid w:val="000D5CC4"/>
    <w:rsid w:val="00104571"/>
    <w:rsid w:val="00117586"/>
    <w:rsid w:val="00153F2E"/>
    <w:rsid w:val="0016249C"/>
    <w:rsid w:val="00163D8F"/>
    <w:rsid w:val="00175927"/>
    <w:rsid w:val="00176751"/>
    <w:rsid w:val="00184C96"/>
    <w:rsid w:val="001B00C3"/>
    <w:rsid w:val="001D4FCD"/>
    <w:rsid w:val="001D75AE"/>
    <w:rsid w:val="002035BD"/>
    <w:rsid w:val="002144E6"/>
    <w:rsid w:val="00226DED"/>
    <w:rsid w:val="00236A18"/>
    <w:rsid w:val="00252639"/>
    <w:rsid w:val="002533E0"/>
    <w:rsid w:val="00254B2C"/>
    <w:rsid w:val="002553B0"/>
    <w:rsid w:val="0025744F"/>
    <w:rsid w:val="00265FE1"/>
    <w:rsid w:val="00267581"/>
    <w:rsid w:val="002679A8"/>
    <w:rsid w:val="002732C1"/>
    <w:rsid w:val="002764C5"/>
    <w:rsid w:val="00276809"/>
    <w:rsid w:val="00294B8F"/>
    <w:rsid w:val="002B4C5F"/>
    <w:rsid w:val="002C57DC"/>
    <w:rsid w:val="002C760A"/>
    <w:rsid w:val="002D3166"/>
    <w:rsid w:val="002D5B28"/>
    <w:rsid w:val="002E54FE"/>
    <w:rsid w:val="003115A3"/>
    <w:rsid w:val="00313AD3"/>
    <w:rsid w:val="00331E34"/>
    <w:rsid w:val="00335A64"/>
    <w:rsid w:val="00343A24"/>
    <w:rsid w:val="003555C2"/>
    <w:rsid w:val="00380182"/>
    <w:rsid w:val="003811F0"/>
    <w:rsid w:val="00384564"/>
    <w:rsid w:val="0038620E"/>
    <w:rsid w:val="0039365A"/>
    <w:rsid w:val="003A2854"/>
    <w:rsid w:val="003A6280"/>
    <w:rsid w:val="003D5ACF"/>
    <w:rsid w:val="003E255F"/>
    <w:rsid w:val="0043189C"/>
    <w:rsid w:val="00432974"/>
    <w:rsid w:val="004451E1"/>
    <w:rsid w:val="00447C2C"/>
    <w:rsid w:val="0045481D"/>
    <w:rsid w:val="004563A1"/>
    <w:rsid w:val="004962D1"/>
    <w:rsid w:val="004B34B7"/>
    <w:rsid w:val="004E19F4"/>
    <w:rsid w:val="004F4AC4"/>
    <w:rsid w:val="004F5484"/>
    <w:rsid w:val="00504358"/>
    <w:rsid w:val="00506A74"/>
    <w:rsid w:val="00511AC6"/>
    <w:rsid w:val="005133A4"/>
    <w:rsid w:val="00526AE0"/>
    <w:rsid w:val="00540C00"/>
    <w:rsid w:val="0054657E"/>
    <w:rsid w:val="0054697D"/>
    <w:rsid w:val="00555A7C"/>
    <w:rsid w:val="005719CF"/>
    <w:rsid w:val="00572D4B"/>
    <w:rsid w:val="00595A1F"/>
    <w:rsid w:val="005B1D17"/>
    <w:rsid w:val="005C0C04"/>
    <w:rsid w:val="005C1705"/>
    <w:rsid w:val="005D5727"/>
    <w:rsid w:val="005E5BDB"/>
    <w:rsid w:val="005F475E"/>
    <w:rsid w:val="0060008C"/>
    <w:rsid w:val="00626503"/>
    <w:rsid w:val="00665177"/>
    <w:rsid w:val="00673967"/>
    <w:rsid w:val="006772FB"/>
    <w:rsid w:val="0069035A"/>
    <w:rsid w:val="00693C80"/>
    <w:rsid w:val="006A2045"/>
    <w:rsid w:val="006A2E60"/>
    <w:rsid w:val="006B575D"/>
    <w:rsid w:val="006E24C6"/>
    <w:rsid w:val="006F28B9"/>
    <w:rsid w:val="006F65E2"/>
    <w:rsid w:val="00722541"/>
    <w:rsid w:val="00726F5F"/>
    <w:rsid w:val="007345CC"/>
    <w:rsid w:val="00742951"/>
    <w:rsid w:val="007466FC"/>
    <w:rsid w:val="007520D9"/>
    <w:rsid w:val="0075630D"/>
    <w:rsid w:val="00761E51"/>
    <w:rsid w:val="00764EF3"/>
    <w:rsid w:val="0076710C"/>
    <w:rsid w:val="0078029B"/>
    <w:rsid w:val="007A1C53"/>
    <w:rsid w:val="007B0F44"/>
    <w:rsid w:val="007B2607"/>
    <w:rsid w:val="007B2EA2"/>
    <w:rsid w:val="007D623E"/>
    <w:rsid w:val="007E2780"/>
    <w:rsid w:val="007E534F"/>
    <w:rsid w:val="007E7D29"/>
    <w:rsid w:val="007F26AC"/>
    <w:rsid w:val="008024FF"/>
    <w:rsid w:val="0080643C"/>
    <w:rsid w:val="008112B0"/>
    <w:rsid w:val="008406FB"/>
    <w:rsid w:val="008547D1"/>
    <w:rsid w:val="00870A9B"/>
    <w:rsid w:val="00875CA4"/>
    <w:rsid w:val="00883A67"/>
    <w:rsid w:val="00883B67"/>
    <w:rsid w:val="00887FF5"/>
    <w:rsid w:val="008904B8"/>
    <w:rsid w:val="008A00C5"/>
    <w:rsid w:val="008C7B42"/>
    <w:rsid w:val="008D43A2"/>
    <w:rsid w:val="008E0D1E"/>
    <w:rsid w:val="008F3B46"/>
    <w:rsid w:val="00904FBF"/>
    <w:rsid w:val="00906062"/>
    <w:rsid w:val="00906604"/>
    <w:rsid w:val="00937DE9"/>
    <w:rsid w:val="00940007"/>
    <w:rsid w:val="009413C6"/>
    <w:rsid w:val="00962D66"/>
    <w:rsid w:val="009920E4"/>
    <w:rsid w:val="009953CF"/>
    <w:rsid w:val="009A6DA9"/>
    <w:rsid w:val="009C184D"/>
    <w:rsid w:val="009C2E93"/>
    <w:rsid w:val="009C60A8"/>
    <w:rsid w:val="009D2296"/>
    <w:rsid w:val="009D514A"/>
    <w:rsid w:val="009D7E28"/>
    <w:rsid w:val="009E19FC"/>
    <w:rsid w:val="009F2482"/>
    <w:rsid w:val="00A14BF9"/>
    <w:rsid w:val="00A222E8"/>
    <w:rsid w:val="00A61575"/>
    <w:rsid w:val="00A703EA"/>
    <w:rsid w:val="00A83EF0"/>
    <w:rsid w:val="00A92B76"/>
    <w:rsid w:val="00A949FD"/>
    <w:rsid w:val="00AA1BE0"/>
    <w:rsid w:val="00AB3F8F"/>
    <w:rsid w:val="00AB7533"/>
    <w:rsid w:val="00AC6668"/>
    <w:rsid w:val="00AE321D"/>
    <w:rsid w:val="00AE6C6A"/>
    <w:rsid w:val="00AF2E86"/>
    <w:rsid w:val="00B003B6"/>
    <w:rsid w:val="00B14FC8"/>
    <w:rsid w:val="00B418E0"/>
    <w:rsid w:val="00B66627"/>
    <w:rsid w:val="00B71895"/>
    <w:rsid w:val="00B90625"/>
    <w:rsid w:val="00B95B54"/>
    <w:rsid w:val="00B97607"/>
    <w:rsid w:val="00BA3487"/>
    <w:rsid w:val="00BA4601"/>
    <w:rsid w:val="00BC3C47"/>
    <w:rsid w:val="00BD06AD"/>
    <w:rsid w:val="00BF39E4"/>
    <w:rsid w:val="00C079F9"/>
    <w:rsid w:val="00C2335B"/>
    <w:rsid w:val="00C23873"/>
    <w:rsid w:val="00C36C34"/>
    <w:rsid w:val="00C37D19"/>
    <w:rsid w:val="00C37F4F"/>
    <w:rsid w:val="00C730D0"/>
    <w:rsid w:val="00C730F3"/>
    <w:rsid w:val="00C7766E"/>
    <w:rsid w:val="00C940BE"/>
    <w:rsid w:val="00CA43BA"/>
    <w:rsid w:val="00CB55A3"/>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A7505"/>
    <w:rsid w:val="00DB6B93"/>
    <w:rsid w:val="00DD7764"/>
    <w:rsid w:val="00DE408E"/>
    <w:rsid w:val="00DE4B0E"/>
    <w:rsid w:val="00DE714A"/>
    <w:rsid w:val="00E049D3"/>
    <w:rsid w:val="00E145D9"/>
    <w:rsid w:val="00E21852"/>
    <w:rsid w:val="00E33A0F"/>
    <w:rsid w:val="00E35A3B"/>
    <w:rsid w:val="00E54B89"/>
    <w:rsid w:val="00E714B5"/>
    <w:rsid w:val="00E830BF"/>
    <w:rsid w:val="00E85B72"/>
    <w:rsid w:val="00E87E02"/>
    <w:rsid w:val="00ED4070"/>
    <w:rsid w:val="00ED40F4"/>
    <w:rsid w:val="00F11B43"/>
    <w:rsid w:val="00F35F8F"/>
    <w:rsid w:val="00F474A4"/>
    <w:rsid w:val="00F60069"/>
    <w:rsid w:val="00F6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sf.io/b2j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16DC-7992-0A44-84B9-AA54A236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42402</Words>
  <Characters>241698</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3</cp:revision>
  <cp:lastPrinted>2020-10-21T17:39:00Z</cp:lastPrinted>
  <dcterms:created xsi:type="dcterms:W3CDTF">2020-10-23T13:39:00Z</dcterms:created>
  <dcterms:modified xsi:type="dcterms:W3CDTF">2020-10-23T14:15:00Z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