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487D13F0"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r w:rsidR="00693C80">
        <w:rPr>
          <w:color w:val="000000"/>
        </w:rPr>
        <w:t>Klemera-Doubal method biological age</w:t>
      </w:r>
      <w:r w:rsidR="00093C28">
        <w:rPr>
          <w:color w:val="000000"/>
        </w:rPr>
        <w:t xml:space="preserve">, and </w:t>
      </w:r>
      <w:r w:rsidR="00093C28" w:rsidRPr="00093C28">
        <w:rPr>
          <w:color w:val="000000"/>
          <w:highlight w:val="yellow"/>
        </w:rPr>
        <w:t>allostatic load</w:t>
      </w:r>
      <w:r w:rsidR="00693C80">
        <w:rPr>
          <w:color w:val="000000"/>
        </w:rPr>
        <w:t xml:space="preserve">. Parity was not associated with any </w:t>
      </w:r>
      <w:r w:rsidR="00093C28">
        <w:rPr>
          <w:color w:val="000000"/>
        </w:rPr>
        <w:t>outcome</w:t>
      </w:r>
      <w:r w:rsidR="00693C80">
        <w:rPr>
          <w:color w:val="000000"/>
        </w:rPr>
        <w:t xml:space="preserve"> </w:t>
      </w:r>
      <w:r w:rsidR="00335A64">
        <w:rPr>
          <w:color w:val="000000"/>
        </w:rPr>
        <w:t xml:space="preserve">measure </w:t>
      </w:r>
      <w:r w:rsidR="00693C80">
        <w:rPr>
          <w:color w:val="000000"/>
        </w:rPr>
        <w:t>when controlling for chronological age, lifestyle, health-related, and demographic factor</w:t>
      </w:r>
      <w:r w:rsidR="00335A64">
        <w:rPr>
          <w:color w:val="000000"/>
        </w:rPr>
        <w:t>s</w:t>
      </w:r>
      <w:r w:rsidR="00693C80">
        <w:rPr>
          <w:color w:val="000000"/>
        </w:rPr>
        <w:t xml:space="preserve">. These findings suggest that composite measures of biological age that integrate indices of function across multiple systems may not be sensitive enough to detect costs of reproduction in women, or that costs of reproduction may be acute rather than chronic. Future work should continue to investigate links between parity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0464DBE1"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2679A8" w:rsidRPr="002679A8">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2679A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8&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6891FE9B"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2679A8">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2679A8">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14&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15–17&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2679A8">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18,19&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2679A8">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20,21&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2679A8">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22&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2679A8">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23,24&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4306FA84"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2679A8">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25–28&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2679A8">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St","type":"article-journal","volume":"107"},"uris":["http://www.mendeley.com/documents/?uuid=8ba44421-2b95-4de2-af8a-bb890962d03a"]}],"mendeley":{"formattedCitation":"&lt;sup&gt;30,31&lt;/sup&gt;","manualFormatting":"(CVD; Lawlor et al., 2003; Simons et al., 2012)","plainTextFormattedCitation":"30,31","previouslyFormattedCitation":"&lt;sup&gt;29,30&lt;/sup&gt;"},"properties":{"noteIndex":0},"schema":"https://github.com/citation-style-language/schema/raw/master/csl-citation.json"}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2679A8">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27,31,32&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2679A8">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31,32&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2679A8">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13,36&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13,35&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522E76D0"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2679A8">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7,37&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t>
      </w:r>
      <w:proofErr w:type="gramStart"/>
      <w:r>
        <w:t>widely-used</w:t>
      </w:r>
      <w:proofErr w:type="gramEnd"/>
      <w:r>
        <w:t xml:space="preserve"> clinical measures of biological age. </w:t>
      </w:r>
    </w:p>
    <w:p w14:paraId="1E5F8E02" w14:textId="77777777" w:rsidR="000A073E" w:rsidRDefault="000A073E" w:rsidP="008406FB">
      <w:pPr>
        <w:shd w:val="clear" w:color="auto" w:fill="FFFFFF"/>
        <w:spacing w:line="480" w:lineRule="auto"/>
      </w:pPr>
    </w:p>
    <w:p w14:paraId="52D7A629" w14:textId="32B75C68" w:rsidR="000A073E" w:rsidRDefault="007466FC" w:rsidP="008406FB">
      <w:pPr>
        <w:shd w:val="clear" w:color="auto" w:fill="FFFFFF"/>
        <w:spacing w:line="480" w:lineRule="auto"/>
      </w:pPr>
      <w:r w:rsidRPr="007466FC">
        <w:rPr>
          <w:highlight w:val="yellow"/>
        </w:rPr>
        <w:t>Four</w:t>
      </w:r>
      <w:r w:rsidR="008406FB">
        <w:t xml:space="preserve"> composites of system integrity have been used to operationalize biological age </w:t>
      </w:r>
      <w:r>
        <w:t xml:space="preserve">and </w:t>
      </w:r>
      <w:r w:rsidR="008F3B46">
        <w:t xml:space="preserve">cumulative system dysregulation </w:t>
      </w:r>
      <w:r w:rsidR="008406FB">
        <w:t>within the context of large-scale epidemiological studies in the United States: Homeostatic Dysregulation</w:t>
      </w:r>
      <w:r w:rsidR="009D7E28">
        <w:t xml:space="preserve"> (HD) </w:t>
      </w:r>
      <w:r w:rsidR="009D7E28">
        <w:fldChar w:fldCharType="begin" w:fldLock="1"/>
      </w:r>
      <w:r w:rsidR="002679A8">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39&lt;/sup&gt;","plainTextFormattedCitation":"39","previouslyFormattedCitation":"&lt;sup&gt;38&lt;/sup&gt;"},"properties":{"noteIndex":0},"schema":"https://github.com/citation-style-language/schema/raw/master/csl-citation.json"}</w:instrText>
      </w:r>
      <w:r w:rsidR="009D7E28">
        <w:fldChar w:fldCharType="separate"/>
      </w:r>
      <w:r w:rsidR="002679A8" w:rsidRPr="002679A8">
        <w:rPr>
          <w:noProof/>
          <w:vertAlign w:val="superscript"/>
        </w:rPr>
        <w:t>39</w:t>
      </w:r>
      <w:r w:rsidR="009D7E28">
        <w:fldChar w:fldCharType="end"/>
      </w:r>
      <w:r w:rsidR="008406FB">
        <w:t>, Levine Method Biological Age (LM</w:t>
      </w:r>
      <w:r w:rsidR="009D7E28">
        <w:t xml:space="preserve">) </w:t>
      </w:r>
      <w:r w:rsidR="009D7E28">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9D7E28">
        <w:fldChar w:fldCharType="separate"/>
      </w:r>
      <w:r w:rsidR="002679A8" w:rsidRPr="002679A8">
        <w:rPr>
          <w:noProof/>
          <w:vertAlign w:val="superscript"/>
        </w:rPr>
        <w:t>40,41</w:t>
      </w:r>
      <w:r w:rsidR="009D7E28">
        <w:fldChar w:fldCharType="end"/>
      </w:r>
      <w:r w:rsidR="008406FB">
        <w:t>, the Klemera-Doubal Method Biological Age (KDM</w:t>
      </w:r>
      <w:r w:rsidR="009D7E28">
        <w:t xml:space="preserve">) </w:t>
      </w:r>
      <w:r w:rsidR="009D7E28">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40,42&lt;/sup&gt;","plainTextFormattedCitation":"40,42","previouslyFormattedCitation":"&lt;sup&gt;39,41&lt;/sup&gt;"},"properties":{"noteIndex":0},"schema":"https://github.com/citation-style-language/schema/raw/master/csl-citation.json"}</w:instrText>
      </w:r>
      <w:r w:rsidR="009D7E28">
        <w:fldChar w:fldCharType="separate"/>
      </w:r>
      <w:r w:rsidR="002679A8" w:rsidRPr="002679A8">
        <w:rPr>
          <w:noProof/>
          <w:vertAlign w:val="superscript"/>
        </w:rPr>
        <w:t>40,42</w:t>
      </w:r>
      <w:r w:rsidR="009D7E28">
        <w:fldChar w:fldCharType="end"/>
      </w:r>
      <w:r>
        <w:t xml:space="preserve">, and </w:t>
      </w:r>
      <w:r w:rsidRPr="007466FC">
        <w:rPr>
          <w:highlight w:val="yellow"/>
        </w:rPr>
        <w:t>allostatic load (</w:t>
      </w:r>
      <w:r w:rsidRPr="008F3B46">
        <w:rPr>
          <w:highlight w:val="yellow"/>
        </w:rPr>
        <w:t>AL)</w:t>
      </w:r>
      <w:r w:rsidR="006A2045" w:rsidRPr="008F3B46">
        <w:rPr>
          <w:highlight w:val="yellow"/>
        </w:rPr>
        <w:t xml:space="preserve"> </w:t>
      </w:r>
      <w:r w:rsidR="006A2045" w:rsidRPr="008F3B46">
        <w:rPr>
          <w:highlight w:val="yellow"/>
        </w:rPr>
        <w:fldChar w:fldCharType="begin" w:fldLock="1"/>
      </w:r>
      <w:r w:rsidR="002679A8">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43&lt;/sup&gt;","plainTextFormattedCitation":"43","previouslyFormattedCitation":"&lt;sup&gt;42&lt;/sup&gt;"},"properties":{"noteIndex":0},"schema":"https://github.com/citation-style-language/schema/raw/master/csl-citation.json"}</w:instrText>
      </w:r>
      <w:r w:rsidR="006A2045" w:rsidRPr="008F3B46">
        <w:rPr>
          <w:highlight w:val="yellow"/>
        </w:rPr>
        <w:fldChar w:fldCharType="separate"/>
      </w:r>
      <w:r w:rsidR="002679A8" w:rsidRPr="002679A8">
        <w:rPr>
          <w:noProof/>
          <w:highlight w:val="yellow"/>
          <w:vertAlign w:val="superscript"/>
        </w:rPr>
        <w:t>43</w:t>
      </w:r>
      <w:r w:rsidR="006A2045" w:rsidRPr="008F3B46">
        <w:rPr>
          <w:highlight w:val="yellow"/>
        </w:rPr>
        <w:fldChar w:fldCharType="end"/>
      </w:r>
      <w:r w:rsidR="008406FB">
        <w:t>. These measures quantify changes in physiological integrity by combining information from multiple clinical biomarkers that collectively assess the functioning of major organ systems throughout the body</w:t>
      </w:r>
      <w:r w:rsidR="004F4AC4">
        <w:t xml:space="preserve">. </w:t>
      </w:r>
      <w:r w:rsidR="004F4AC4" w:rsidRPr="004F4AC4">
        <w:rPr>
          <w:highlight w:val="yellow"/>
        </w:rPr>
        <w:t xml:space="preserve">Previous work using a nationally </w:t>
      </w:r>
      <w:r w:rsidR="004F4AC4" w:rsidRPr="004F4AC4">
        <w:rPr>
          <w:highlight w:val="yellow"/>
        </w:rPr>
        <w:lastRenderedPageBreak/>
        <w:t xml:space="preserve">representative sample of adults in the US from the National Health and Nutrition Examination Survey has found that </w:t>
      </w:r>
      <w:r w:rsidR="00005C73">
        <w:rPr>
          <w:highlight w:val="yellow"/>
        </w:rPr>
        <w:t>HD, LM, KDM</w:t>
      </w:r>
      <w:r w:rsidR="00E145D9">
        <w:rPr>
          <w:highlight w:val="yellow"/>
        </w:rPr>
        <w:t>, and AL</w:t>
      </w:r>
      <w:r w:rsidR="008406FB" w:rsidRPr="004F4AC4">
        <w:rPr>
          <w:highlight w:val="yellow"/>
        </w:rPr>
        <w:t xml:space="preserve"> exhibit robust associations with physical functioning, cognition, hearing </w:t>
      </w:r>
      <w:r w:rsidR="008406FB" w:rsidRPr="00005C73">
        <w:rPr>
          <w:highlight w:val="yellow"/>
        </w:rPr>
        <w:t xml:space="preserve">and vision, and with self-reports of health and functional disability </w:t>
      </w:r>
      <w:r w:rsidR="00B418E0" w:rsidRPr="00005C73">
        <w:rPr>
          <w:highlight w:val="yellow"/>
        </w:rPr>
        <w:fldChar w:fldCharType="begin" w:fldLock="1"/>
      </w:r>
      <w:r w:rsidR="002679A8">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11,44&lt;/sup&gt;","plainTextFormattedCitation":"11,44","previouslyFormattedCitation":"&lt;sup&gt;10,43&lt;/sup&gt;"},"properties":{"noteIndex":0},"schema":"https://github.com/citation-style-language/schema/raw/master/csl-citation.json"}</w:instrText>
      </w:r>
      <w:r w:rsidR="00B418E0" w:rsidRPr="00005C73">
        <w:rPr>
          <w:highlight w:val="yellow"/>
        </w:rPr>
        <w:fldChar w:fldCharType="separate"/>
      </w:r>
      <w:r w:rsidR="002679A8" w:rsidRPr="002679A8">
        <w:rPr>
          <w:noProof/>
          <w:highlight w:val="yellow"/>
          <w:vertAlign w:val="superscript"/>
        </w:rPr>
        <w:t>11,44</w:t>
      </w:r>
      <w:r w:rsidR="00B418E0" w:rsidRPr="00005C73">
        <w:rPr>
          <w:highlight w:val="yellow"/>
        </w:rPr>
        <w:fldChar w:fldCharType="end"/>
      </w:r>
      <w:r w:rsidR="008406FB" w:rsidRPr="00005C73">
        <w:rPr>
          <w:highlight w:val="yellow"/>
        </w:rPr>
        <w:t>.</w:t>
      </w:r>
      <w:r w:rsidR="00005C73" w:rsidRPr="00005C73">
        <w:rPr>
          <w:highlight w:val="yellow"/>
        </w:rPr>
        <w:t xml:space="preserve"> Other population-based studies have found similar links between AL and both objective and subjective markers of physical functioning and general </w:t>
      </w:r>
      <w:commentRangeStart w:id="0"/>
      <w:r w:rsidR="00005C73" w:rsidRPr="00005C73">
        <w:rPr>
          <w:highlight w:val="yellow"/>
        </w:rPr>
        <w:t>health</w:t>
      </w:r>
      <w:commentRangeEnd w:id="0"/>
      <w:r w:rsidR="00A61575">
        <w:rPr>
          <w:rStyle w:val="CommentReference"/>
        </w:rPr>
        <w:commentReference w:id="0"/>
      </w:r>
      <w:r w:rsidR="00005C73" w:rsidRPr="00005C73">
        <w:rPr>
          <w:highlight w:val="yellow"/>
        </w:rPr>
        <w:t>.</w:t>
      </w:r>
      <w:r w:rsidR="00005C73">
        <w:t xml:space="preserve"> </w:t>
      </w:r>
      <w:r w:rsidR="008406FB">
        <w:t>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2679A8">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45&lt;/sup&gt;","plainTextFormattedCitation":"45","previouslyFormattedCitation":"&lt;sup&gt;44&lt;/sup&gt;"},"properties":{"noteIndex":0},"schema":"https://github.com/citation-style-language/schema/raw/master/csl-citation.json"}</w:instrText>
      </w:r>
      <w:r w:rsidR="00B418E0">
        <w:fldChar w:fldCharType="separate"/>
      </w:r>
      <w:r w:rsidR="002679A8" w:rsidRPr="002679A8">
        <w:rPr>
          <w:noProof/>
          <w:vertAlign w:val="superscript"/>
        </w:rPr>
        <w:t>45</w:t>
      </w:r>
      <w:r w:rsidR="00B418E0">
        <w:fldChar w:fldCharType="end"/>
      </w:r>
      <w:r w:rsidR="008406FB">
        <w:t xml:space="preserve">. Thus, in addition to providing more affordable and </w:t>
      </w:r>
      <w:proofErr w:type="gramStart"/>
      <w:r w:rsidR="008406FB">
        <w:t>widely-applicable</w:t>
      </w:r>
      <w:proofErr w:type="gramEnd"/>
      <w:r w:rsidR="008406FB">
        <w:t xml:space="preserve"> measures of biological age, composite indices </w:t>
      </w:r>
      <w:r w:rsidR="00005C73">
        <w:t xml:space="preserve">of system-level variables </w:t>
      </w:r>
      <w:r w:rsidR="008406FB">
        <w:t>may better approximate costs of reproduction</w:t>
      </w:r>
      <w:r w:rsidR="00005C73">
        <w:t xml:space="preserve"> as compared to cellular measures of biological age</w:t>
      </w:r>
      <w:r w:rsidR="008406FB">
        <w:t>.</w:t>
      </w:r>
    </w:p>
    <w:p w14:paraId="185C6DA7" w14:textId="77777777" w:rsidR="008406FB" w:rsidRDefault="008406FB" w:rsidP="008406FB">
      <w:pPr>
        <w:shd w:val="clear" w:color="auto" w:fill="FFFFFF"/>
        <w:spacing w:line="480" w:lineRule="auto"/>
      </w:pPr>
    </w:p>
    <w:p w14:paraId="360E5F04" w14:textId="7F5C01F1" w:rsidR="000A073E" w:rsidRDefault="008406FB" w:rsidP="008406FB">
      <w:pPr>
        <w:shd w:val="clear" w:color="auto" w:fill="FFFFFF"/>
        <w:spacing w:line="480" w:lineRule="auto"/>
      </w:pPr>
      <w:r>
        <w:t>The importance of assessing how parity affects clinical-based measures in addition to cellular-based measures of biological age is further highlighted when considering correlations</w:t>
      </w:r>
      <w:r w:rsidR="00005C73">
        <w:t xml:space="preserve"> (or lack thereof)</w:t>
      </w:r>
      <w:r>
        <w:t xml:space="preserve">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2679A8">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46&lt;/sup&gt;","plainTextFormattedCitation":"46","previouslyFormattedCitation":"&lt;sup&gt;45&lt;/sup&gt;"},"properties":{"noteIndex":0},"schema":"https://github.com/citation-style-language/schema/raw/master/csl-citation.json"}</w:instrText>
      </w:r>
      <w:r w:rsidR="00B418E0">
        <w:fldChar w:fldCharType="separate"/>
      </w:r>
      <w:r w:rsidR="002679A8" w:rsidRPr="002679A8">
        <w:rPr>
          <w:noProof/>
          <w:vertAlign w:val="superscript"/>
        </w:rPr>
        <w:t>46</w:t>
      </w:r>
      <w:r w:rsidR="00B418E0">
        <w:fldChar w:fldCharType="end"/>
      </w:r>
      <w:r w:rsidR="008F3B46">
        <w:t xml:space="preserve">, </w:t>
      </w:r>
      <w:r w:rsidR="008F3B46" w:rsidRPr="008F3B46">
        <w:rPr>
          <w:highlight w:val="yellow"/>
        </w:rPr>
        <w:t xml:space="preserve">and AL shows </w:t>
      </w:r>
      <w:r w:rsidR="00A61575">
        <w:rPr>
          <w:highlight w:val="yellow"/>
        </w:rPr>
        <w:t>little</w:t>
      </w:r>
      <w:r w:rsidR="008F3B46" w:rsidRPr="008F3B46">
        <w:rPr>
          <w:highlight w:val="yellow"/>
        </w:rPr>
        <w:t xml:space="preserve"> association with </w:t>
      </w:r>
      <w:r w:rsidR="00A61575">
        <w:rPr>
          <w:highlight w:val="yellow"/>
        </w:rPr>
        <w:t>cellular-based measures of aging</w:t>
      </w:r>
      <w:r w:rsidR="008F3B46" w:rsidRPr="008F3B46">
        <w:rPr>
          <w:highlight w:val="yellow"/>
        </w:rPr>
        <w:t xml:space="preserve"> </w:t>
      </w:r>
      <w:r w:rsidR="008F3B46" w:rsidRPr="008F3B46">
        <w:rPr>
          <w:highlight w:val="yellow"/>
        </w:rPr>
        <w:fldChar w:fldCharType="begin" w:fldLock="1"/>
      </w:r>
      <w:r w:rsidR="002679A8">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47,48&lt;/sup&gt;","plainTextFormattedCitation":"47,48","previouslyFormattedCitation":"&lt;sup&gt;46,47&lt;/sup&gt;"},"properties":{"noteIndex":0},"schema":"https://github.com/citation-style-language/schema/raw/master/csl-citation.json"}</w:instrText>
      </w:r>
      <w:r w:rsidR="008F3B46" w:rsidRPr="008F3B46">
        <w:rPr>
          <w:highlight w:val="yellow"/>
        </w:rPr>
        <w:fldChar w:fldCharType="separate"/>
      </w:r>
      <w:r w:rsidR="002679A8" w:rsidRPr="002679A8">
        <w:rPr>
          <w:noProof/>
          <w:highlight w:val="yellow"/>
          <w:vertAlign w:val="superscript"/>
        </w:rPr>
        <w:t>47,48</w:t>
      </w:r>
      <w:r w:rsidR="008F3B46" w:rsidRPr="008F3B46">
        <w:rPr>
          <w:highlight w:val="yellow"/>
        </w:rPr>
        <w:fldChar w:fldCharType="end"/>
      </w:r>
      <w:r>
        <w:t xml:space="preserve">. It is thus clear that different measures of biological age </w:t>
      </w:r>
      <w:r w:rsidR="00005C73">
        <w:t xml:space="preserve">and cumulative system dysregulation </w:t>
      </w:r>
      <w:r>
        <w:t>index fundamentally different components of the aging process</w:t>
      </w:r>
      <w:r w:rsidR="008D43A2">
        <w:t xml:space="preserve">. </w:t>
      </w:r>
      <w:r w:rsidR="008D43A2" w:rsidRPr="008D43A2">
        <w:rPr>
          <w:highlight w:val="yellow"/>
        </w:rPr>
        <w:t>As they each index different yet equally important aspects of aging</w:t>
      </w:r>
      <w:r w:rsidR="008D43A2">
        <w:t xml:space="preserve">, </w:t>
      </w:r>
      <w:r>
        <w:t xml:space="preserve">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w:t>
      </w:r>
      <w:r>
        <w:lastRenderedPageBreak/>
        <w:t xml:space="preserve">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We also perform exploratory analyses to test whether relationships between 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669CC6D5"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2679A8">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48&lt;/sup&gt;"},"properties":{"noteIndex":0},"schema":"https://github.com/citation-style-language/schema/raw/master/csl-citation.json"}</w:instrText>
      </w:r>
      <w:r w:rsidR="009D7E28">
        <w:fldChar w:fldCharType="separate"/>
      </w:r>
      <w:r w:rsidR="002679A8" w:rsidRPr="002679A8">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w:t>
      </w:r>
      <w:r>
        <w:lastRenderedPageBreak/>
        <w:t xml:space="preserve">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1FF29E24"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We chose to use number of live births rather than number of 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2679A8">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49&lt;/sup&gt;"},"properties":{"noteIndex":0},"schema":"https://github.com/citation-style-language/schema/raw/master/csl-citation.json"}</w:instrText>
      </w:r>
      <w:r w:rsidR="00254B2C" w:rsidRPr="00254B2C">
        <w:rPr>
          <w:highlight w:val="yellow"/>
        </w:rPr>
        <w:fldChar w:fldCharType="separate"/>
      </w:r>
      <w:r w:rsidR="002679A8" w:rsidRPr="002679A8">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w:t>
      </w:r>
      <w:r>
        <w:lastRenderedPageBreak/>
        <w:t xml:space="preserve">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0FAE46E8"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2679A8">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50&lt;/sup&gt;"},"properties":{"noteIndex":0},"schema":"https://github.com/citation-style-language/schema/raw/master/csl-citation.json"}</w:instrText>
      </w:r>
      <w:r w:rsidR="00B418E0">
        <w:fldChar w:fldCharType="separate"/>
      </w:r>
      <w:r w:rsidR="002679A8" w:rsidRPr="002679A8">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4DF7CD55"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2679A8">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51&lt;/sup&gt;"},"properties":{"noteIndex":0},"schema":"https://github.com/citation-style-language/schema/raw/master/csl-citation.json"}</w:instrText>
      </w:r>
      <w:r w:rsidR="00B418E0">
        <w:fldChar w:fldCharType="separate"/>
      </w:r>
      <w:r w:rsidR="002679A8" w:rsidRPr="002679A8">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158E4A4D"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I-II</w:t>
      </w:r>
      <w:r>
        <w:t>)</w:t>
      </w:r>
      <w:r>
        <w:rPr>
          <w:b/>
        </w:rPr>
        <w:t xml:space="preserve">. </w:t>
      </w:r>
      <w:r>
        <w:t>Biomarker values from the reference population were standardized and used to compute a biomarker variance-covariance matrix (</w:t>
      </w:r>
      <w:r>
        <w:rPr>
          <w:b/>
        </w:rPr>
        <w:t xml:space="preserve">ESM Table </w:t>
      </w:r>
      <w:r w:rsidR="00CD6C9B">
        <w:rPr>
          <w:b/>
        </w:rPr>
        <w:t>III</w:t>
      </w:r>
      <w:r>
        <w:t xml:space="preserve">). Biomarker raw means, raw standard deviations, and the standardized-biomarker variance-covariance matrix are implemented </w:t>
      </w:r>
      <w:r>
        <w:lastRenderedPageBreak/>
        <w:t xml:space="preserve">within the </w:t>
      </w:r>
      <w:proofErr w:type="spellStart"/>
      <w:r>
        <w:t>Mahalanobis</w:t>
      </w:r>
      <w:proofErr w:type="spellEnd"/>
      <w:r>
        <w:t xml:space="preserve"> distance equation</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64E7DE06"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42&lt;/sup&gt;","plainTextFormattedCitation":"42","previouslyFormattedCitation":"&lt;sup&gt;41&lt;/sup&gt;"},"properties":{"noteIndex":0},"schema":"https://github.com/citation-style-language/schema/raw/master/csl-citation.json"}</w:instrText>
      </w:r>
      <w:r w:rsidR="00B418E0">
        <w:fldChar w:fldCharType="separate"/>
      </w:r>
      <w:r w:rsidR="002679A8" w:rsidRPr="002679A8">
        <w:rPr>
          <w:noProof/>
          <w:vertAlign w:val="superscript"/>
        </w:rPr>
        <w:t>42</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66627">
        <w:fldChar w:fldCharType="separate"/>
      </w:r>
      <w:r w:rsidR="002679A8" w:rsidRPr="002679A8">
        <w:rPr>
          <w:noProof/>
          <w:vertAlign w:val="superscript"/>
        </w:rPr>
        <w:t>40</w:t>
      </w:r>
      <w:r w:rsidR="00B66627">
        <w:fldChar w:fldCharType="end"/>
      </w:r>
      <w:r>
        <w:t xml:space="preserve"> (Eq. 5). Following previous work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418E0">
        <w:fldChar w:fldCharType="separate"/>
      </w:r>
      <w:r w:rsidR="002679A8" w:rsidRPr="002679A8">
        <w:rPr>
          <w:noProof/>
          <w:vertAlign w:val="superscript"/>
        </w:rPr>
        <w:t>40</w:t>
      </w:r>
      <w:r w:rsidR="00B418E0">
        <w:fldChar w:fldCharType="end"/>
      </w:r>
      <w:r>
        <w:t>, we formed our reference population from non-pregnant women in NHANES III aged 30-75 (N</w:t>
      </w:r>
      <w:r w:rsidR="00B66627">
        <w:t xml:space="preserve"> </w:t>
      </w:r>
      <w:r>
        <w:t>= 5,</w:t>
      </w:r>
      <w:r w:rsidR="007466FC">
        <w:t>453</w:t>
      </w:r>
      <w:r>
        <w:t xml:space="preserve">, see </w:t>
      </w:r>
      <w:r>
        <w:rPr>
          <w:b/>
        </w:rPr>
        <w:t xml:space="preserve">ESM Tables </w:t>
      </w:r>
      <w:r w:rsidR="00CD6C9B">
        <w:rPr>
          <w:b/>
        </w:rPr>
        <w:t>IV</w:t>
      </w:r>
      <w:r>
        <w:rPr>
          <w:b/>
        </w:rPr>
        <w:t xml:space="preserve"> and </w:t>
      </w:r>
      <w:r w:rsidR="00CD6C9B">
        <w:rPr>
          <w:b/>
        </w:rPr>
        <w:t>V</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1A6D6D00"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B418E0">
        <w:fldChar w:fldCharType="separate"/>
      </w:r>
      <w:r w:rsidR="002679A8" w:rsidRPr="002679A8">
        <w:rPr>
          <w:noProof/>
          <w:vertAlign w:val="superscript"/>
        </w:rPr>
        <w:t>40,41</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w:t>
      </w:r>
      <w:r>
        <w:lastRenderedPageBreak/>
        <w:t>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2679A8">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41&lt;/sup&gt;","plainTextFormattedCitation":"41","previouslyFormattedCitation":"&lt;sup&gt;40&lt;/sup&gt;"},"properties":{"noteIndex":0},"schema":"https://github.com/citation-style-language/schema/raw/master/csl-citation.json"}</w:instrText>
      </w:r>
      <w:r w:rsidR="00B66627">
        <w:fldChar w:fldCharType="separate"/>
      </w:r>
      <w:r w:rsidR="002679A8" w:rsidRPr="002679A8">
        <w:rPr>
          <w:noProof/>
          <w:vertAlign w:val="superscript"/>
        </w:rPr>
        <w:t>41</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60DBBB72"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2679A8">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53&lt;/sup&gt;"},"properties":{"noteIndex":0},"schema":"https://github.com/citation-style-language/schema/raw/master/csl-citation.json"}</w:instrText>
      </w:r>
      <w:r w:rsidRPr="007466FC">
        <w:rPr>
          <w:color w:val="000000"/>
          <w:highlight w:val="yellow"/>
        </w:rPr>
        <w:fldChar w:fldCharType="separate"/>
      </w:r>
      <w:r w:rsidR="002679A8" w:rsidRPr="002679A8">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1F236585" w:rsidR="000A073E" w:rsidRDefault="002C57DC" w:rsidP="008406FB">
      <w:pPr>
        <w:shd w:val="clear" w:color="auto" w:fill="FFFFFF"/>
        <w:spacing w:line="480" w:lineRule="auto"/>
        <w:rPr>
          <w:b/>
          <w:bCs/>
          <w:color w:val="000000"/>
        </w:rPr>
      </w:pPr>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VII.</w:t>
      </w:r>
    </w:p>
    <w:p w14:paraId="2BFA5D82" w14:textId="77777777" w:rsidR="002C57DC" w:rsidRDefault="002C57DC" w:rsidP="008406FB">
      <w:pPr>
        <w:shd w:val="clear" w:color="auto" w:fill="FFFFFF"/>
        <w:spacing w:line="480" w:lineRule="auto"/>
      </w:pPr>
    </w:p>
    <w:p w14:paraId="218C9D1B" w14:textId="4DE92B32" w:rsidR="000A073E" w:rsidRDefault="008406FB" w:rsidP="008406FB">
      <w:pPr>
        <w:shd w:val="clear" w:color="auto" w:fill="FFFFFF"/>
        <w:spacing w:line="480" w:lineRule="auto"/>
      </w:pPr>
      <w:r>
        <w:lastRenderedPageBreak/>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14F6E446" w14:textId="77777777" w:rsidR="000A073E" w:rsidRDefault="000A073E"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07F052C4" w:rsidR="000A073E" w:rsidRDefault="008406FB" w:rsidP="008406FB">
      <w:pPr>
        <w:shd w:val="clear" w:color="auto" w:fill="FFFFFF"/>
        <w:spacing w:line="480" w:lineRule="auto"/>
      </w:pPr>
      <w:r>
        <w:t xml:space="preserve">Self-reported race/ethnicity </w:t>
      </w:r>
      <w:r w:rsidR="00B418E0">
        <w:fldChar w:fldCharType="begin" w:fldLock="1"/>
      </w:r>
      <w:r w:rsidR="002679A8">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54&lt;/sup&gt;"},"properties":{"noteIndex":0},"schema":"https://github.com/citation-style-language/schema/raw/master/csl-citation.json"}</w:instrText>
      </w:r>
      <w:r w:rsidR="00B418E0">
        <w:fldChar w:fldCharType="separate"/>
      </w:r>
      <w:r w:rsidR="002679A8" w:rsidRPr="002679A8">
        <w:rPr>
          <w:noProof/>
          <w:vertAlign w:val="superscript"/>
        </w:rPr>
        <w:t>55</w:t>
      </w:r>
      <w:r w:rsidR="00B418E0">
        <w:fldChar w:fldCharType="end"/>
      </w:r>
      <w:r>
        <w:t>, socioeconomic status (SES</w:t>
      </w:r>
      <w:r w:rsidR="009D7E28">
        <w:t xml:space="preserve">) </w:t>
      </w:r>
      <w:r w:rsidR="009D7E28">
        <w:fldChar w:fldCharType="begin" w:fldLock="1"/>
      </w:r>
      <w:r w:rsidR="002679A8">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55,56&lt;/sup&gt;"},"properties":{"noteIndex":0},"schema":"https://github.com/citation-style-language/schema/raw/master/csl-citation.json"}</w:instrText>
      </w:r>
      <w:r w:rsidR="009D7E28">
        <w:fldChar w:fldCharType="separate"/>
      </w:r>
      <w:r w:rsidR="002679A8" w:rsidRPr="002679A8">
        <w:rPr>
          <w:noProof/>
          <w:vertAlign w:val="superscript"/>
        </w:rPr>
        <w:t>56,57</w:t>
      </w:r>
      <w:r w:rsidR="009D7E28">
        <w:fldChar w:fldCharType="end"/>
      </w:r>
      <w:r>
        <w:t xml:space="preserve">, and smoking </w:t>
      </w:r>
      <w:r w:rsidR="00B418E0">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2679A8">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57&lt;/sup&gt;"},"properties":{"noteIndex":0},"schema":"https://github.com/citation-style-language/schema/raw/master/csl-citation.json"}</w:instrText>
      </w:r>
      <w:r w:rsidR="00B418E0">
        <w:fldChar w:fldCharType="separate"/>
      </w:r>
      <w:r w:rsidR="002679A8" w:rsidRPr="002679A8">
        <w:rPr>
          <w:noProof/>
          <w:vertAlign w:val="superscript"/>
        </w:rPr>
        <w:t>58</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2"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59519D49" w:rsidR="001D4FCD" w:rsidRPr="001D4FCD" w:rsidRDefault="008406FB" w:rsidP="008406FB">
      <w:pPr>
        <w:shd w:val="clear" w:color="auto" w:fill="FFFFFF"/>
        <w:spacing w:line="480" w:lineRule="auto"/>
        <w:rPr>
          <w:highlight w:val="yellow"/>
        </w:rPr>
      </w:pPr>
      <w:r>
        <w:lastRenderedPageBreak/>
        <w:t>We followed all NHCS guidelines for the analysis of NHANES data</w:t>
      </w:r>
      <w:r w:rsidR="00B418E0">
        <w:t xml:space="preserve"> </w:t>
      </w:r>
      <w:r w:rsidR="00B418E0">
        <w:fldChar w:fldCharType="begin" w:fldLock="1"/>
      </w:r>
      <w:r w:rsidR="002679A8">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58&lt;/sup&gt;"},"properties":{"noteIndex":0},"schema":"https://github.com/citation-style-language/schema/raw/master/csl-citation.json"}</w:instrText>
      </w:r>
      <w:r w:rsidR="00B418E0">
        <w:fldChar w:fldCharType="separate"/>
      </w:r>
      <w:r w:rsidR="002679A8" w:rsidRPr="002679A8">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2679A8">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59,60&lt;/sup&gt;"},"properties":{"noteIndex":0},"schema":"https://github.com/citation-style-language/schema/raw/master/csl-citation.json"}</w:instrText>
      </w:r>
      <w:r w:rsidR="00B418E0">
        <w:fldChar w:fldCharType="separate"/>
      </w:r>
      <w:r w:rsidR="002679A8" w:rsidRPr="002679A8">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6477B262"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2679A8">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61&lt;/sup&gt;"},"properties":{"noteIndex":0},"schema":"https://github.com/citation-style-language/schema/raw/master/csl-citation.json"}</w:instrText>
      </w:r>
      <w:r w:rsidR="006E24C6">
        <w:rPr>
          <w:highlight w:val="yellow"/>
        </w:rPr>
        <w:fldChar w:fldCharType="separate"/>
      </w:r>
      <w:r w:rsidR="002679A8" w:rsidRPr="002679A8">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481A8AC6"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 biological aging measures were no longer correlated with chronological age (</w:t>
      </w:r>
      <w:r w:rsidR="00A61575">
        <w:rPr>
          <w:b/>
          <w:bCs/>
          <w:color w:val="000000"/>
          <w:shd w:val="clear" w:color="auto" w:fill="FFFF00"/>
        </w:rPr>
        <w:t>ESM Table VII</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59CC36A2"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31–33&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w:t>
      </w:r>
      <w:r>
        <w:lastRenderedPageBreak/>
        <w:t xml:space="preserve">fitted curve, while a negative quadratic effect would suggest a concave shape to the fitted curve. As some prior work suggests that costs of reproduction should be the most apparent after menopause </w:t>
      </w:r>
      <w:r w:rsidR="00BD06AD">
        <w:fldChar w:fldCharType="begin" w:fldLock="1"/>
      </w:r>
      <w:r w:rsidR="002679A8">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62&lt;/sup&gt;"},"properties":{"noteIndex":0},"schema":"https://github.com/citation-style-language/schema/raw/master/csl-citation.json"}</w:instrText>
      </w:r>
      <w:r w:rsidR="00BD06AD">
        <w:fldChar w:fldCharType="separate"/>
      </w:r>
      <w:r w:rsidR="002679A8" w:rsidRPr="002679A8">
        <w:rPr>
          <w:noProof/>
          <w:vertAlign w:val="superscript"/>
        </w:rPr>
        <w:t>63</w:t>
      </w:r>
      <w:r w:rsidR="00BD06AD">
        <w:fldChar w:fldCharType="end"/>
      </w:r>
      <w:r>
        <w:t>, we also included model terms for the main effect of menopause status and the interaction between menopause status and number of live births</w:t>
      </w:r>
      <w:r w:rsidR="009D7E28">
        <w:t xml:space="preserve"> </w:t>
      </w:r>
      <w:r w:rsidR="009D7E28">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9D7E28">
        <w:fldChar w:fldCharType="separate"/>
      </w:r>
      <w:r w:rsidR="002679A8" w:rsidRPr="002679A8">
        <w:rPr>
          <w:noProof/>
          <w:vertAlign w:val="superscript"/>
        </w:rPr>
        <w:t>16</w:t>
      </w:r>
      <w:r w:rsidR="009D7E28">
        <w:fldChar w:fldCharType="end"/>
      </w:r>
      <w:r>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r w:rsidR="009E19FC" w:rsidRPr="009E19FC">
        <w:rPr>
          <w:highlight w:val="yellow"/>
        </w:rPr>
        <w:t>In cases where interactions between menopause status and live births were statistically significant, we then ran regressions stratified by menopause status to clarify these interactions.</w:t>
      </w:r>
    </w:p>
    <w:p w14:paraId="614D281C" w14:textId="77777777" w:rsidR="00017A0F" w:rsidRDefault="00017A0F" w:rsidP="008406FB">
      <w:pPr>
        <w:shd w:val="clear" w:color="auto" w:fill="FFFFFF"/>
        <w:spacing w:line="480" w:lineRule="auto"/>
      </w:pPr>
    </w:p>
    <w:p w14:paraId="76A85ADA" w14:textId="492427D9"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2679A8">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63&lt;/sup&gt;"},"properties":{"noteIndex":0},"schema":"https://github.com/citation-style-language/schema/raw/master/csl-citation.json"}</w:instrText>
      </w:r>
      <w:r w:rsidR="00BD06AD">
        <w:fldChar w:fldCharType="separate"/>
      </w:r>
      <w:r w:rsidR="002679A8" w:rsidRPr="002679A8">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For each measure, this presents the difference between actual chronological age and chronological age predicted by biological age (i.e., the residual of chronological age regressed onto the biological aging measure)</w:t>
      </w:r>
      <w:r w:rsidR="002C57DC">
        <w:t xml:space="preserve">. </w:t>
      </w:r>
      <w:r>
        <w:t xml:space="preserve">In all </w:t>
      </w:r>
      <w:r w:rsidR="007466FC">
        <w:t>four</w:t>
      </w:r>
      <w:r>
        <w:t xml:space="preserv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w:t>
      </w:r>
      <w:r>
        <w:lastRenderedPageBreak/>
        <w:t xml:space="preserve">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57AA649E" w14:textId="4EFCE48D" w:rsidR="000A073E" w:rsidRDefault="008406FB" w:rsidP="008406FB">
      <w:pPr>
        <w:shd w:val="clear" w:color="auto" w:fill="FFFFFF"/>
        <w:spacing w:line="480" w:lineRule="auto"/>
      </w:pPr>
      <w:r>
        <w:t xml:space="preserve">Across all </w:t>
      </w:r>
      <w:r w:rsidR="007466FC">
        <w:t>four</w:t>
      </w:r>
      <w:r>
        <w:t xml:space="preserve"> models (</w:t>
      </w:r>
      <w:r>
        <w:rPr>
          <w:i/>
        </w:rPr>
        <w:t>n</w:t>
      </w:r>
      <w:r>
        <w:t xml:space="preserve"> = </w:t>
      </w:r>
      <w:r w:rsidR="00093C28">
        <w:t>4,418</w:t>
      </w:r>
      <w:r>
        <w:t>), chronological age, BMI, and smoking status exhibited statistically significant, anticipated relationships with LM, log-transformed HD, and KDM, with increasing chronological age and being a current smoker being associated with higher biological age (</w:t>
      </w:r>
      <w:commentRangeStart w:id="1"/>
      <w:r>
        <w:t xml:space="preserve">see </w:t>
      </w:r>
      <w:r>
        <w:rPr>
          <w:b/>
        </w:rPr>
        <w:t xml:space="preserve">Table </w:t>
      </w:r>
      <w:r w:rsidR="00693C80">
        <w:rPr>
          <w:b/>
        </w:rPr>
        <w:t>2</w:t>
      </w:r>
      <w:commentRangeEnd w:id="1"/>
      <w:r w:rsidR="0069035A">
        <w:rPr>
          <w:rStyle w:val="CommentReference"/>
        </w:rPr>
        <w:commentReference w:id="1"/>
      </w:r>
      <w:r>
        <w:t xml:space="preserve">). There were no consistent patterns of statistical significance for the effect of other included covariates on LM, log-transformed HD, and KDM across models. </w:t>
      </w:r>
    </w:p>
    <w:p w14:paraId="3EE2DCD0" w14:textId="77777777" w:rsidR="000A073E" w:rsidRDefault="000A073E" w:rsidP="008406FB">
      <w:pPr>
        <w:shd w:val="clear" w:color="auto" w:fill="FFFFFF"/>
        <w:spacing w:line="480" w:lineRule="auto"/>
      </w:pPr>
    </w:p>
    <w:p w14:paraId="604EE5BF" w14:textId="79032C33" w:rsidR="009E19FC" w:rsidRDefault="009E19FC" w:rsidP="008406FB">
      <w:pPr>
        <w:shd w:val="clear" w:color="auto" w:fill="FFFFFF"/>
        <w:spacing w:line="480" w:lineRule="auto"/>
      </w:pPr>
      <w:r>
        <w:t xml:space="preserve">The linear effect of number of live births, quadratic effect of live births, and main effect of menopause status was not significant in any primary model (see </w:t>
      </w:r>
      <w:r w:rsidRPr="009E19FC">
        <w:rPr>
          <w:b/>
          <w:bCs/>
        </w:rPr>
        <w:t>Table 2</w:t>
      </w:r>
      <w:r w:rsidR="002C760A">
        <w:rPr>
          <w:b/>
          <w:bCs/>
        </w:rPr>
        <w:t>; Figure 2</w:t>
      </w:r>
      <w:r>
        <w:t xml:space="preserve">). The interaction </w:t>
      </w:r>
      <w:r w:rsidR="002C760A">
        <w:t xml:space="preserve">between menopause status and live births did not significantly predict LM, KDM, or AL; </w:t>
      </w:r>
      <w:r w:rsidR="002C760A" w:rsidRPr="00665177">
        <w:rPr>
          <w:highlight w:val="yellow"/>
        </w:rPr>
        <w:t xml:space="preserve">however, the interaction between menopause status and both the linear and quadratic term for live births significantly predicted </w:t>
      </w:r>
      <w:r w:rsidR="002C760A" w:rsidRPr="00665177">
        <w:rPr>
          <w:highlight w:val="yellow"/>
        </w:rPr>
        <w:lastRenderedPageBreak/>
        <w:t>HD. Follow-up regressions stratified by menopause status revealed a significant line</w:t>
      </w:r>
      <w:r w:rsidR="002C760A" w:rsidRPr="002C760A">
        <w:rPr>
          <w:highlight w:val="yellow"/>
        </w:rPr>
        <w:t xml:space="preserve">ar (estimate = -0.07, 95% confidence interval [CI] = -0.11, -0.04], </w:t>
      </w:r>
      <w:r w:rsidR="002C760A" w:rsidRPr="002C760A">
        <w:rPr>
          <w:i/>
          <w:iCs/>
          <w:highlight w:val="yellow"/>
        </w:rPr>
        <w:t>p</w:t>
      </w:r>
      <w:r w:rsidR="002C760A" w:rsidRPr="002C760A">
        <w:rPr>
          <w:highlight w:val="yellow"/>
        </w:rPr>
        <w:t xml:space="preserve"> &lt; 0.001) and quadratic (estimate = 0.01, 95% confidence interval [CI] = 0.004, 0.02], </w:t>
      </w:r>
      <w:r w:rsidR="002C760A" w:rsidRPr="002C760A">
        <w:rPr>
          <w:i/>
          <w:iCs/>
          <w:highlight w:val="yellow"/>
        </w:rPr>
        <w:t>p</w:t>
      </w:r>
      <w:r w:rsidR="002C760A" w:rsidRPr="002C760A">
        <w:rPr>
          <w:highlight w:val="yellow"/>
        </w:rPr>
        <w:t xml:space="preserve"> = 0.001) effect of live births in postmenopausal women (</w:t>
      </w:r>
      <w:r w:rsidR="002C760A" w:rsidRPr="002C760A">
        <w:rPr>
          <w:i/>
          <w:iCs/>
          <w:highlight w:val="yellow"/>
        </w:rPr>
        <w:t>n</w:t>
      </w:r>
      <w:r w:rsidR="002C760A" w:rsidRPr="002C760A">
        <w:rPr>
          <w:highlight w:val="yellow"/>
        </w:rPr>
        <w:t xml:space="preserve"> = 2,252), while neither effect was significant in premenopausal women (both </w:t>
      </w:r>
      <w:r w:rsidR="002C760A" w:rsidRPr="002C760A">
        <w:rPr>
          <w:i/>
          <w:iCs/>
          <w:highlight w:val="yellow"/>
        </w:rPr>
        <w:t>p</w:t>
      </w:r>
      <w:r w:rsidR="002C760A" w:rsidRPr="002C760A">
        <w:rPr>
          <w:highlight w:val="yellow"/>
        </w:rPr>
        <w:t xml:space="preserve"> &gt; 0.25; </w:t>
      </w:r>
      <w:r w:rsidR="002C760A" w:rsidRPr="002C760A">
        <w:rPr>
          <w:i/>
          <w:iCs/>
          <w:highlight w:val="yellow"/>
        </w:rPr>
        <w:t>n</w:t>
      </w:r>
      <w:r w:rsidR="002C760A" w:rsidRPr="002C760A">
        <w:rPr>
          <w:highlight w:val="yellow"/>
        </w:rPr>
        <w:t xml:space="preserve"> = 2,166).</w:t>
      </w:r>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30EC7473" w14:textId="3405098D" w:rsidR="002C760A" w:rsidRDefault="008406FB" w:rsidP="008406FB">
      <w:pPr>
        <w:shd w:val="clear" w:color="auto" w:fill="FFFFFF"/>
        <w:spacing w:line="480" w:lineRule="auto"/>
      </w:pPr>
      <w:r>
        <w:t>Sample sizes for our sensitivity analyses controlling for chronological age only were slightly larger (</w:t>
      </w:r>
      <w:r>
        <w:rPr>
          <w:i/>
        </w:rPr>
        <w:t>n</w:t>
      </w:r>
      <w:r>
        <w:t xml:space="preserve"> = </w:t>
      </w:r>
      <w:r w:rsidR="006A2045">
        <w:t>5,184</w:t>
      </w:r>
      <w:r>
        <w:t xml:space="preserve">), as less participants were excluded due to missing covariate information. </w:t>
      </w:r>
      <w:proofErr w:type="gramStart"/>
      <w:r w:rsidR="002C760A">
        <w:t>Similar to</w:t>
      </w:r>
      <w:proofErr w:type="gramEnd"/>
      <w:r w:rsidR="002C760A">
        <w:t xml:space="preserve"> our primary analyses, the main effects of live births (both linear and quadratic terms) were not significant across all measures of biological age (</w:t>
      </w:r>
      <w:r w:rsidR="002C760A" w:rsidRPr="002C760A">
        <w:rPr>
          <w:b/>
          <w:bCs/>
        </w:rPr>
        <w:t>Table 2</w:t>
      </w:r>
      <w:r w:rsidR="002C760A">
        <w:t xml:space="preserve">). Menopause status positively predicted KDM (estimate = 3.34, 95% CI = 0.86, 5.82, </w:t>
      </w:r>
      <w:r w:rsidR="002C760A" w:rsidRPr="002C760A">
        <w:rPr>
          <w:i/>
          <w:iCs/>
        </w:rPr>
        <w:t>p</w:t>
      </w:r>
      <w:r w:rsidR="002C760A">
        <w:t xml:space="preserve"> = 0.009) and AL (estimate = 0.05, 95% CI = 0.01, 0.09, </w:t>
      </w:r>
      <w:r w:rsidR="002C760A" w:rsidRPr="002C760A">
        <w:rPr>
          <w:i/>
          <w:iCs/>
        </w:rPr>
        <w:t>p</w:t>
      </w:r>
      <w:r w:rsidR="002C760A">
        <w:t xml:space="preserve"> = 0.010), but not LM and HD. </w:t>
      </w:r>
      <w:r w:rsidR="002C760A" w:rsidRPr="0069035A">
        <w:rPr>
          <w:highlight w:val="yellow"/>
        </w:rPr>
        <w:t>The interaction between the linear effect and menopause status, as well as between the quadratic effect and menopause status, significantly predicted HD.</w:t>
      </w:r>
      <w:r w:rsidR="0016249C" w:rsidRPr="0069035A">
        <w:rPr>
          <w:highlight w:val="yellow"/>
        </w:rPr>
        <w:t xml:space="preserve"> Follow-up regressions stratified by menopause status </w:t>
      </w:r>
      <w:r w:rsidR="0069035A" w:rsidRPr="0069035A">
        <w:rPr>
          <w:highlight w:val="yellow"/>
        </w:rPr>
        <w:t xml:space="preserve">revealed significant effects of live births (linear estimate = -0.08, 95% CI = -0.12, -0.04, </w:t>
      </w:r>
      <w:r w:rsidR="0069035A" w:rsidRPr="0069035A">
        <w:rPr>
          <w:i/>
          <w:iCs/>
          <w:highlight w:val="yellow"/>
        </w:rPr>
        <w:t>p</w:t>
      </w:r>
      <w:r w:rsidR="0069035A" w:rsidRPr="0069035A">
        <w:rPr>
          <w:highlight w:val="yellow"/>
        </w:rPr>
        <w:t xml:space="preserve"> &lt; 0.001); quadratic estimate = 0.01, 95% CI = 0.01, 0.02, </w:t>
      </w:r>
      <w:r w:rsidR="0069035A" w:rsidRPr="0069035A">
        <w:rPr>
          <w:i/>
          <w:iCs/>
          <w:highlight w:val="yellow"/>
        </w:rPr>
        <w:t>p</w:t>
      </w:r>
      <w:r w:rsidR="0069035A" w:rsidRPr="0069035A">
        <w:rPr>
          <w:highlight w:val="yellow"/>
        </w:rPr>
        <w:t xml:space="preserve"> &lt; 0.001) in postmenopausal, but not premenopausal (both </w:t>
      </w:r>
      <w:r w:rsidR="0069035A" w:rsidRPr="0069035A">
        <w:rPr>
          <w:i/>
          <w:iCs/>
          <w:highlight w:val="yellow"/>
        </w:rPr>
        <w:t>p</w:t>
      </w:r>
      <w:r w:rsidR="0069035A" w:rsidRPr="0069035A">
        <w:rPr>
          <w:highlight w:val="yellow"/>
        </w:rPr>
        <w:t xml:space="preserve">  &gt; 0.52), women.</w:t>
      </w:r>
      <w:r w:rsidR="0069035A">
        <w:t xml:space="preserve"> </w:t>
      </w:r>
      <w:r w:rsidR="0069035A" w:rsidRPr="009E19FC">
        <w:rPr>
          <w:highlight w:val="yellow"/>
        </w:rPr>
        <w:t>Repetition of these analyses in the primary analytical sample yielded the same pattern of results.</w:t>
      </w:r>
    </w:p>
    <w:p w14:paraId="1F3B4104" w14:textId="77777777" w:rsidR="000A073E" w:rsidRDefault="000A073E" w:rsidP="008406FB">
      <w:pPr>
        <w:shd w:val="clear" w:color="auto" w:fill="FFFFFF"/>
        <w:spacing w:line="480" w:lineRule="auto"/>
      </w:pPr>
    </w:p>
    <w:p w14:paraId="3F3A0098" w14:textId="64A14428" w:rsidR="000A073E" w:rsidRDefault="008406FB" w:rsidP="008406FB">
      <w:pPr>
        <w:shd w:val="clear" w:color="auto" w:fill="FFFFFF"/>
        <w:spacing w:line="480" w:lineRule="auto"/>
      </w:pPr>
      <w:r>
        <w:t xml:space="preserve">Of the </w:t>
      </w:r>
      <w:r w:rsidR="00093C28">
        <w:t>4,418</w:t>
      </w:r>
      <w:r>
        <w:t xml:space="preserve"> women in our primary analyses, data on years since last live birth were available for </w:t>
      </w:r>
      <w:r w:rsidR="006A2045">
        <w:t>3,587</w:t>
      </w:r>
      <w:r>
        <w:t xml:space="preserve">. The average years since last live birth was </w:t>
      </w:r>
      <w:r w:rsidR="006A2045">
        <w:t>23.8</w:t>
      </w:r>
      <w:r>
        <w:t xml:space="preserve"> (SE = 0.2</w:t>
      </w:r>
      <w:r w:rsidR="006A2045">
        <w:t>8</w:t>
      </w:r>
      <w:r>
        <w:t xml:space="preserve">). </w:t>
      </w:r>
      <w:r w:rsidR="0069035A" w:rsidRPr="0069035A">
        <w:rPr>
          <w:highlight w:val="yellow"/>
        </w:rPr>
        <w:t>After correcting for multiple comparisons</w:t>
      </w:r>
      <w:r w:rsidR="0069035A">
        <w:t>, t</w:t>
      </w:r>
      <w:r>
        <w:t xml:space="preserve">he main effect of years since last live birth was not significant in any model, nor were any of the interaction terms between years </w:t>
      </w:r>
      <w:r w:rsidR="0069035A">
        <w:t>since</w:t>
      </w:r>
      <w:r>
        <w:t xml:space="preserve"> last live birth and parity (</w:t>
      </w:r>
      <w:r w:rsidR="0069035A">
        <w:rPr>
          <w:b/>
        </w:rPr>
        <w:t>Table 2</w:t>
      </w:r>
      <w:r>
        <w:t>).</w:t>
      </w:r>
    </w:p>
    <w:p w14:paraId="2F35AA03" w14:textId="77777777" w:rsidR="000A073E" w:rsidRDefault="000A073E" w:rsidP="008406FB">
      <w:pPr>
        <w:shd w:val="clear" w:color="auto" w:fill="FFFFFF"/>
        <w:spacing w:line="480" w:lineRule="auto"/>
      </w:pPr>
    </w:p>
    <w:p w14:paraId="2B5F00B5" w14:textId="4D9CBF81" w:rsidR="0069035A" w:rsidRDefault="008406FB" w:rsidP="0069035A">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w:t>
      </w:r>
      <w:r>
        <w:lastRenderedPageBreak/>
        <w:t>should be interpreted as exploratory only. On average, women with valid responses to this question gave birth 10.</w:t>
      </w:r>
      <w:r w:rsidR="006A2045">
        <w:t>7</w:t>
      </w:r>
      <w:r>
        <w:t xml:space="preserve"> months ago (SE = 0.</w:t>
      </w:r>
      <w:r w:rsidR="006A2045">
        <w:t>63</w:t>
      </w:r>
      <w:r>
        <w:t xml:space="preserve">). </w:t>
      </w:r>
      <w:r w:rsidR="0069035A" w:rsidRPr="0069035A">
        <w:rPr>
          <w:highlight w:val="yellow"/>
        </w:rPr>
        <w:t>After correcting for multiple comparisons</w:t>
      </w:r>
      <w:r w:rsidR="0069035A">
        <w:t>, the main effects of months since last live birth and parity was not significant in any model, nor were any of the interaction terms between months since last live birth and parity (</w:t>
      </w:r>
      <w:r w:rsidR="0069035A">
        <w:rPr>
          <w:b/>
        </w:rPr>
        <w:t>Table 2</w:t>
      </w:r>
      <w:r w:rsidR="0069035A">
        <w:t>).</w:t>
      </w:r>
    </w:p>
    <w:p w14:paraId="2E7C6EF4" w14:textId="76AAD7DF" w:rsidR="0069035A" w:rsidRDefault="0069035A" w:rsidP="008406FB">
      <w:pPr>
        <w:shd w:val="clear" w:color="auto" w:fill="FFFFFF"/>
        <w:spacing w:line="480" w:lineRule="auto"/>
      </w:pPr>
    </w:p>
    <w:p w14:paraId="516D5A8B" w14:textId="77777777" w:rsidR="0069035A" w:rsidRDefault="0069035A" w:rsidP="008406FB">
      <w:pPr>
        <w:shd w:val="clear" w:color="auto" w:fill="FFFFFF"/>
        <w:spacing w:line="480" w:lineRule="auto"/>
      </w:pPr>
    </w:p>
    <w:p w14:paraId="0FFB09C6" w14:textId="3E3D5186" w:rsidR="000A073E" w:rsidRDefault="008406FB" w:rsidP="008406FB">
      <w:pPr>
        <w:shd w:val="clear" w:color="auto" w:fill="FFFFFF"/>
        <w:spacing w:line="480" w:lineRule="auto"/>
      </w:pPr>
      <w:r>
        <w:t xml:space="preserve">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(see </w:t>
      </w:r>
      <w:r>
        <w:rPr>
          <w:b/>
        </w:rPr>
        <w:t xml:space="preserve">ESM Table </w:t>
      </w:r>
      <w:r w:rsidR="002C57DC">
        <w:rPr>
          <w:b/>
        </w:rPr>
        <w:t>XI</w:t>
      </w:r>
      <w:r>
        <w:t>).</w:t>
      </w:r>
    </w:p>
    <w:p w14:paraId="7B79E573" w14:textId="77777777" w:rsidR="006A2045" w:rsidRDefault="006A2045"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526FEE2E" w:rsidR="000A073E" w:rsidRDefault="008406FB" w:rsidP="008406FB">
      <w:pPr>
        <w:shd w:val="clear" w:color="auto" w:fill="FFFFFF"/>
        <w:spacing w:line="480" w:lineRule="auto"/>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w:t>
      </w:r>
      <w:proofErr w:type="gramStart"/>
      <w:r>
        <w:t>nationally-representative</w:t>
      </w:r>
      <w:proofErr w:type="gramEnd"/>
      <w:r>
        <w:t xml:space="preserve"> sample of US women of reproductive and post-reproductive age. Based on prior work, we hypothesized a U-shaped relationship between parity and biological age. When controlling for lifestyle, health-related, and demographic factors, parity (defined as number of live births) was not significantly associated with any of the </w:t>
      </w:r>
      <w:r w:rsidR="007466FC">
        <w:t>four</w:t>
      </w:r>
      <w:r>
        <w:t xml:space="preserve"> measures of biological age examined, nor did the association between parity and biological age differ as a function of menopause status. To our knowledge, our study represents the first application of biological age composites indexing system integrity (LM, HD, KDM</w:t>
      </w:r>
      <w:r w:rsidR="007466FC">
        <w:t xml:space="preserve">, </w:t>
      </w:r>
      <w:r w:rsidR="007466FC" w:rsidRPr="007466FC">
        <w:rPr>
          <w:highlight w:val="yellow"/>
        </w:rPr>
        <w:t>AL</w:t>
      </w:r>
      <w:r>
        <w:t>) to quantify costs of reproduction in women. The lack of clear associations between parity and LM, HD, KDM</w:t>
      </w:r>
      <w:r w:rsidR="007466FC">
        <w:t xml:space="preserve">, </w:t>
      </w:r>
      <w:r w:rsidR="007466FC" w:rsidRPr="007466FC">
        <w:rPr>
          <w:highlight w:val="yellow"/>
        </w:rPr>
        <w:t>and AL</w:t>
      </w:r>
      <w:r>
        <w:t xml:space="preserve"> can be explained in several ways. In what follows, we describe what we view as the most tenable hypotheses. </w:t>
      </w:r>
    </w:p>
    <w:p w14:paraId="4E9C037E" w14:textId="77777777" w:rsidR="000A073E" w:rsidRDefault="000A073E" w:rsidP="008406FB">
      <w:pPr>
        <w:shd w:val="clear" w:color="auto" w:fill="FFFFFF"/>
        <w:spacing w:line="480" w:lineRule="auto"/>
      </w:pPr>
    </w:p>
    <w:p w14:paraId="523EDE4D" w14:textId="487619E4" w:rsidR="000A073E" w:rsidRDefault="008406FB" w:rsidP="008406FB">
      <w:pPr>
        <w:shd w:val="clear" w:color="auto" w:fill="FFFFFF"/>
        <w:spacing w:line="480" w:lineRule="auto"/>
      </w:pPr>
      <w:r>
        <w:lastRenderedPageBreak/>
        <w:t>First, it is possible that reproduction may exert significant physiological effects, but that the proxies used in LM, HD, KDM</w:t>
      </w:r>
      <w:r w:rsidR="007466FC">
        <w:t xml:space="preserve">, and </w:t>
      </w:r>
      <w:r w:rsidR="007466FC" w:rsidRPr="007466FC">
        <w:rPr>
          <w:highlight w:val="yellow"/>
        </w:rPr>
        <w:t>AL</w:t>
      </w:r>
      <w:r>
        <w:t xml:space="preserve"> are imprecise measures of the effects they aim to index. For example, NHANES white blood cell count data reflects the total number of white </w:t>
      </w:r>
      <w:proofErr w:type="gramStart"/>
      <w:r>
        <w:t>blood</w:t>
      </w:r>
      <w:proofErr w:type="gramEnd"/>
      <w:r>
        <w:t xml:space="preserve"> cells, and does not distinguish between different cell types. Total white blood cell count is significantly increased during pregnancy, but returns to baseline within two years postpartum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By contrast, higher proportions of CD4+ effector memory cells and CD8+ lymphocytes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higher lymphocyte-monocyte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and lower platelet-lymphocyte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2679A8">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lt;sup&gt;66&lt;/sup&gt;","plainTextFormattedCitation":"66","previouslyFormattedCitation":"&lt;sup&gt;65&lt;/sup&gt;"},"properties":{"noteIndex":0},"schema":"https://github.com/citation-style-language/schema/raw/master/csl-citation.json"}</w:instrText>
      </w:r>
      <w:r w:rsidR="00C2335B">
        <w:fldChar w:fldCharType="separate"/>
      </w:r>
      <w:r w:rsidR="002679A8" w:rsidRPr="002679A8">
        <w:rPr>
          <w:noProof/>
          <w:vertAlign w:val="superscript"/>
        </w:rPr>
        <w:t>66</w:t>
      </w:r>
      <w:r w:rsidR="00C2335B">
        <w:fldChar w:fldCharType="end"/>
      </w:r>
      <w:r>
        <w:t xml:space="preserve">, work in mice suggests that parity exhibits a dose-response relationship with bone mineral density in absence of significant changes in alkaline phosphatase levels </w:t>
      </w:r>
      <w:r w:rsidR="00C2335B">
        <w:fldChar w:fldCharType="begin" w:fldLock="1"/>
      </w:r>
      <w:r w:rsidR="002679A8">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lt;sup&gt;67&lt;/sup&gt;","plainTextFormattedCitation":"67","previouslyFormattedCitation":"&lt;sup&gt;66&lt;/sup&gt;"},"properties":{"noteIndex":0},"schema":"https://github.com/citation-style-language/schema/raw/master/csl-citation.json"}</w:instrText>
      </w:r>
      <w:r w:rsidR="00C2335B">
        <w:fldChar w:fldCharType="separate"/>
      </w:r>
      <w:r w:rsidR="002679A8" w:rsidRPr="002679A8">
        <w:rPr>
          <w:noProof/>
          <w:vertAlign w:val="superscript"/>
        </w:rPr>
        <w:t>67</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2E3CCEBA" w:rsidR="000A073E" w:rsidRDefault="008406FB" w:rsidP="008406FB">
      <w:pPr>
        <w:shd w:val="clear" w:color="auto" w:fill="FFFFFF"/>
        <w:spacing w:line="480" w:lineRule="auto"/>
      </w:pPr>
      <w:r>
        <w:t>The inclusion of proxies in LM, HD, KDM</w:t>
      </w:r>
      <w:r w:rsidR="007466FC">
        <w:t xml:space="preserve">, and </w:t>
      </w:r>
      <w:r w:rsidR="007466FC" w:rsidRPr="007466FC">
        <w:rPr>
          <w:highlight w:val="yellow"/>
        </w:rPr>
        <w:t>AL</w:t>
      </w:r>
      <w:r>
        <w:t xml:space="preserve">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2679A8">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lt;sup&gt;68&lt;/sup&gt;","plainTextFormattedCitation":"68","previouslyFormattedCitation":"&lt;sup&gt;67&lt;/sup&gt;"},"properties":{"noteIndex":0},"schema":"https://github.com/citation-style-language/schema/raw/master/csl-citation.json"}</w:instrText>
      </w:r>
      <w:r w:rsidR="00C2335B">
        <w:fldChar w:fldCharType="separate"/>
      </w:r>
      <w:r w:rsidR="002679A8" w:rsidRPr="002679A8">
        <w:rPr>
          <w:noProof/>
          <w:vertAlign w:val="superscript"/>
        </w:rPr>
        <w:t>68</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07EA96F" w14:textId="234706BD" w:rsidR="000A073E" w:rsidRDefault="008406FB" w:rsidP="008406FB">
      <w:pPr>
        <w:shd w:val="clear" w:color="auto" w:fill="FFFFFF"/>
        <w:spacing w:line="480" w:lineRule="auto"/>
      </w:pPr>
      <w:r>
        <w:t xml:space="preserve">A second and not mutually exclusive hypothesis is that reproduction exerts significant effects, but that these effects differ in whether they are acute or chronic in nature. In addition to transient changes in 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2679A8">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lt;sup&gt;69,70&lt;/sup&gt;","plainTextFormattedCitation":"69,70","previouslyFormattedCitation":"&lt;sup&gt;68,69&lt;/sup&gt;"},"properties":{"noteIndex":0},"schema":"https://github.com/citation-style-language/schema/raw/master/csl-citation.json"}</w:instrText>
      </w:r>
      <w:r w:rsidR="00C2335B">
        <w:fldChar w:fldCharType="separate"/>
      </w:r>
      <w:r w:rsidR="002679A8" w:rsidRPr="002679A8">
        <w:rPr>
          <w:noProof/>
          <w:vertAlign w:val="superscript"/>
        </w:rPr>
        <w:t>69,70</w:t>
      </w:r>
      <w:r w:rsidR="00C2335B">
        <w:fldChar w:fldCharType="end"/>
      </w:r>
      <w:r>
        <w:t xml:space="preserve">. Other indices may change across pregnancy and return to pre-pregnancy levels even faster, such as glomerular filtration rate (an indicator of kidney function) which returns to </w:t>
      </w:r>
      <w:r>
        <w:lastRenderedPageBreak/>
        <w:t xml:space="preserve">baseline levels within one week postpartum </w:t>
      </w:r>
      <w:r w:rsidR="00C2335B">
        <w:fldChar w:fldCharType="begin" w:fldLock="1"/>
      </w:r>
      <w:r w:rsidR="002679A8">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lt;sup&gt;71&lt;/sup&gt;","plainTextFormattedCitation":"71","previouslyFormattedCitation":"&lt;sup&gt;70&lt;/sup&gt;"},"properties":{"noteIndex":0},"schema":"https://github.com/citation-style-language/schema/raw/master/csl-citation.json"}</w:instrText>
      </w:r>
      <w:r w:rsidR="00C2335B">
        <w:fldChar w:fldCharType="separate"/>
      </w:r>
      <w:r w:rsidR="002679A8" w:rsidRPr="002679A8">
        <w:rPr>
          <w:noProof/>
          <w:vertAlign w:val="superscript"/>
        </w:rPr>
        <w:t>71</w:t>
      </w:r>
      <w:r w:rsidR="00C2335B">
        <w:fldChar w:fldCharType="end"/>
      </w:r>
      <w:r>
        <w:t xml:space="preserve">, or systolic blood pressure which returns to baseline levels shortly after birth </w:t>
      </w:r>
      <w:r w:rsidR="00C2335B">
        <w:fldChar w:fldCharType="begin" w:fldLock="1"/>
      </w:r>
      <w:r w:rsidR="002679A8">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lt;sup&gt;72&lt;/sup&gt;","plainTextFormattedCitation":"72","previouslyFormattedCitation":"&lt;sup&gt;71&lt;/sup&gt;"},"properties":{"noteIndex":0},"schema":"https://github.com/citation-style-language/schema/raw/master/csl-citation.json"}</w:instrText>
      </w:r>
      <w:r w:rsidR="00C2335B">
        <w:fldChar w:fldCharType="separate"/>
      </w:r>
      <w:r w:rsidR="002679A8" w:rsidRPr="002679A8">
        <w:rPr>
          <w:noProof/>
          <w:vertAlign w:val="superscript"/>
        </w:rPr>
        <w:t>72</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2679A8">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lt;sup&gt;73&lt;/sup&gt;","plainTextFormattedCitation":"73","previouslyFormattedCitation":"&lt;sup&gt;72&lt;/sup&gt;"},"properties":{"noteIndex":0},"schema":"https://github.com/citation-style-language/schema/raw/master/csl-citation.json"}</w:instrText>
      </w:r>
      <w:r w:rsidR="00C2335B">
        <w:fldChar w:fldCharType="separate"/>
      </w:r>
      <w:r w:rsidR="002679A8" w:rsidRPr="002679A8">
        <w:rPr>
          <w:noProof/>
          <w:vertAlign w:val="superscript"/>
        </w:rPr>
        <w:t>73</w:t>
      </w:r>
      <w:r w:rsidR="00C2335B">
        <w:fldChar w:fldCharType="end"/>
      </w:r>
      <w:r>
        <w:t xml:space="preserve">. Roughly half of women who develop gestational diabetes continue to be diabetic after pregnancy </w:t>
      </w:r>
      <w:r w:rsidR="00C2335B">
        <w:fldChar w:fldCharType="begin" w:fldLock="1"/>
      </w:r>
      <w:r w:rsidR="002679A8">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lt;sup&gt;74&lt;/sup&gt;","plainTextFormattedCitation":"74","previouslyFormattedCitation":"&lt;sup&gt;73&lt;/sup&gt;"},"properties":{"noteIndex":0},"schema":"https://github.com/citation-style-language/schema/raw/master/csl-citation.json"}</w:instrText>
      </w:r>
      <w:r w:rsidR="00C2335B">
        <w:fldChar w:fldCharType="separate"/>
      </w:r>
      <w:r w:rsidR="002679A8" w:rsidRPr="002679A8">
        <w:rPr>
          <w:noProof/>
          <w:vertAlign w:val="superscript"/>
        </w:rPr>
        <w:t>74</w:t>
      </w:r>
      <w:r w:rsidR="00C2335B">
        <w:fldChar w:fldCharType="end"/>
      </w:r>
      <w:r>
        <w:t xml:space="preserve">, suggesting a chronic effect of pregnancy on glucose metabolism. Measures of cellular aging exhibit both chronic </w:t>
      </w:r>
      <w:r w:rsidR="00C2335B">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lt;sup&gt;13,36&lt;/sup&gt;","plainTextFormattedCitation":"13,36","previouslyFormattedCitation":"&lt;sup&gt;12,35&lt;/sup&gt;"},"properties":{"noteIndex":0},"schema":"https://github.com/citation-style-language/schema/raw/master/csl-citation.json"}</w:instrText>
      </w:r>
      <w:r w:rsidR="00C2335B">
        <w:fldChar w:fldCharType="separate"/>
      </w:r>
      <w:r w:rsidR="002679A8" w:rsidRPr="002679A8">
        <w:rPr>
          <w:noProof/>
          <w:vertAlign w:val="superscript"/>
        </w:rPr>
        <w:t>13,36</w:t>
      </w:r>
      <w:r w:rsidR="00C2335B">
        <w:fldChar w:fldCharType="end"/>
      </w:r>
      <w:r>
        <w:t xml:space="preserve"> as well as acute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9D7E28">
        <w:fldChar w:fldCharType="separate"/>
      </w:r>
      <w:r w:rsidR="002679A8" w:rsidRPr="002679A8">
        <w:rPr>
          <w:noProof/>
          <w:vertAlign w:val="superscript"/>
        </w:rPr>
        <w:t>14</w:t>
      </w:r>
      <w:r w:rsidR="009D7E28">
        <w:fldChar w:fldCharType="end"/>
      </w:r>
      <w:r>
        <w:t xml:space="preserve"> responses to pregnancy. Taken together, 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p>
    <w:p w14:paraId="463701D5" w14:textId="77777777" w:rsidR="000A073E" w:rsidRDefault="000A073E" w:rsidP="008406FB">
      <w:pPr>
        <w:shd w:val="clear" w:color="auto" w:fill="FFFFFF"/>
        <w:spacing w:line="480" w:lineRule="auto"/>
      </w:pPr>
    </w:p>
    <w:p w14:paraId="474E219E" w14:textId="578FAED0" w:rsidR="000A073E" w:rsidRDefault="008406FB" w:rsidP="008406FB">
      <w:pPr>
        <w:shd w:val="clear" w:color="auto" w:fill="FFFFFF"/>
        <w:spacing w:line="480" w:lineRule="auto"/>
      </w:pPr>
      <w:r>
        <w:t>A third 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2679A8">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lt;sup&gt;75&lt;/sup&gt;","plainTextFormattedCitation":"75","previouslyFormattedCitation":"&lt;sup&gt;74&lt;/sup&gt;"},"properties":{"noteIndex":0},"schema":"https://github.com/citation-style-language/schema/raw/master/csl-citation.json"}</w:instrText>
      </w:r>
      <w:r w:rsidR="00C2335B">
        <w:fldChar w:fldCharType="separate"/>
      </w:r>
      <w:r w:rsidR="002679A8" w:rsidRPr="002679A8">
        <w:rPr>
          <w:noProof/>
          <w:vertAlign w:val="superscript"/>
        </w:rPr>
        <w:t>75</w:t>
      </w:r>
      <w:r w:rsidR="00C2335B">
        <w:fldChar w:fldCharType="end"/>
      </w:r>
      <w:r>
        <w:t xml:space="preserve">, it contradicts others that do find a link </w:t>
      </w:r>
      <w:r w:rsidR="00C2335B">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t;sup&gt;28,32,33&lt;/sup&gt;","plainTextFormattedCitation":"28,32,33","previouslyFormattedCitation":"&lt;sup&gt;27,31,32&lt;/sup&gt;"},"properties":{"noteIndex":0},"schema":"https://github.com/citation-style-language/schema/raw/master/csl-citation.json"}</w:instrText>
      </w:r>
      <w:r w:rsidR="00C2335B">
        <w:fldChar w:fldCharType="separate"/>
      </w:r>
      <w:r w:rsidR="002679A8" w:rsidRPr="002679A8">
        <w:rPr>
          <w:noProof/>
          <w:vertAlign w:val="superscript"/>
        </w:rPr>
        <w:t>28,32,33</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2679A8">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31&lt;/sup&gt;","plainTextFormattedCitation":"31","previouslyFormattedCitation":"&lt;sup&gt;30&lt;/sup&gt;"},"properties":{"noteIndex":0},"schema":"https://github.com/citation-style-language/schema/raw/master/csl-citation.json"}</w:instrText>
      </w:r>
      <w:r w:rsidR="00C2335B">
        <w:fldChar w:fldCharType="separate"/>
      </w:r>
      <w:r w:rsidR="002679A8" w:rsidRPr="002679A8">
        <w:rPr>
          <w:noProof/>
          <w:vertAlign w:val="superscript"/>
        </w:rPr>
        <w:t>31</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4B2CF619" w:rsidR="000A073E" w:rsidRDefault="008406FB" w:rsidP="008406FB">
      <w:pPr>
        <w:shd w:val="clear" w:color="auto" w:fill="FFFFFF"/>
        <w:spacing w:line="480" w:lineRule="auto"/>
      </w:pPr>
      <w:r>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w:t>
      </w:r>
      <w:r>
        <w:lastRenderedPageBreak/>
        <w:t xml:space="preserve">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2679A8">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76,77&lt;/sup&gt;","plainTextFormattedCitation":"76,77","previouslyFormattedCitation":"&lt;sup&gt;75,76&lt;/sup&gt;"},"properties":{"noteIndex":0},"schema":"https://github.com/citation-style-language/schema/raw/master/csl-citation.json"}</w:instrText>
      </w:r>
      <w:r w:rsidR="00C2335B">
        <w:fldChar w:fldCharType="separate"/>
      </w:r>
      <w:r w:rsidR="002679A8" w:rsidRPr="002679A8">
        <w:rPr>
          <w:noProof/>
          <w:vertAlign w:val="superscript"/>
        </w:rPr>
        <w:t>76,77</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023708A3"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2679A8">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78&lt;/sup&gt;","plainTextFormattedCitation":"78","previouslyFormattedCitation":"&lt;sup&gt;77&lt;/sup&gt;"},"properties":{"noteIndex":0},"schema":"https://github.com/citation-style-language/schema/raw/master/csl-citation.json"}</w:instrText>
      </w:r>
      <w:r w:rsidR="00C2335B">
        <w:fldChar w:fldCharType="separate"/>
      </w:r>
      <w:r w:rsidR="002679A8" w:rsidRPr="002679A8">
        <w:rPr>
          <w:noProof/>
          <w:vertAlign w:val="superscript"/>
        </w:rPr>
        <w:t>78</w:t>
      </w:r>
      <w:r w:rsidR="00C2335B">
        <w:fldChar w:fldCharType="end"/>
      </w:r>
      <w:r>
        <w:t xml:space="preserve">. Changes in body mass and adiposity are central to the physiological changes </w:t>
      </w:r>
      <w:r w:rsidR="00B66627">
        <w:t>occurring</w:t>
      </w:r>
      <w:r>
        <w:t xml:space="preserve"> with pregnancy as women begin “metabolizing for two” </w:t>
      </w:r>
      <w:r w:rsidR="00C2335B">
        <w:fldChar w:fldCharType="begin" w:fldLock="1"/>
      </w:r>
      <w:r w:rsidR="002679A8">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79&lt;/sup&gt;","plainTextFormattedCitation":"79","previouslyFormattedCitation":"&lt;sup&gt;78&lt;/sup&gt;"},"properties":{"noteIndex":0},"schema":"https://github.com/citation-style-language/schema/raw/master/csl-citation.json"}</w:instrText>
      </w:r>
      <w:r w:rsidR="00C2335B">
        <w:fldChar w:fldCharType="separate"/>
      </w:r>
      <w:r w:rsidR="002679A8" w:rsidRPr="002679A8">
        <w:rPr>
          <w:noProof/>
          <w:vertAlign w:val="superscript"/>
        </w:rPr>
        <w:t>79</w:t>
      </w:r>
      <w:r w:rsidR="00C2335B">
        <w:fldChar w:fldCharType="end"/>
      </w:r>
      <w:r>
        <w:t xml:space="preserve">. Parity is associated with increased central adiposity </w:t>
      </w:r>
      <w:r w:rsidR="00C2335B">
        <w:fldChar w:fldCharType="begin" w:fldLock="1"/>
      </w:r>
      <w:r w:rsidR="002679A8">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80&lt;/sup&gt;","plainTextFormattedCitation":"80","previouslyFormattedCitation":"&lt;sup&gt;79&lt;/sup&gt;"},"properties":{"noteIndex":0},"schema":"https://github.com/citation-style-language/schema/raw/master/csl-citation.json"}</w:instrText>
      </w:r>
      <w:r w:rsidR="00C2335B">
        <w:fldChar w:fldCharType="separate"/>
      </w:r>
      <w:r w:rsidR="002679A8" w:rsidRPr="002679A8">
        <w:rPr>
          <w:noProof/>
          <w:vertAlign w:val="superscript"/>
        </w:rPr>
        <w:t>80</w:t>
      </w:r>
      <w:r w:rsidR="00C2335B">
        <w:fldChar w:fldCharType="end"/>
      </w:r>
      <w:r>
        <w:t xml:space="preserve">, and pregnancy-related weight gain can mediate associations between obesity and long-term morbidity </w:t>
      </w:r>
      <w:r w:rsidR="00C2335B">
        <w:fldChar w:fldCharType="begin" w:fldLock="1"/>
      </w:r>
      <w:r w:rsidR="002679A8">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81&lt;/sup&gt;","plainTextFormattedCitation":"81","previouslyFormattedCitation":"&lt;sup&gt;80&lt;/sup&gt;"},"properties":{"noteIndex":0},"schema":"https://github.com/citation-style-language/schema/raw/master/csl-citation.json"}</w:instrText>
      </w:r>
      <w:r w:rsidR="00C2335B">
        <w:fldChar w:fldCharType="separate"/>
      </w:r>
      <w:r w:rsidR="002679A8" w:rsidRPr="002679A8">
        <w:rPr>
          <w:noProof/>
          <w:vertAlign w:val="superscript"/>
        </w:rPr>
        <w:t>81</w:t>
      </w:r>
      <w:r w:rsidR="00C2335B">
        <w:fldChar w:fldCharType="end"/>
      </w:r>
      <w:r>
        <w:t xml:space="preserve">. These risks might be reduced by breast-feeding, which acts to mobilize accumulated fat and reset maternal metabolism </w:t>
      </w:r>
      <w:r w:rsidR="00C2335B">
        <w:fldChar w:fldCharType="begin" w:fldLock="1"/>
      </w:r>
      <w:r w:rsidR="002679A8">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82&lt;/sup&gt;","plainTextFormattedCitation":"82","previouslyFormattedCitation":"&lt;sup&gt;81&lt;/sup&gt;"},"properties":{"noteIndex":0},"schema":"https://github.com/citation-style-language/schema/raw/master/csl-citation.json"}</w:instrText>
      </w:r>
      <w:r w:rsidR="00C2335B">
        <w:fldChar w:fldCharType="separate"/>
      </w:r>
      <w:r w:rsidR="002679A8" w:rsidRPr="002679A8">
        <w:rPr>
          <w:noProof/>
          <w:vertAlign w:val="superscript"/>
        </w:rPr>
        <w:t>82</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w:t>
      </w:r>
      <w:proofErr w:type="gramStart"/>
      <w:r>
        <w:t>more fully quantify pre- and post-natal factors indexing reproduction-related energetic investment</w:t>
      </w:r>
      <w:proofErr w:type="gramEnd"/>
      <w:r>
        <w:t xml:space="preserve">. </w:t>
      </w:r>
    </w:p>
    <w:p w14:paraId="2CB6BE5A" w14:textId="77777777" w:rsidR="000A073E" w:rsidRDefault="000A073E" w:rsidP="008406FB">
      <w:pPr>
        <w:shd w:val="clear" w:color="auto" w:fill="FFFFFF"/>
        <w:spacing w:line="480" w:lineRule="auto"/>
      </w:pPr>
    </w:p>
    <w:p w14:paraId="79B146A7" w14:textId="467E4399" w:rsidR="000A073E" w:rsidRDefault="008406FB" w:rsidP="008406FB">
      <w:pPr>
        <w:shd w:val="clear" w:color="auto" w:fill="FFFFFF"/>
        <w:spacing w:line="480" w:lineRule="auto"/>
      </w:pPr>
      <w:r>
        <w:lastRenderedPageBreak/>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2679A8">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83&lt;/sup&gt;","plainTextFormattedCitation":"83","previouslyFormattedCitation":"&lt;sup&gt;82&lt;/sup&gt;"},"properties":{"noteIndex":0},"schema":"https://github.com/citation-style-language/schema/raw/master/csl-citation.json"}</w:instrText>
      </w:r>
      <w:r w:rsidR="009D7E28">
        <w:fldChar w:fldCharType="separate"/>
      </w:r>
      <w:r w:rsidR="002679A8" w:rsidRPr="002679A8">
        <w:rPr>
          <w:noProof/>
          <w:vertAlign w:val="superscript"/>
        </w:rPr>
        <w:t>83</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2679A8">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84&lt;/sup&gt;","plainTextFormattedCitation":"84","previouslyFormattedCitation":"&lt;sup&gt;83&lt;/sup&gt;"},"properties":{"noteIndex":0},"schema":"https://github.com/citation-style-language/schema/raw/master/csl-citation.json"}</w:instrText>
      </w:r>
      <w:r w:rsidR="00F60069">
        <w:fldChar w:fldCharType="separate"/>
      </w:r>
      <w:r w:rsidR="002679A8" w:rsidRPr="002679A8">
        <w:rPr>
          <w:noProof/>
          <w:vertAlign w:val="superscript"/>
        </w:rPr>
        <w:t>84</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2679A8">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85&lt;/sup&gt;","plainTextFormattedCitation":"85","previouslyFormattedCitation":"&lt;sup&gt;84&lt;/sup&gt;"},"properties":{"noteIndex":0},"schema":"https://github.com/citation-style-language/schema/raw/master/csl-citation.json"}</w:instrText>
      </w:r>
      <w:r w:rsidR="00F60069">
        <w:fldChar w:fldCharType="separate"/>
      </w:r>
      <w:r w:rsidR="002679A8" w:rsidRPr="002679A8">
        <w:rPr>
          <w:noProof/>
          <w:vertAlign w:val="superscript"/>
        </w:rPr>
        <w:t>85</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settings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14,86&lt;/sup&gt;","plainTextFormattedCitation":"14,86","previouslyFormattedCitation":"&lt;sup&gt;13,85&lt;/sup&gt;"},"properties":{"noteIndex":0},"schema":"https://github.com/citation-style-language/schema/raw/master/csl-citation.json"}</w:instrText>
      </w:r>
      <w:r w:rsidR="009D7E28">
        <w:fldChar w:fldCharType="separate"/>
      </w:r>
      <w:r w:rsidR="002679A8" w:rsidRPr="002679A8">
        <w:rPr>
          <w:noProof/>
          <w:vertAlign w:val="superscript"/>
        </w:rPr>
        <w:t>14,86</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1F23A516" w14:textId="5C89FCB1" w:rsidR="002679A8" w:rsidRPr="002679A8" w:rsidRDefault="00DE4B0E" w:rsidP="002679A8">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2679A8" w:rsidRPr="002679A8">
        <w:rPr>
          <w:noProof/>
          <w:szCs w:val="24"/>
        </w:rPr>
        <w:t>1.</w:t>
      </w:r>
      <w:r w:rsidR="002679A8" w:rsidRPr="002679A8">
        <w:rPr>
          <w:noProof/>
          <w:szCs w:val="24"/>
        </w:rPr>
        <w:tab/>
        <w:t xml:space="preserve">Kennedy, B. K. </w:t>
      </w:r>
      <w:r w:rsidR="002679A8" w:rsidRPr="002679A8">
        <w:rPr>
          <w:i/>
          <w:iCs/>
          <w:noProof/>
          <w:szCs w:val="24"/>
        </w:rPr>
        <w:t>et al.</w:t>
      </w:r>
      <w:r w:rsidR="002679A8" w:rsidRPr="002679A8">
        <w:rPr>
          <w:noProof/>
          <w:szCs w:val="24"/>
        </w:rPr>
        <w:t xml:space="preserve"> Geroscience: linking aging to chronic disease. </w:t>
      </w:r>
      <w:r w:rsidR="002679A8" w:rsidRPr="002679A8">
        <w:rPr>
          <w:i/>
          <w:iCs/>
          <w:noProof/>
          <w:szCs w:val="24"/>
        </w:rPr>
        <w:t>Cell</w:t>
      </w:r>
      <w:r w:rsidR="002679A8" w:rsidRPr="002679A8">
        <w:rPr>
          <w:noProof/>
          <w:szCs w:val="24"/>
        </w:rPr>
        <w:t xml:space="preserve"> </w:t>
      </w:r>
      <w:r w:rsidR="002679A8" w:rsidRPr="002679A8">
        <w:rPr>
          <w:b/>
          <w:bCs/>
          <w:noProof/>
          <w:szCs w:val="24"/>
        </w:rPr>
        <w:t>159</w:t>
      </w:r>
      <w:r w:rsidR="002679A8" w:rsidRPr="002679A8">
        <w:rPr>
          <w:noProof/>
          <w:szCs w:val="24"/>
        </w:rPr>
        <w:t>, 709–713 (2014).</w:t>
      </w:r>
    </w:p>
    <w:p w14:paraId="3581006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w:t>
      </w:r>
      <w:r w:rsidRPr="002679A8">
        <w:rPr>
          <w:noProof/>
          <w:szCs w:val="24"/>
        </w:rPr>
        <w:tab/>
        <w:t xml:space="preserve">Kirkwood, T. B. Understanding the odd science of aging. </w:t>
      </w:r>
      <w:r w:rsidRPr="002679A8">
        <w:rPr>
          <w:i/>
          <w:iCs/>
          <w:noProof/>
          <w:szCs w:val="24"/>
        </w:rPr>
        <w:t>Cell</w:t>
      </w:r>
      <w:r w:rsidRPr="002679A8">
        <w:rPr>
          <w:noProof/>
          <w:szCs w:val="24"/>
        </w:rPr>
        <w:t xml:space="preserve"> </w:t>
      </w:r>
      <w:r w:rsidRPr="002679A8">
        <w:rPr>
          <w:b/>
          <w:bCs/>
          <w:noProof/>
          <w:szCs w:val="24"/>
        </w:rPr>
        <w:t>120</w:t>
      </w:r>
      <w:r w:rsidRPr="002679A8">
        <w:rPr>
          <w:noProof/>
          <w:szCs w:val="24"/>
        </w:rPr>
        <w:t>, 437–447 (2005).</w:t>
      </w:r>
    </w:p>
    <w:p w14:paraId="30FA41B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3.</w:t>
      </w:r>
      <w:r w:rsidRPr="002679A8">
        <w:rPr>
          <w:noProof/>
          <w:szCs w:val="24"/>
        </w:rPr>
        <w:tab/>
        <w:t xml:space="preserve">Levine, M. E. &amp; Crimmins, E. M. Is 60 the New 50? Examining Changes in Biological Age Over the Past Two Decades. </w:t>
      </w:r>
      <w:r w:rsidRPr="002679A8">
        <w:rPr>
          <w:i/>
          <w:iCs/>
          <w:noProof/>
          <w:szCs w:val="24"/>
        </w:rPr>
        <w:t>Demography</w:t>
      </w:r>
      <w:r w:rsidRPr="002679A8">
        <w:rPr>
          <w:noProof/>
          <w:szCs w:val="24"/>
        </w:rPr>
        <w:t xml:space="preserve"> </w:t>
      </w:r>
      <w:r w:rsidRPr="002679A8">
        <w:rPr>
          <w:b/>
          <w:bCs/>
          <w:noProof/>
          <w:szCs w:val="24"/>
        </w:rPr>
        <w:t>55</w:t>
      </w:r>
      <w:r w:rsidRPr="002679A8">
        <w:rPr>
          <w:noProof/>
          <w:szCs w:val="24"/>
        </w:rPr>
        <w:t>, 387–402 (2018).</w:t>
      </w:r>
    </w:p>
    <w:p w14:paraId="0BB80DC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w:t>
      </w:r>
      <w:r w:rsidRPr="002679A8">
        <w:rPr>
          <w:noProof/>
          <w:szCs w:val="24"/>
        </w:rPr>
        <w:tab/>
        <w:t xml:space="preserve">Kaletsky, R. &amp; Murphy, C. T. The role of insulin/IGF-like signaling in C. elegans longevity and aging. </w:t>
      </w:r>
      <w:r w:rsidRPr="002679A8">
        <w:rPr>
          <w:i/>
          <w:iCs/>
          <w:noProof/>
          <w:szCs w:val="24"/>
        </w:rPr>
        <w:t>DMM Dis. Model. Mech.</w:t>
      </w:r>
      <w:r w:rsidRPr="002679A8">
        <w:rPr>
          <w:noProof/>
          <w:szCs w:val="24"/>
        </w:rPr>
        <w:t xml:space="preserve"> </w:t>
      </w:r>
      <w:r w:rsidRPr="002679A8">
        <w:rPr>
          <w:b/>
          <w:bCs/>
          <w:noProof/>
          <w:szCs w:val="24"/>
        </w:rPr>
        <w:t>3</w:t>
      </w:r>
      <w:r w:rsidRPr="002679A8">
        <w:rPr>
          <w:noProof/>
          <w:szCs w:val="24"/>
        </w:rPr>
        <w:t>, 415–419 (2010).</w:t>
      </w:r>
    </w:p>
    <w:p w14:paraId="2EF6692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w:t>
      </w:r>
      <w:r w:rsidRPr="002679A8">
        <w:rPr>
          <w:noProof/>
          <w:szCs w:val="24"/>
        </w:rPr>
        <w:tab/>
        <w:t xml:space="preserve">Shigenaga, M. K., Hagen, T. M. &amp; Ames, B. N. Oxidative damage and mitochondrial decay in aging. </w:t>
      </w:r>
      <w:r w:rsidRPr="002679A8">
        <w:rPr>
          <w:i/>
          <w:iCs/>
          <w:noProof/>
          <w:szCs w:val="24"/>
        </w:rPr>
        <w:t>Proc. Natl. Acad. Sci. U. S. A.</w:t>
      </w:r>
      <w:r w:rsidRPr="002679A8">
        <w:rPr>
          <w:noProof/>
          <w:szCs w:val="24"/>
        </w:rPr>
        <w:t xml:space="preserve"> </w:t>
      </w:r>
      <w:r w:rsidRPr="002679A8">
        <w:rPr>
          <w:b/>
          <w:bCs/>
          <w:noProof/>
          <w:szCs w:val="24"/>
        </w:rPr>
        <w:t>91</w:t>
      </w:r>
      <w:r w:rsidRPr="002679A8">
        <w:rPr>
          <w:noProof/>
          <w:szCs w:val="24"/>
        </w:rPr>
        <w:t>, 10771–10778 (1994).</w:t>
      </w:r>
    </w:p>
    <w:p w14:paraId="3E2C1A4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w:t>
      </w:r>
      <w:r w:rsidRPr="002679A8">
        <w:rPr>
          <w:noProof/>
          <w:szCs w:val="24"/>
        </w:rPr>
        <w:tab/>
        <w:t xml:space="preserve">Franceschi, C. &amp; Campisi, J. Chronic inflammation (Inflammaging) and its potential contribution to age-associated diseases. </w:t>
      </w:r>
      <w:r w:rsidRPr="002679A8">
        <w:rPr>
          <w:i/>
          <w:iCs/>
          <w:noProof/>
          <w:szCs w:val="24"/>
        </w:rPr>
        <w:t>Journals Gerontol. - Ser. A Biol. Sci. Med. Sci.</w:t>
      </w:r>
      <w:r w:rsidRPr="002679A8">
        <w:rPr>
          <w:noProof/>
          <w:szCs w:val="24"/>
        </w:rPr>
        <w:t xml:space="preserve"> </w:t>
      </w:r>
      <w:r w:rsidRPr="002679A8">
        <w:rPr>
          <w:b/>
          <w:bCs/>
          <w:noProof/>
          <w:szCs w:val="24"/>
        </w:rPr>
        <w:t>69</w:t>
      </w:r>
      <w:r w:rsidRPr="002679A8">
        <w:rPr>
          <w:noProof/>
          <w:szCs w:val="24"/>
        </w:rPr>
        <w:t>, S4–S9 (2014).</w:t>
      </w:r>
    </w:p>
    <w:p w14:paraId="3CF85F2C"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w:t>
      </w:r>
      <w:r w:rsidRPr="002679A8">
        <w:rPr>
          <w:noProof/>
          <w:szCs w:val="24"/>
        </w:rPr>
        <w:tab/>
        <w:t xml:space="preserve">Horvath, S. &amp; Raj, K. DNA methylation-based biomarkers and the epigenetic clock theory of ageing. </w:t>
      </w:r>
      <w:r w:rsidRPr="002679A8">
        <w:rPr>
          <w:i/>
          <w:iCs/>
          <w:noProof/>
          <w:szCs w:val="24"/>
        </w:rPr>
        <w:t>Nat Rev Genet</w:t>
      </w:r>
      <w:r w:rsidRPr="002679A8">
        <w:rPr>
          <w:noProof/>
          <w:szCs w:val="24"/>
        </w:rPr>
        <w:t xml:space="preserve"> </w:t>
      </w:r>
      <w:r w:rsidRPr="002679A8">
        <w:rPr>
          <w:b/>
          <w:bCs/>
          <w:noProof/>
          <w:szCs w:val="24"/>
        </w:rPr>
        <w:t>19</w:t>
      </w:r>
      <w:r w:rsidRPr="002679A8">
        <w:rPr>
          <w:noProof/>
          <w:szCs w:val="24"/>
        </w:rPr>
        <w:t>, 371–384 (2018).</w:t>
      </w:r>
    </w:p>
    <w:p w14:paraId="1F67E4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w:t>
      </w:r>
      <w:r w:rsidRPr="002679A8">
        <w:rPr>
          <w:noProof/>
          <w:szCs w:val="24"/>
        </w:rPr>
        <w:tab/>
        <w:t xml:space="preserve">Sanders, J. L. &amp; Newman, A. B. Telomere length in epidemiology: A biomarker of aging, age-related disease, both, or neither?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112–131 (2013).</w:t>
      </w:r>
    </w:p>
    <w:p w14:paraId="6FC3CF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9.</w:t>
      </w:r>
      <w:r w:rsidRPr="002679A8">
        <w:rPr>
          <w:noProof/>
          <w:szCs w:val="24"/>
        </w:rPr>
        <w:tab/>
        <w:t xml:space="preserve">United Nations. </w:t>
      </w:r>
      <w:r w:rsidRPr="002679A8">
        <w:rPr>
          <w:i/>
          <w:iCs/>
          <w:noProof/>
          <w:szCs w:val="24"/>
        </w:rPr>
        <w:t>World Population Prospects 2019</w:t>
      </w:r>
      <w:r w:rsidRPr="002679A8">
        <w:rPr>
          <w:noProof/>
          <w:szCs w:val="24"/>
        </w:rPr>
        <w:t xml:space="preserve">. </w:t>
      </w:r>
      <w:r w:rsidRPr="002679A8">
        <w:rPr>
          <w:i/>
          <w:iCs/>
          <w:noProof/>
          <w:szCs w:val="24"/>
        </w:rPr>
        <w:t>Department of Economic and Social Affairs. World Population Prospects 2019.</w:t>
      </w:r>
      <w:r w:rsidRPr="002679A8">
        <w:rPr>
          <w:noProof/>
          <w:szCs w:val="24"/>
        </w:rPr>
        <w:t xml:space="preserve"> (2019).</w:t>
      </w:r>
    </w:p>
    <w:p w14:paraId="460A72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10.</w:t>
      </w:r>
      <w:r w:rsidRPr="002679A8">
        <w:rPr>
          <w:noProof/>
          <w:szCs w:val="24"/>
        </w:rPr>
        <w:tab/>
        <w:t xml:space="preserve">Valdes, A, M. </w:t>
      </w:r>
      <w:r w:rsidRPr="002679A8">
        <w:rPr>
          <w:i/>
          <w:iCs/>
          <w:noProof/>
          <w:szCs w:val="24"/>
        </w:rPr>
        <w:t>et al.</w:t>
      </w:r>
      <w:r w:rsidRPr="002679A8">
        <w:rPr>
          <w:noProof/>
          <w:szCs w:val="24"/>
        </w:rPr>
        <w:t xml:space="preserve"> Obesity, cigarette smoking, and telomere length in women. </w:t>
      </w:r>
      <w:r w:rsidRPr="002679A8">
        <w:rPr>
          <w:i/>
          <w:iCs/>
          <w:noProof/>
          <w:szCs w:val="24"/>
        </w:rPr>
        <w:t>Lancet</w:t>
      </w:r>
      <w:r w:rsidRPr="002679A8">
        <w:rPr>
          <w:noProof/>
          <w:szCs w:val="24"/>
        </w:rPr>
        <w:t xml:space="preserve"> </w:t>
      </w:r>
      <w:r w:rsidRPr="002679A8">
        <w:rPr>
          <w:b/>
          <w:bCs/>
          <w:noProof/>
          <w:szCs w:val="24"/>
        </w:rPr>
        <w:t>366</w:t>
      </w:r>
      <w:r w:rsidRPr="002679A8">
        <w:rPr>
          <w:noProof/>
          <w:szCs w:val="24"/>
        </w:rPr>
        <w:t>, 662–664 (2005).</w:t>
      </w:r>
    </w:p>
    <w:p w14:paraId="19E420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11.</w:t>
      </w:r>
      <w:r w:rsidRPr="002679A8">
        <w:rPr>
          <w:noProof/>
          <w:szCs w:val="24"/>
        </w:rPr>
        <w:tab/>
        <w:t xml:space="preserve">Hastings, W. J., Shalev, I. &amp; Belsky, D. W. Comparability of biological aging measures in the National Health and Nutrition Examination Study, 1999-2002. </w:t>
      </w:r>
      <w:r w:rsidRPr="002679A8">
        <w:rPr>
          <w:i/>
          <w:iCs/>
          <w:noProof/>
          <w:szCs w:val="24"/>
        </w:rPr>
        <w:t>Psychoneuroendocrinology</w:t>
      </w:r>
      <w:r w:rsidRPr="002679A8">
        <w:rPr>
          <w:noProof/>
          <w:szCs w:val="24"/>
        </w:rPr>
        <w:t xml:space="preserve"> </w:t>
      </w:r>
      <w:r w:rsidRPr="002679A8">
        <w:rPr>
          <w:b/>
          <w:bCs/>
          <w:noProof/>
          <w:szCs w:val="24"/>
        </w:rPr>
        <w:t>106</w:t>
      </w:r>
      <w:r w:rsidRPr="002679A8">
        <w:rPr>
          <w:noProof/>
          <w:szCs w:val="24"/>
        </w:rPr>
        <w:t>, 171–178 (2019).</w:t>
      </w:r>
    </w:p>
    <w:p w14:paraId="5FC0E25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12.</w:t>
      </w:r>
      <w:r w:rsidRPr="002679A8">
        <w:rPr>
          <w:noProof/>
          <w:szCs w:val="24"/>
        </w:rPr>
        <w:tab/>
        <w:t xml:space="preserve">Epel, E. S. </w:t>
      </w:r>
      <w:r w:rsidRPr="002679A8">
        <w:rPr>
          <w:i/>
          <w:iCs/>
          <w:noProof/>
          <w:szCs w:val="24"/>
        </w:rPr>
        <w:t>et al.</w:t>
      </w:r>
      <w:r w:rsidRPr="002679A8">
        <w:rPr>
          <w:noProof/>
          <w:szCs w:val="24"/>
        </w:rPr>
        <w:t xml:space="preserve"> Accelerated telomere shortening in response to life stress. </w:t>
      </w:r>
      <w:r w:rsidRPr="002679A8">
        <w:rPr>
          <w:i/>
          <w:iCs/>
          <w:noProof/>
          <w:szCs w:val="24"/>
        </w:rPr>
        <w:t>Proc. Natl. Acad. Sci.</w:t>
      </w:r>
      <w:r w:rsidRPr="002679A8">
        <w:rPr>
          <w:noProof/>
          <w:szCs w:val="24"/>
        </w:rPr>
        <w:t xml:space="preserve"> </w:t>
      </w:r>
      <w:r w:rsidRPr="002679A8">
        <w:rPr>
          <w:b/>
          <w:bCs/>
          <w:noProof/>
          <w:szCs w:val="24"/>
        </w:rPr>
        <w:t>101</w:t>
      </w:r>
      <w:r w:rsidRPr="002679A8">
        <w:rPr>
          <w:noProof/>
          <w:szCs w:val="24"/>
        </w:rPr>
        <w:t>, 17312–17315 (2004).</w:t>
      </w:r>
    </w:p>
    <w:p w14:paraId="05B8E5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13.</w:t>
      </w:r>
      <w:r w:rsidRPr="002679A8">
        <w:rPr>
          <w:noProof/>
          <w:szCs w:val="24"/>
        </w:rPr>
        <w:tab/>
        <w:t xml:space="preserve">Pollack, A. Z., Rivers, K. &amp; Ahrens, K. A. Parity associated with telomere length among US reproductive age women. </w:t>
      </w:r>
      <w:r w:rsidRPr="002679A8">
        <w:rPr>
          <w:i/>
          <w:iCs/>
          <w:noProof/>
          <w:szCs w:val="24"/>
        </w:rPr>
        <w:t>Hum. Reprod.</w:t>
      </w:r>
      <w:r w:rsidRPr="002679A8">
        <w:rPr>
          <w:noProof/>
          <w:szCs w:val="24"/>
        </w:rPr>
        <w:t xml:space="preserve"> </w:t>
      </w:r>
      <w:r w:rsidRPr="002679A8">
        <w:rPr>
          <w:b/>
          <w:bCs/>
          <w:noProof/>
          <w:szCs w:val="24"/>
        </w:rPr>
        <w:t>33</w:t>
      </w:r>
      <w:r w:rsidRPr="002679A8">
        <w:rPr>
          <w:noProof/>
          <w:szCs w:val="24"/>
        </w:rPr>
        <w:t>, 736–744 (2018).</w:t>
      </w:r>
    </w:p>
    <w:p w14:paraId="21407FF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14.</w:t>
      </w:r>
      <w:r w:rsidRPr="002679A8">
        <w:rPr>
          <w:noProof/>
          <w:szCs w:val="24"/>
        </w:rPr>
        <w:tab/>
        <w:t xml:space="preserve">Ryan, C. P. </w:t>
      </w:r>
      <w:r w:rsidRPr="002679A8">
        <w:rPr>
          <w:i/>
          <w:iCs/>
          <w:noProof/>
          <w:szCs w:val="24"/>
        </w:rPr>
        <w:t>et al.</w:t>
      </w:r>
      <w:r w:rsidRPr="002679A8">
        <w:rPr>
          <w:noProof/>
          <w:szCs w:val="24"/>
        </w:rPr>
        <w:t xml:space="preserve"> Reproduction predicts shorter telomeres and epigenetic age acceleration among young adult women. </w:t>
      </w:r>
      <w:r w:rsidRPr="002679A8">
        <w:rPr>
          <w:i/>
          <w:iCs/>
          <w:noProof/>
          <w:szCs w:val="24"/>
        </w:rPr>
        <w:t>Sci. Rep.</w:t>
      </w:r>
      <w:r w:rsidRPr="002679A8">
        <w:rPr>
          <w:noProof/>
          <w:szCs w:val="24"/>
        </w:rPr>
        <w:t xml:space="preserve"> 1–9 (2018). doi:10.1038/s41598-018-29486-4</w:t>
      </w:r>
    </w:p>
    <w:p w14:paraId="42797F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15.</w:t>
      </w:r>
      <w:r w:rsidRPr="002679A8">
        <w:rPr>
          <w:noProof/>
          <w:szCs w:val="24"/>
        </w:rPr>
        <w:tab/>
        <w:t xml:space="preserve">Tan, E. K. &amp; Tan, E. L. Alterations in physiology and anatomy during pregnancy. </w:t>
      </w:r>
      <w:r w:rsidRPr="002679A8">
        <w:rPr>
          <w:i/>
          <w:iCs/>
          <w:noProof/>
          <w:szCs w:val="24"/>
        </w:rPr>
        <w:t xml:space="preserve">Best Pract. </w:t>
      </w:r>
      <w:r w:rsidRPr="002679A8">
        <w:rPr>
          <w:i/>
          <w:iCs/>
          <w:noProof/>
          <w:szCs w:val="24"/>
        </w:rPr>
        <w:lastRenderedPageBreak/>
        <w:t>Res. Clin. Obstet. Gynaecol.</w:t>
      </w:r>
      <w:r w:rsidRPr="002679A8">
        <w:rPr>
          <w:noProof/>
          <w:szCs w:val="24"/>
        </w:rPr>
        <w:t xml:space="preserve"> </w:t>
      </w:r>
      <w:r w:rsidRPr="002679A8">
        <w:rPr>
          <w:b/>
          <w:bCs/>
          <w:noProof/>
          <w:szCs w:val="24"/>
        </w:rPr>
        <w:t>27</w:t>
      </w:r>
      <w:r w:rsidRPr="002679A8">
        <w:rPr>
          <w:noProof/>
          <w:szCs w:val="24"/>
        </w:rPr>
        <w:t>, 791–802 (2013).</w:t>
      </w:r>
    </w:p>
    <w:p w14:paraId="4A0D923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16.</w:t>
      </w:r>
      <w:r w:rsidRPr="002679A8">
        <w:rPr>
          <w:noProof/>
          <w:szCs w:val="24"/>
        </w:rPr>
        <w:tab/>
        <w:t xml:space="preserve">Cramer, D. W. &amp; Vitonis, A. F. Signatures of reproductive events on blood counts and biomarkers of inflammation: Implications for chronic disease risk. </w:t>
      </w:r>
      <w:r w:rsidRPr="002679A8">
        <w:rPr>
          <w:i/>
          <w:iCs/>
          <w:noProof/>
          <w:szCs w:val="24"/>
        </w:rPr>
        <w:t>PLoS One</w:t>
      </w:r>
      <w:r w:rsidRPr="002679A8">
        <w:rPr>
          <w:noProof/>
          <w:szCs w:val="24"/>
        </w:rPr>
        <w:t xml:space="preserve"> </w:t>
      </w:r>
      <w:r w:rsidRPr="002679A8">
        <w:rPr>
          <w:b/>
          <w:bCs/>
          <w:noProof/>
          <w:szCs w:val="24"/>
        </w:rPr>
        <w:t>12</w:t>
      </w:r>
      <w:r w:rsidRPr="002679A8">
        <w:rPr>
          <w:noProof/>
          <w:szCs w:val="24"/>
        </w:rPr>
        <w:t>, 1–19 (2017).</w:t>
      </w:r>
    </w:p>
    <w:p w14:paraId="05AE067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17.</w:t>
      </w:r>
      <w:r w:rsidRPr="002679A8">
        <w:rPr>
          <w:noProof/>
          <w:szCs w:val="24"/>
        </w:rPr>
        <w:tab/>
        <w:t xml:space="preserve">Lurie, S., Rahamim, E., Piper, I., Golan, A. &amp; Sadan, O. Total and differential leukocyte counts percentiles in normal pregnancy. </w:t>
      </w:r>
      <w:r w:rsidRPr="002679A8">
        <w:rPr>
          <w:i/>
          <w:iCs/>
          <w:noProof/>
          <w:szCs w:val="24"/>
        </w:rPr>
        <w:t>Eur. J. Obs. Gynecol. Reprod. Biol.</w:t>
      </w:r>
      <w:r w:rsidRPr="002679A8">
        <w:rPr>
          <w:noProof/>
          <w:szCs w:val="24"/>
        </w:rPr>
        <w:t xml:space="preserve"> </w:t>
      </w:r>
      <w:r w:rsidRPr="002679A8">
        <w:rPr>
          <w:b/>
          <w:bCs/>
          <w:noProof/>
          <w:szCs w:val="24"/>
        </w:rPr>
        <w:t>136</w:t>
      </w:r>
      <w:r w:rsidRPr="002679A8">
        <w:rPr>
          <w:noProof/>
          <w:szCs w:val="24"/>
        </w:rPr>
        <w:t>, 16–19 (2008).</w:t>
      </w:r>
    </w:p>
    <w:p w14:paraId="0039F01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18.</w:t>
      </w:r>
      <w:r w:rsidRPr="002679A8">
        <w:rPr>
          <w:noProof/>
          <w:szCs w:val="24"/>
        </w:rPr>
        <w:tab/>
        <w:t xml:space="preserve">Faas, M. M., Spaans, F. &amp; De Vos, P. Monocytes and macrophages in pregnancy and pre-eclampsia. </w:t>
      </w:r>
      <w:r w:rsidRPr="002679A8">
        <w:rPr>
          <w:i/>
          <w:iCs/>
          <w:noProof/>
          <w:szCs w:val="24"/>
        </w:rPr>
        <w:t>Front. Immunol.</w:t>
      </w:r>
      <w:r w:rsidRPr="002679A8">
        <w:rPr>
          <w:noProof/>
          <w:szCs w:val="24"/>
        </w:rPr>
        <w:t xml:space="preserve"> </w:t>
      </w:r>
      <w:r w:rsidRPr="002679A8">
        <w:rPr>
          <w:b/>
          <w:bCs/>
          <w:noProof/>
          <w:szCs w:val="24"/>
        </w:rPr>
        <w:t>5</w:t>
      </w:r>
      <w:r w:rsidRPr="002679A8">
        <w:rPr>
          <w:noProof/>
          <w:szCs w:val="24"/>
        </w:rPr>
        <w:t>, 1–11 (2014).</w:t>
      </w:r>
    </w:p>
    <w:p w14:paraId="49BBC64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19.</w:t>
      </w:r>
      <w:r w:rsidRPr="002679A8">
        <w:rPr>
          <w:noProof/>
          <w:szCs w:val="24"/>
        </w:rPr>
        <w:tab/>
        <w:t xml:space="preserve">Soma-Pillay, P., Nelson-piercy, C., Tolppanen, H. &amp; Mebazaa, A. Physiological changes in pregnancy. </w:t>
      </w:r>
      <w:r w:rsidRPr="002679A8">
        <w:rPr>
          <w:i/>
          <w:iCs/>
          <w:noProof/>
          <w:szCs w:val="24"/>
        </w:rPr>
        <w:t>Cardiovasc. J. Afr.</w:t>
      </w:r>
      <w:r w:rsidRPr="002679A8">
        <w:rPr>
          <w:noProof/>
          <w:szCs w:val="24"/>
        </w:rPr>
        <w:t xml:space="preserve"> </w:t>
      </w:r>
      <w:r w:rsidRPr="002679A8">
        <w:rPr>
          <w:b/>
          <w:bCs/>
          <w:noProof/>
          <w:szCs w:val="24"/>
        </w:rPr>
        <w:t>27</w:t>
      </w:r>
      <w:r w:rsidRPr="002679A8">
        <w:rPr>
          <w:noProof/>
          <w:szCs w:val="24"/>
        </w:rPr>
        <w:t>, 89–94 (2016).</w:t>
      </w:r>
    </w:p>
    <w:p w14:paraId="43B215D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20.</w:t>
      </w:r>
      <w:r w:rsidRPr="002679A8">
        <w:rPr>
          <w:noProof/>
          <w:szCs w:val="24"/>
        </w:rPr>
        <w:tab/>
        <w:t xml:space="preserve">Fried, R. L., Mayol, N. L., McDade, T. W. &amp; Kuzawa, C. W. Maternal metabolic adaptations to pregnancy among young women in Cebu, Philippines. </w:t>
      </w:r>
      <w:r w:rsidRPr="002679A8">
        <w:rPr>
          <w:i/>
          <w:iCs/>
          <w:noProof/>
          <w:szCs w:val="24"/>
        </w:rPr>
        <w:t>Am. J. Hum. Biol.</w:t>
      </w:r>
      <w:r w:rsidRPr="002679A8">
        <w:rPr>
          <w:noProof/>
          <w:szCs w:val="24"/>
        </w:rPr>
        <w:t xml:space="preserve"> </w:t>
      </w:r>
      <w:r w:rsidRPr="002679A8">
        <w:rPr>
          <w:b/>
          <w:bCs/>
          <w:noProof/>
          <w:szCs w:val="24"/>
        </w:rPr>
        <w:t>29</w:t>
      </w:r>
      <w:r w:rsidRPr="002679A8">
        <w:rPr>
          <w:noProof/>
          <w:szCs w:val="24"/>
        </w:rPr>
        <w:t>, e23011 (2017).</w:t>
      </w:r>
    </w:p>
    <w:p w14:paraId="21FCB9F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21.</w:t>
      </w:r>
      <w:r w:rsidRPr="002679A8">
        <w:rPr>
          <w:noProof/>
          <w:szCs w:val="24"/>
        </w:rPr>
        <w:tab/>
        <w:t xml:space="preserve">Sanghavi, M. &amp; Rutherford, J. D. Cardiovascular physiology of pregnancy. </w:t>
      </w:r>
      <w:r w:rsidRPr="002679A8">
        <w:rPr>
          <w:i/>
          <w:iCs/>
          <w:noProof/>
          <w:szCs w:val="24"/>
        </w:rPr>
        <w:t>Circulation</w:t>
      </w:r>
      <w:r w:rsidRPr="002679A8">
        <w:rPr>
          <w:noProof/>
          <w:szCs w:val="24"/>
        </w:rPr>
        <w:t xml:space="preserve"> </w:t>
      </w:r>
      <w:r w:rsidRPr="002679A8">
        <w:rPr>
          <w:b/>
          <w:bCs/>
          <w:noProof/>
          <w:szCs w:val="24"/>
        </w:rPr>
        <w:t>130</w:t>
      </w:r>
      <w:r w:rsidRPr="002679A8">
        <w:rPr>
          <w:noProof/>
          <w:szCs w:val="24"/>
        </w:rPr>
        <w:t>, 1003–1008 (2014).</w:t>
      </w:r>
    </w:p>
    <w:p w14:paraId="7777F36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22.</w:t>
      </w:r>
      <w:r w:rsidRPr="002679A8">
        <w:rPr>
          <w:noProof/>
          <w:szCs w:val="24"/>
        </w:rPr>
        <w:tab/>
        <w:t xml:space="preserve">Cheung, K. L. &amp; Lafayette, R. A. Renal physiology of pregnancy. </w:t>
      </w:r>
      <w:r w:rsidRPr="002679A8">
        <w:rPr>
          <w:i/>
          <w:iCs/>
          <w:noProof/>
          <w:szCs w:val="24"/>
        </w:rPr>
        <w:t>Adv. Chronic Kidney Dis.</w:t>
      </w:r>
      <w:r w:rsidRPr="002679A8">
        <w:rPr>
          <w:noProof/>
          <w:szCs w:val="24"/>
        </w:rPr>
        <w:t xml:space="preserve"> </w:t>
      </w:r>
      <w:r w:rsidRPr="002679A8">
        <w:rPr>
          <w:b/>
          <w:bCs/>
          <w:noProof/>
          <w:szCs w:val="24"/>
        </w:rPr>
        <w:t>20</w:t>
      </w:r>
      <w:r w:rsidRPr="002679A8">
        <w:rPr>
          <w:noProof/>
          <w:szCs w:val="24"/>
        </w:rPr>
        <w:t>, 209–214 (2013).</w:t>
      </w:r>
    </w:p>
    <w:p w14:paraId="4FC298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23.</w:t>
      </w:r>
      <w:r w:rsidRPr="002679A8">
        <w:rPr>
          <w:noProof/>
          <w:szCs w:val="24"/>
        </w:rPr>
        <w:tab/>
        <w:t xml:space="preserve">Kovacs, C. S. &amp; Deal, C. </w:t>
      </w:r>
      <w:r w:rsidRPr="002679A8">
        <w:rPr>
          <w:i/>
          <w:iCs/>
          <w:noProof/>
          <w:szCs w:val="24"/>
        </w:rPr>
        <w:t>Maternal-Fetal and Neonatal Endocrinology: Physiology, Pathophysiology, and Clinical Management</w:t>
      </w:r>
      <w:r w:rsidRPr="002679A8">
        <w:rPr>
          <w:noProof/>
          <w:szCs w:val="24"/>
        </w:rPr>
        <w:t>. (Academic Press, 2019).</w:t>
      </w:r>
    </w:p>
    <w:p w14:paraId="77653D7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24.</w:t>
      </w:r>
      <w:r w:rsidRPr="002679A8">
        <w:rPr>
          <w:noProof/>
          <w:szCs w:val="24"/>
        </w:rPr>
        <w:tab/>
        <w:t xml:space="preserve">Harshman, L. G. &amp; Zera, A. J. The cost of reproduction: The devil in the details. </w:t>
      </w:r>
      <w:r w:rsidRPr="002679A8">
        <w:rPr>
          <w:i/>
          <w:iCs/>
          <w:noProof/>
          <w:szCs w:val="24"/>
        </w:rPr>
        <w:t>Trends Ecol. Evol.</w:t>
      </w:r>
      <w:r w:rsidRPr="002679A8">
        <w:rPr>
          <w:noProof/>
          <w:szCs w:val="24"/>
        </w:rPr>
        <w:t xml:space="preserve"> </w:t>
      </w:r>
      <w:r w:rsidRPr="002679A8">
        <w:rPr>
          <w:b/>
          <w:bCs/>
          <w:noProof/>
          <w:szCs w:val="24"/>
        </w:rPr>
        <w:t>22</w:t>
      </w:r>
      <w:r w:rsidRPr="002679A8">
        <w:rPr>
          <w:noProof/>
          <w:szCs w:val="24"/>
        </w:rPr>
        <w:t>, 80–86 (2006).</w:t>
      </w:r>
    </w:p>
    <w:p w14:paraId="01F3B8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25.</w:t>
      </w:r>
      <w:r w:rsidRPr="002679A8">
        <w:rPr>
          <w:noProof/>
          <w:szCs w:val="24"/>
        </w:rPr>
        <w:tab/>
        <w:t xml:space="preserve">Jasienska, G. Costs of reproduction and ageing in the human female. </w:t>
      </w:r>
      <w:r w:rsidRPr="002679A8">
        <w:rPr>
          <w:i/>
          <w:iCs/>
          <w:noProof/>
          <w:szCs w:val="24"/>
        </w:rPr>
        <w:t>Philos. Trans. R. Soc. B Biol. Sci.</w:t>
      </w:r>
      <w:r w:rsidRPr="002679A8">
        <w:rPr>
          <w:noProof/>
          <w:szCs w:val="24"/>
        </w:rPr>
        <w:t xml:space="preserve"> </w:t>
      </w:r>
      <w:r w:rsidRPr="002679A8">
        <w:rPr>
          <w:b/>
          <w:bCs/>
          <w:noProof/>
          <w:szCs w:val="24"/>
        </w:rPr>
        <w:t>375</w:t>
      </w:r>
      <w:r w:rsidRPr="002679A8">
        <w:rPr>
          <w:noProof/>
          <w:szCs w:val="24"/>
        </w:rPr>
        <w:t>, 20190615 (2020).</w:t>
      </w:r>
    </w:p>
    <w:p w14:paraId="7E06524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26.</w:t>
      </w:r>
      <w:r w:rsidRPr="002679A8">
        <w:rPr>
          <w:noProof/>
          <w:szCs w:val="24"/>
        </w:rPr>
        <w:tab/>
        <w:t xml:space="preserve">Beral, V. &amp; Beral, V. Long term effects of childbearing. </w:t>
      </w:r>
      <w:r w:rsidRPr="002679A8">
        <w:rPr>
          <w:i/>
          <w:iCs/>
          <w:noProof/>
          <w:szCs w:val="24"/>
        </w:rPr>
        <w:t>J. Epidemiol. Community Health</w:t>
      </w:r>
      <w:r w:rsidRPr="002679A8">
        <w:rPr>
          <w:noProof/>
          <w:szCs w:val="24"/>
        </w:rPr>
        <w:t xml:space="preserve"> </w:t>
      </w:r>
      <w:r w:rsidRPr="002679A8">
        <w:rPr>
          <w:b/>
          <w:bCs/>
          <w:noProof/>
          <w:szCs w:val="24"/>
        </w:rPr>
        <w:t>39</w:t>
      </w:r>
      <w:r w:rsidRPr="002679A8">
        <w:rPr>
          <w:noProof/>
          <w:szCs w:val="24"/>
        </w:rPr>
        <w:t>, 343–346 (1985).</w:t>
      </w:r>
    </w:p>
    <w:p w14:paraId="538FC05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27.</w:t>
      </w:r>
      <w:r w:rsidRPr="002679A8">
        <w:rPr>
          <w:noProof/>
          <w:szCs w:val="24"/>
        </w:rPr>
        <w:tab/>
        <w:t xml:space="preserve">Grundy, E. Women’s Fertility and Mortality in Late Mid Life: A Comparison of Three Contemporary Populations. </w:t>
      </w:r>
      <w:r w:rsidRPr="002679A8">
        <w:rPr>
          <w:i/>
          <w:iCs/>
          <w:noProof/>
          <w:szCs w:val="24"/>
        </w:rPr>
        <w:t>Am. J. Hum. Biol.</w:t>
      </w:r>
      <w:r w:rsidRPr="002679A8">
        <w:rPr>
          <w:noProof/>
          <w:szCs w:val="24"/>
        </w:rPr>
        <w:t xml:space="preserve"> </w:t>
      </w:r>
      <w:r w:rsidRPr="002679A8">
        <w:rPr>
          <w:b/>
          <w:bCs/>
          <w:noProof/>
          <w:szCs w:val="24"/>
        </w:rPr>
        <w:t>547</w:t>
      </w:r>
      <w:r w:rsidRPr="002679A8">
        <w:rPr>
          <w:noProof/>
          <w:szCs w:val="24"/>
        </w:rPr>
        <w:t>, 541–547 (2009).</w:t>
      </w:r>
    </w:p>
    <w:p w14:paraId="4CD2CA4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28.</w:t>
      </w:r>
      <w:r w:rsidRPr="002679A8">
        <w:rPr>
          <w:noProof/>
          <w:szCs w:val="24"/>
        </w:rPr>
        <w:tab/>
        <w:t xml:space="preserve">Lund, E. Number of children and death from hormone-dependent cancers. </w:t>
      </w:r>
      <w:r w:rsidRPr="002679A8">
        <w:rPr>
          <w:i/>
          <w:iCs/>
          <w:noProof/>
          <w:szCs w:val="24"/>
        </w:rPr>
        <w:t>Int. J. Cancer</w:t>
      </w:r>
      <w:r w:rsidRPr="002679A8">
        <w:rPr>
          <w:noProof/>
          <w:szCs w:val="24"/>
        </w:rPr>
        <w:t xml:space="preserve"> </w:t>
      </w:r>
      <w:r w:rsidRPr="002679A8">
        <w:rPr>
          <w:b/>
          <w:bCs/>
          <w:noProof/>
          <w:szCs w:val="24"/>
        </w:rPr>
        <w:t>46</w:t>
      </w:r>
      <w:r w:rsidRPr="002679A8">
        <w:rPr>
          <w:noProof/>
          <w:szCs w:val="24"/>
        </w:rPr>
        <w:t xml:space="preserve">, </w:t>
      </w:r>
      <w:r w:rsidRPr="002679A8">
        <w:rPr>
          <w:noProof/>
          <w:szCs w:val="24"/>
        </w:rPr>
        <w:lastRenderedPageBreak/>
        <w:t>998–1000 (1990).</w:t>
      </w:r>
    </w:p>
    <w:p w14:paraId="4DA61B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29.</w:t>
      </w:r>
      <w:r w:rsidRPr="002679A8">
        <w:rPr>
          <w:noProof/>
          <w:szCs w:val="24"/>
        </w:rPr>
        <w:tab/>
        <w:t xml:space="preserve">Hurt, L. S. </w:t>
      </w:r>
      <w:r w:rsidRPr="002679A8">
        <w:rPr>
          <w:i/>
          <w:iCs/>
          <w:noProof/>
          <w:szCs w:val="24"/>
        </w:rPr>
        <w:t>et al.</w:t>
      </w:r>
      <w:r w:rsidRPr="002679A8">
        <w:rPr>
          <w:noProof/>
          <w:szCs w:val="24"/>
        </w:rPr>
        <w:t xml:space="preserve"> The effect of number of births on women’s mortality: Systematic review of the evidence for women who have completed their childbearing. </w:t>
      </w:r>
      <w:r w:rsidRPr="002679A8">
        <w:rPr>
          <w:i/>
          <w:iCs/>
          <w:noProof/>
          <w:szCs w:val="24"/>
        </w:rPr>
        <w:t>Popul. Stud. (NY).</w:t>
      </w:r>
      <w:r w:rsidRPr="002679A8">
        <w:rPr>
          <w:noProof/>
          <w:szCs w:val="24"/>
        </w:rPr>
        <w:t xml:space="preserve"> </w:t>
      </w:r>
      <w:r w:rsidRPr="002679A8">
        <w:rPr>
          <w:b/>
          <w:bCs/>
          <w:noProof/>
          <w:szCs w:val="24"/>
        </w:rPr>
        <w:t>60</w:t>
      </w:r>
      <w:r w:rsidRPr="002679A8">
        <w:rPr>
          <w:noProof/>
          <w:szCs w:val="24"/>
        </w:rPr>
        <w:t>, 55–71 (2006).</w:t>
      </w:r>
    </w:p>
    <w:p w14:paraId="786A4EB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30.</w:t>
      </w:r>
      <w:r w:rsidRPr="002679A8">
        <w:rPr>
          <w:noProof/>
          <w:szCs w:val="24"/>
        </w:rPr>
        <w:tab/>
        <w:t xml:space="preserve">Simons, L. A., Simons, J., Friedlander, Y. &amp; McCallum, J. Childbearing history and late-life mortality: The Dubbo study of Australian elderly. </w:t>
      </w:r>
      <w:r w:rsidRPr="002679A8">
        <w:rPr>
          <w:i/>
          <w:iCs/>
          <w:noProof/>
          <w:szCs w:val="24"/>
        </w:rPr>
        <w:t>Age Ageing</w:t>
      </w:r>
      <w:r w:rsidRPr="002679A8">
        <w:rPr>
          <w:noProof/>
          <w:szCs w:val="24"/>
        </w:rPr>
        <w:t xml:space="preserve"> </w:t>
      </w:r>
      <w:r w:rsidRPr="002679A8">
        <w:rPr>
          <w:b/>
          <w:bCs/>
          <w:noProof/>
          <w:szCs w:val="24"/>
        </w:rPr>
        <w:t>41</w:t>
      </w:r>
      <w:r w:rsidRPr="002679A8">
        <w:rPr>
          <w:noProof/>
          <w:szCs w:val="24"/>
        </w:rPr>
        <w:t>, 523–528 (2012).</w:t>
      </w:r>
    </w:p>
    <w:p w14:paraId="215BC5D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31.</w:t>
      </w:r>
      <w:r w:rsidRPr="002679A8">
        <w:rPr>
          <w:noProof/>
          <w:szCs w:val="24"/>
        </w:rPr>
        <w:tab/>
        <w:t xml:space="preserve">Lawlor, D. A. </w:t>
      </w:r>
      <w:r w:rsidRPr="002679A8">
        <w:rPr>
          <w:i/>
          <w:iCs/>
          <w:noProof/>
          <w:szCs w:val="24"/>
        </w:rPr>
        <w:t>et al.</w:t>
      </w:r>
      <w:r w:rsidRPr="002679A8">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2679A8">
        <w:rPr>
          <w:i/>
          <w:iCs/>
          <w:noProof/>
          <w:szCs w:val="24"/>
        </w:rPr>
        <w:t>Circulation</w:t>
      </w:r>
      <w:r w:rsidRPr="002679A8">
        <w:rPr>
          <w:noProof/>
          <w:szCs w:val="24"/>
        </w:rPr>
        <w:t xml:space="preserve"> </w:t>
      </w:r>
      <w:r w:rsidRPr="002679A8">
        <w:rPr>
          <w:b/>
          <w:bCs/>
          <w:noProof/>
          <w:szCs w:val="24"/>
        </w:rPr>
        <w:t>107</w:t>
      </w:r>
      <w:r w:rsidRPr="002679A8">
        <w:rPr>
          <w:noProof/>
          <w:szCs w:val="24"/>
        </w:rPr>
        <w:t>, 1260–1264 (2003).</w:t>
      </w:r>
    </w:p>
    <w:p w14:paraId="58C2660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32.</w:t>
      </w:r>
      <w:r w:rsidRPr="002679A8">
        <w:rPr>
          <w:noProof/>
          <w:szCs w:val="24"/>
        </w:rPr>
        <w:tab/>
        <w:t xml:space="preserve">Zeng, Y. </w:t>
      </w:r>
      <w:r w:rsidRPr="002679A8">
        <w:rPr>
          <w:i/>
          <w:iCs/>
          <w:noProof/>
          <w:szCs w:val="24"/>
        </w:rPr>
        <w:t>et al.</w:t>
      </w:r>
      <w:r w:rsidRPr="002679A8">
        <w:rPr>
          <w:noProof/>
          <w:szCs w:val="24"/>
        </w:rPr>
        <w:t xml:space="preserve"> Parity and All-cause Mortality in Women and Men: A Dose-Response Meta-Analysis of Cohort Studies. </w:t>
      </w:r>
      <w:r w:rsidRPr="002679A8">
        <w:rPr>
          <w:i/>
          <w:iCs/>
          <w:noProof/>
          <w:szCs w:val="24"/>
        </w:rPr>
        <w:t>Sci. Rep.</w:t>
      </w:r>
      <w:r w:rsidRPr="002679A8">
        <w:rPr>
          <w:noProof/>
          <w:szCs w:val="24"/>
        </w:rPr>
        <w:t xml:space="preserve"> </w:t>
      </w:r>
      <w:r w:rsidRPr="002679A8">
        <w:rPr>
          <w:b/>
          <w:bCs/>
          <w:noProof/>
          <w:szCs w:val="24"/>
        </w:rPr>
        <w:t>6:19351</w:t>
      </w:r>
      <w:r w:rsidRPr="002679A8">
        <w:rPr>
          <w:noProof/>
          <w:szCs w:val="24"/>
        </w:rPr>
        <w:t>, 1–11 (2016).</w:t>
      </w:r>
    </w:p>
    <w:p w14:paraId="34D21ED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33.</w:t>
      </w:r>
      <w:r w:rsidRPr="002679A8">
        <w:rPr>
          <w:noProof/>
          <w:szCs w:val="24"/>
        </w:rPr>
        <w:tab/>
        <w:t xml:space="preserve">Dior, U. P. </w:t>
      </w:r>
      <w:r w:rsidRPr="002679A8">
        <w:rPr>
          <w:i/>
          <w:iCs/>
          <w:noProof/>
          <w:szCs w:val="24"/>
        </w:rPr>
        <w:t>et al.</w:t>
      </w:r>
      <w:r w:rsidRPr="002679A8">
        <w:rPr>
          <w:noProof/>
          <w:szCs w:val="24"/>
        </w:rPr>
        <w:t xml:space="preserve"> Association between number of children and mortality of mothers: Results of a 37-year follow-up study. </w:t>
      </w:r>
      <w:r w:rsidRPr="002679A8">
        <w:rPr>
          <w:i/>
          <w:iCs/>
          <w:noProof/>
          <w:szCs w:val="24"/>
        </w:rPr>
        <w:t>Ann. Epidemiol.</w:t>
      </w:r>
      <w:r w:rsidRPr="002679A8">
        <w:rPr>
          <w:noProof/>
          <w:szCs w:val="24"/>
        </w:rPr>
        <w:t xml:space="preserve"> </w:t>
      </w:r>
      <w:r w:rsidRPr="002679A8">
        <w:rPr>
          <w:b/>
          <w:bCs/>
          <w:noProof/>
          <w:szCs w:val="24"/>
        </w:rPr>
        <w:t>23</w:t>
      </w:r>
      <w:r w:rsidRPr="002679A8">
        <w:rPr>
          <w:noProof/>
          <w:szCs w:val="24"/>
        </w:rPr>
        <w:t>, 13–18 (2013).</w:t>
      </w:r>
    </w:p>
    <w:p w14:paraId="7BF5422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34.</w:t>
      </w:r>
      <w:r w:rsidRPr="002679A8">
        <w:rPr>
          <w:noProof/>
          <w:szCs w:val="24"/>
        </w:rPr>
        <w:tab/>
        <w:t xml:space="preserve">Lv, H., Wu, H., Yin, J., Qian, J. &amp; Ge, J. Parity and Cardiovascular Disease Mortality: a Dose-Response Meta- Analysis of Cohort Studies. </w:t>
      </w:r>
      <w:r w:rsidRPr="002679A8">
        <w:rPr>
          <w:i/>
          <w:iCs/>
          <w:noProof/>
          <w:szCs w:val="24"/>
        </w:rPr>
        <w:t>Sci. Rep.</w:t>
      </w:r>
      <w:r w:rsidRPr="002679A8">
        <w:rPr>
          <w:noProof/>
          <w:szCs w:val="24"/>
        </w:rPr>
        <w:t xml:space="preserve"> </w:t>
      </w:r>
      <w:r w:rsidRPr="002679A8">
        <w:rPr>
          <w:b/>
          <w:bCs/>
          <w:noProof/>
          <w:szCs w:val="24"/>
        </w:rPr>
        <w:t>5:13411</w:t>
      </w:r>
      <w:r w:rsidRPr="002679A8">
        <w:rPr>
          <w:noProof/>
          <w:szCs w:val="24"/>
        </w:rPr>
        <w:t>, 1–9 (2015).</w:t>
      </w:r>
    </w:p>
    <w:p w14:paraId="0AF84A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35.</w:t>
      </w:r>
      <w:r w:rsidRPr="002679A8">
        <w:rPr>
          <w:noProof/>
          <w:szCs w:val="24"/>
        </w:rPr>
        <w:tab/>
        <w:t xml:space="preserve">Guan, H., Wu, Q. &amp; Gong, T. Parity and Kidney Cancer Risk: Evidence from Epidemiologic Studies. </w:t>
      </w:r>
      <w:r w:rsidRPr="002679A8">
        <w:rPr>
          <w:i/>
          <w:iCs/>
          <w:noProof/>
          <w:szCs w:val="24"/>
        </w:rPr>
        <w:t>Cancer Epidemiol. Biomarkers Prev.</w:t>
      </w:r>
      <w:r w:rsidRPr="002679A8">
        <w:rPr>
          <w:noProof/>
          <w:szCs w:val="24"/>
        </w:rPr>
        <w:t xml:space="preserve"> </w:t>
      </w:r>
      <w:r w:rsidRPr="002679A8">
        <w:rPr>
          <w:b/>
          <w:bCs/>
          <w:noProof/>
          <w:szCs w:val="24"/>
        </w:rPr>
        <w:t>22</w:t>
      </w:r>
      <w:r w:rsidRPr="002679A8">
        <w:rPr>
          <w:noProof/>
          <w:szCs w:val="24"/>
        </w:rPr>
        <w:t>, 2345–2354 (2013).</w:t>
      </w:r>
    </w:p>
    <w:p w14:paraId="7248692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36.</w:t>
      </w:r>
      <w:r w:rsidRPr="002679A8">
        <w:rPr>
          <w:noProof/>
          <w:szCs w:val="24"/>
        </w:rPr>
        <w:tab/>
        <w:t xml:space="preserve">Ziomkiewicz, A., Sancilio, A., Galbarczyk, A. &amp; Klimek, M. Evidence for the cost of reproduction in humans: High lifetime reproductive effort is associated with greater oxidative stress in post-menopausal women. </w:t>
      </w:r>
      <w:r w:rsidRPr="002679A8">
        <w:rPr>
          <w:i/>
          <w:iCs/>
          <w:noProof/>
          <w:szCs w:val="24"/>
        </w:rPr>
        <w:t>PLoS One</w:t>
      </w:r>
      <w:r w:rsidRPr="002679A8">
        <w:rPr>
          <w:noProof/>
          <w:szCs w:val="24"/>
        </w:rPr>
        <w:t xml:space="preserve"> </w:t>
      </w:r>
      <w:r w:rsidRPr="002679A8">
        <w:rPr>
          <w:b/>
          <w:bCs/>
          <w:noProof/>
          <w:szCs w:val="24"/>
        </w:rPr>
        <w:t>11</w:t>
      </w:r>
      <w:r w:rsidRPr="002679A8">
        <w:rPr>
          <w:noProof/>
          <w:szCs w:val="24"/>
        </w:rPr>
        <w:t>, 1–14 (2016).</w:t>
      </w:r>
    </w:p>
    <w:p w14:paraId="5EF6176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37.</w:t>
      </w:r>
      <w:r w:rsidRPr="002679A8">
        <w:rPr>
          <w:noProof/>
          <w:szCs w:val="24"/>
        </w:rPr>
        <w:tab/>
        <w:t xml:space="preserve">Kresovich, J. K. </w:t>
      </w:r>
      <w:r w:rsidRPr="002679A8">
        <w:rPr>
          <w:i/>
          <w:iCs/>
          <w:noProof/>
          <w:szCs w:val="24"/>
        </w:rPr>
        <w:t>et al.</w:t>
      </w:r>
      <w:r w:rsidRPr="002679A8">
        <w:rPr>
          <w:noProof/>
          <w:szCs w:val="24"/>
        </w:rPr>
        <w:t xml:space="preserve"> Reproduction, DNA methylation and biological age. </w:t>
      </w:r>
      <w:r w:rsidRPr="002679A8">
        <w:rPr>
          <w:i/>
          <w:iCs/>
          <w:noProof/>
          <w:szCs w:val="24"/>
        </w:rPr>
        <w:t>Hum. Reprod.</w:t>
      </w:r>
      <w:r w:rsidRPr="002679A8">
        <w:rPr>
          <w:noProof/>
          <w:szCs w:val="24"/>
        </w:rPr>
        <w:t xml:space="preserve"> </w:t>
      </w:r>
      <w:r w:rsidRPr="002679A8">
        <w:rPr>
          <w:b/>
          <w:bCs/>
          <w:noProof/>
          <w:szCs w:val="24"/>
        </w:rPr>
        <w:t>34</w:t>
      </w:r>
      <w:r w:rsidRPr="002679A8">
        <w:rPr>
          <w:noProof/>
          <w:szCs w:val="24"/>
        </w:rPr>
        <w:t>, 1965–1973 (2019).</w:t>
      </w:r>
    </w:p>
    <w:p w14:paraId="21ED243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38.</w:t>
      </w:r>
      <w:r w:rsidRPr="002679A8">
        <w:rPr>
          <w:noProof/>
          <w:szCs w:val="24"/>
        </w:rPr>
        <w:tab/>
        <w:t xml:space="preserve">Harley, C. B., Vaziri, H., Counter, C. M. &amp; Allsopp, R. C. The telomere hypothesis of cellular aging. </w:t>
      </w:r>
      <w:r w:rsidRPr="002679A8">
        <w:rPr>
          <w:i/>
          <w:iCs/>
          <w:noProof/>
          <w:szCs w:val="24"/>
        </w:rPr>
        <w:t>Exp Gerontol</w:t>
      </w:r>
      <w:r w:rsidRPr="002679A8">
        <w:rPr>
          <w:noProof/>
          <w:szCs w:val="24"/>
        </w:rPr>
        <w:t xml:space="preserve"> </w:t>
      </w:r>
      <w:r w:rsidRPr="002679A8">
        <w:rPr>
          <w:b/>
          <w:bCs/>
          <w:noProof/>
          <w:szCs w:val="24"/>
        </w:rPr>
        <w:t>27</w:t>
      </w:r>
      <w:r w:rsidRPr="002679A8">
        <w:rPr>
          <w:noProof/>
          <w:szCs w:val="24"/>
        </w:rPr>
        <w:t>, 375–382 (1992).</w:t>
      </w:r>
    </w:p>
    <w:p w14:paraId="2193ECC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39.</w:t>
      </w:r>
      <w:r w:rsidRPr="002679A8">
        <w:rPr>
          <w:noProof/>
          <w:szCs w:val="24"/>
        </w:rPr>
        <w:tab/>
        <w:t xml:space="preserve">Cohen, A. A. </w:t>
      </w:r>
      <w:r w:rsidRPr="002679A8">
        <w:rPr>
          <w:i/>
          <w:iCs/>
          <w:noProof/>
          <w:szCs w:val="24"/>
        </w:rPr>
        <w:t>et al.</w:t>
      </w:r>
      <w:r w:rsidRPr="002679A8">
        <w:rPr>
          <w:noProof/>
          <w:szCs w:val="24"/>
        </w:rPr>
        <w:t xml:space="preserve"> A novel statistical approach shows evidence for multi-system physiological </w:t>
      </w:r>
      <w:r w:rsidRPr="002679A8">
        <w:rPr>
          <w:noProof/>
          <w:szCs w:val="24"/>
        </w:rPr>
        <w:lastRenderedPageBreak/>
        <w:t xml:space="preserve">dysregulation during aging. </w:t>
      </w:r>
      <w:r w:rsidRPr="002679A8">
        <w:rPr>
          <w:i/>
          <w:iCs/>
          <w:noProof/>
          <w:szCs w:val="24"/>
        </w:rPr>
        <w:t>Mech. Ageing Dev.</w:t>
      </w:r>
      <w:r w:rsidRPr="002679A8">
        <w:rPr>
          <w:noProof/>
          <w:szCs w:val="24"/>
        </w:rPr>
        <w:t xml:space="preserve"> </w:t>
      </w:r>
      <w:r w:rsidRPr="002679A8">
        <w:rPr>
          <w:b/>
          <w:bCs/>
          <w:noProof/>
          <w:szCs w:val="24"/>
        </w:rPr>
        <w:t>134</w:t>
      </w:r>
      <w:r w:rsidRPr="002679A8">
        <w:rPr>
          <w:noProof/>
          <w:szCs w:val="24"/>
        </w:rPr>
        <w:t>, 110–117 (2013).</w:t>
      </w:r>
    </w:p>
    <w:p w14:paraId="42EEBBF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40.</w:t>
      </w:r>
      <w:r w:rsidRPr="002679A8">
        <w:rPr>
          <w:noProof/>
          <w:szCs w:val="24"/>
        </w:rPr>
        <w:tab/>
        <w:t xml:space="preserve">Levine, M. E. Modeling the Rate of Senescence: Can Estimated Biological Age Predict Mortality More Accurately Than Chronological Age? </w:t>
      </w:r>
      <w:r w:rsidRPr="002679A8">
        <w:rPr>
          <w:i/>
          <w:iCs/>
          <w:noProof/>
          <w:szCs w:val="24"/>
        </w:rPr>
        <w:t>Journals Gerontol. Ser. a-Biological Sci. Med. Sci.</w:t>
      </w:r>
      <w:r w:rsidRPr="002679A8">
        <w:rPr>
          <w:noProof/>
          <w:szCs w:val="24"/>
        </w:rPr>
        <w:t xml:space="preserve"> </w:t>
      </w:r>
      <w:r w:rsidRPr="002679A8">
        <w:rPr>
          <w:b/>
          <w:bCs/>
          <w:noProof/>
          <w:szCs w:val="24"/>
        </w:rPr>
        <w:t>68</w:t>
      </w:r>
      <w:r w:rsidRPr="002679A8">
        <w:rPr>
          <w:noProof/>
          <w:szCs w:val="24"/>
        </w:rPr>
        <w:t>, 667–674 (2013).</w:t>
      </w:r>
    </w:p>
    <w:p w14:paraId="5BAD1B3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41.</w:t>
      </w:r>
      <w:r w:rsidRPr="002679A8">
        <w:rPr>
          <w:noProof/>
          <w:szCs w:val="24"/>
        </w:rPr>
        <w:tab/>
        <w:t xml:space="preserve">Liu, Z. </w:t>
      </w:r>
      <w:r w:rsidRPr="002679A8">
        <w:rPr>
          <w:i/>
          <w:iCs/>
          <w:noProof/>
          <w:szCs w:val="24"/>
        </w:rPr>
        <w:t>et al.</w:t>
      </w:r>
      <w:r w:rsidRPr="002679A8">
        <w:rPr>
          <w:noProof/>
          <w:szCs w:val="24"/>
        </w:rPr>
        <w:t xml:space="preserve"> A new aging measure captures morbidity and mortality risk across diverse subpopulations from NHANES IV: A cohort study. </w:t>
      </w:r>
      <w:r w:rsidRPr="002679A8">
        <w:rPr>
          <w:i/>
          <w:iCs/>
          <w:noProof/>
          <w:szCs w:val="24"/>
        </w:rPr>
        <w:t>PLoS Med</w:t>
      </w:r>
      <w:r w:rsidRPr="002679A8">
        <w:rPr>
          <w:noProof/>
          <w:szCs w:val="24"/>
        </w:rPr>
        <w:t xml:space="preserve"> </w:t>
      </w:r>
      <w:r w:rsidRPr="002679A8">
        <w:rPr>
          <w:b/>
          <w:bCs/>
          <w:noProof/>
          <w:szCs w:val="24"/>
        </w:rPr>
        <w:t>15</w:t>
      </w:r>
      <w:r w:rsidRPr="002679A8">
        <w:rPr>
          <w:noProof/>
          <w:szCs w:val="24"/>
        </w:rPr>
        <w:t>, e1002718 (2018).</w:t>
      </w:r>
    </w:p>
    <w:p w14:paraId="1AF9E0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42.</w:t>
      </w:r>
      <w:r w:rsidRPr="002679A8">
        <w:rPr>
          <w:noProof/>
          <w:szCs w:val="24"/>
        </w:rPr>
        <w:tab/>
        <w:t xml:space="preserve">Klemera, P. &amp; Doubal, S. A new approach to the concept and computation of biological age. </w:t>
      </w:r>
      <w:r w:rsidRPr="002679A8">
        <w:rPr>
          <w:i/>
          <w:iCs/>
          <w:noProof/>
          <w:szCs w:val="24"/>
        </w:rPr>
        <w:t>Mech. Ageing Dev.</w:t>
      </w:r>
      <w:r w:rsidRPr="002679A8">
        <w:rPr>
          <w:noProof/>
          <w:szCs w:val="24"/>
        </w:rPr>
        <w:t xml:space="preserve"> </w:t>
      </w:r>
      <w:r w:rsidRPr="002679A8">
        <w:rPr>
          <w:b/>
          <w:bCs/>
          <w:noProof/>
          <w:szCs w:val="24"/>
        </w:rPr>
        <w:t>127</w:t>
      </w:r>
      <w:r w:rsidRPr="002679A8">
        <w:rPr>
          <w:noProof/>
          <w:szCs w:val="24"/>
        </w:rPr>
        <w:t>, 240–248 (2006).</w:t>
      </w:r>
    </w:p>
    <w:p w14:paraId="7F32E24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43.</w:t>
      </w:r>
      <w:r w:rsidRPr="002679A8">
        <w:rPr>
          <w:noProof/>
          <w:szCs w:val="24"/>
        </w:rPr>
        <w:tab/>
        <w:t xml:space="preserve">McEwen, B. S. Stress, adaptation and disease: Allostatis and allostatic load. </w:t>
      </w:r>
      <w:r w:rsidRPr="002679A8">
        <w:rPr>
          <w:i/>
          <w:iCs/>
          <w:noProof/>
          <w:szCs w:val="24"/>
        </w:rPr>
        <w:t>Ann. N. Y. Acad. Sci.</w:t>
      </w:r>
      <w:r w:rsidRPr="002679A8">
        <w:rPr>
          <w:noProof/>
          <w:szCs w:val="24"/>
        </w:rPr>
        <w:t xml:space="preserve"> </w:t>
      </w:r>
      <w:r w:rsidRPr="002679A8">
        <w:rPr>
          <w:b/>
          <w:bCs/>
          <w:noProof/>
          <w:szCs w:val="24"/>
        </w:rPr>
        <w:t>840</w:t>
      </w:r>
      <w:r w:rsidRPr="002679A8">
        <w:rPr>
          <w:noProof/>
          <w:szCs w:val="24"/>
        </w:rPr>
        <w:t>, 33–44 (1998).</w:t>
      </w:r>
    </w:p>
    <w:p w14:paraId="5E20BA8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44.</w:t>
      </w:r>
      <w:r w:rsidRPr="002679A8">
        <w:rPr>
          <w:noProof/>
          <w:szCs w:val="24"/>
        </w:rPr>
        <w:tab/>
        <w:t xml:space="preserve">Santos-Lozada, A. R. &amp; Howard, J. T. Using allostatic load to validate self-rated health for racial/ethnic groups in the United States. </w:t>
      </w:r>
      <w:r w:rsidRPr="002679A8">
        <w:rPr>
          <w:i/>
          <w:iCs/>
          <w:noProof/>
          <w:szCs w:val="24"/>
        </w:rPr>
        <w:t>Biodemography Soc. Biol.</w:t>
      </w:r>
      <w:r w:rsidRPr="002679A8">
        <w:rPr>
          <w:noProof/>
          <w:szCs w:val="24"/>
        </w:rPr>
        <w:t xml:space="preserve"> </w:t>
      </w:r>
      <w:r w:rsidRPr="002679A8">
        <w:rPr>
          <w:b/>
          <w:bCs/>
          <w:noProof/>
          <w:szCs w:val="24"/>
        </w:rPr>
        <w:t>64</w:t>
      </w:r>
      <w:r w:rsidRPr="002679A8">
        <w:rPr>
          <w:noProof/>
          <w:szCs w:val="24"/>
        </w:rPr>
        <w:t>, 1–14 (2018).</w:t>
      </w:r>
    </w:p>
    <w:p w14:paraId="289FBD8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45.</w:t>
      </w:r>
      <w:r w:rsidRPr="002679A8">
        <w:rPr>
          <w:noProof/>
          <w:szCs w:val="24"/>
        </w:rPr>
        <w:tab/>
        <w:t xml:space="preserve">Atwood, C. S. &amp; Bowen, R. L. The reproductive-cell cycle theory of aging: An update. </w:t>
      </w:r>
      <w:r w:rsidRPr="002679A8">
        <w:rPr>
          <w:i/>
          <w:iCs/>
          <w:noProof/>
          <w:szCs w:val="24"/>
        </w:rPr>
        <w:t>Exp. Gerontol.</w:t>
      </w:r>
      <w:r w:rsidRPr="002679A8">
        <w:rPr>
          <w:noProof/>
          <w:szCs w:val="24"/>
        </w:rPr>
        <w:t xml:space="preserve"> </w:t>
      </w:r>
      <w:r w:rsidRPr="002679A8">
        <w:rPr>
          <w:b/>
          <w:bCs/>
          <w:noProof/>
          <w:szCs w:val="24"/>
        </w:rPr>
        <w:t>46</w:t>
      </w:r>
      <w:r w:rsidRPr="002679A8">
        <w:rPr>
          <w:noProof/>
          <w:szCs w:val="24"/>
        </w:rPr>
        <w:t>, 100–107 (2011).</w:t>
      </w:r>
    </w:p>
    <w:p w14:paraId="1337D07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46.</w:t>
      </w:r>
      <w:r w:rsidRPr="002679A8">
        <w:rPr>
          <w:noProof/>
          <w:szCs w:val="24"/>
        </w:rPr>
        <w:tab/>
        <w:t xml:space="preserve">Belsky, D. W. </w:t>
      </w:r>
      <w:r w:rsidRPr="002679A8">
        <w:rPr>
          <w:i/>
          <w:iCs/>
          <w:noProof/>
          <w:szCs w:val="24"/>
        </w:rPr>
        <w:t>et al.</w:t>
      </w:r>
      <w:r w:rsidRPr="002679A8">
        <w:rPr>
          <w:noProof/>
          <w:szCs w:val="24"/>
        </w:rPr>
        <w:t xml:space="preserve"> Eleven Telomere, Epigenetic Clock, and Biomarker-Composite Quantifications of Biological Aging: Do They Measure the Same Thing? </w:t>
      </w:r>
      <w:r w:rsidRPr="002679A8">
        <w:rPr>
          <w:i/>
          <w:iCs/>
          <w:noProof/>
          <w:szCs w:val="24"/>
        </w:rPr>
        <w:t>Am J Epidemiol</w:t>
      </w:r>
      <w:r w:rsidRPr="002679A8">
        <w:rPr>
          <w:noProof/>
          <w:szCs w:val="24"/>
        </w:rPr>
        <w:t xml:space="preserve"> </w:t>
      </w:r>
      <w:r w:rsidRPr="002679A8">
        <w:rPr>
          <w:b/>
          <w:bCs/>
          <w:noProof/>
          <w:szCs w:val="24"/>
        </w:rPr>
        <w:t>187</w:t>
      </w:r>
      <w:r w:rsidRPr="002679A8">
        <w:rPr>
          <w:noProof/>
          <w:szCs w:val="24"/>
        </w:rPr>
        <w:t>, 1220–1230 (2017).</w:t>
      </w:r>
    </w:p>
    <w:p w14:paraId="5F465EC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47.</w:t>
      </w:r>
      <w:r w:rsidRPr="002679A8">
        <w:rPr>
          <w:noProof/>
          <w:szCs w:val="24"/>
        </w:rPr>
        <w:tab/>
        <w:t xml:space="preserve">McCrory, C. </w:t>
      </w:r>
      <w:r w:rsidRPr="002679A8">
        <w:rPr>
          <w:i/>
          <w:iCs/>
          <w:noProof/>
          <w:szCs w:val="24"/>
        </w:rPr>
        <w:t>et al.</w:t>
      </w:r>
      <w:r w:rsidRPr="002679A8">
        <w:rPr>
          <w:noProof/>
          <w:szCs w:val="24"/>
        </w:rPr>
        <w:t xml:space="preserve"> Association of 4 epigenetic clocks with measures of functional health, cognition, and all-cause mortality in The Irish Longitudinal Study on Ageing (TILDA). </w:t>
      </w:r>
      <w:r w:rsidRPr="002679A8">
        <w:rPr>
          <w:i/>
          <w:iCs/>
          <w:noProof/>
          <w:szCs w:val="24"/>
        </w:rPr>
        <w:t>bioRxiv</w:t>
      </w:r>
      <w:r w:rsidRPr="002679A8">
        <w:rPr>
          <w:noProof/>
          <w:szCs w:val="24"/>
        </w:rPr>
        <w:t xml:space="preserve"> 2020.04.27.063164 (2020). doi:10.1101/2020.04.27.063164</w:t>
      </w:r>
    </w:p>
    <w:p w14:paraId="29AF76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48.</w:t>
      </w:r>
      <w:r w:rsidRPr="002679A8">
        <w:rPr>
          <w:noProof/>
          <w:szCs w:val="24"/>
        </w:rPr>
        <w:tab/>
        <w:t xml:space="preserve">Ahrens, K. A., Rossen, L. M. &amp; Simon, A. E. Relationship Between Mean Leucocyte Telomere Length and Measures of Allostatic Load in US Reproductive-Aged Women, NHANES 1999–2002. </w:t>
      </w:r>
      <w:r w:rsidRPr="002679A8">
        <w:rPr>
          <w:i/>
          <w:iCs/>
          <w:noProof/>
          <w:szCs w:val="24"/>
        </w:rPr>
        <w:t>Paediatr. Perinat. Epidemiol.</w:t>
      </w:r>
      <w:r w:rsidRPr="002679A8">
        <w:rPr>
          <w:noProof/>
          <w:szCs w:val="24"/>
        </w:rPr>
        <w:t xml:space="preserve"> </w:t>
      </w:r>
      <w:r w:rsidRPr="002679A8">
        <w:rPr>
          <w:b/>
          <w:bCs/>
          <w:noProof/>
          <w:szCs w:val="24"/>
        </w:rPr>
        <w:t>30</w:t>
      </w:r>
      <w:r w:rsidRPr="002679A8">
        <w:rPr>
          <w:noProof/>
          <w:szCs w:val="24"/>
        </w:rPr>
        <w:t>, 325–335 (2016).</w:t>
      </w:r>
    </w:p>
    <w:p w14:paraId="4B65B82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49.</w:t>
      </w:r>
      <w:r w:rsidRPr="002679A8">
        <w:rPr>
          <w:noProof/>
          <w:szCs w:val="24"/>
        </w:rPr>
        <w:tab/>
        <w:t>Centers for Disease Control and Prevention, N. C. for H. S. (NCHS). National Health and Nutrition Examination Survey Data. (2018).</w:t>
      </w:r>
    </w:p>
    <w:p w14:paraId="1856919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50.</w:t>
      </w:r>
      <w:r w:rsidRPr="002679A8">
        <w:rPr>
          <w:noProof/>
          <w:szCs w:val="24"/>
        </w:rPr>
        <w:tab/>
        <w:t xml:space="preserve">Wilcox, A. J. </w:t>
      </w:r>
      <w:r w:rsidRPr="002679A8">
        <w:rPr>
          <w:i/>
          <w:iCs/>
          <w:noProof/>
          <w:szCs w:val="24"/>
        </w:rPr>
        <w:t>et al.</w:t>
      </w:r>
      <w:r w:rsidRPr="002679A8">
        <w:rPr>
          <w:noProof/>
          <w:szCs w:val="24"/>
        </w:rPr>
        <w:t xml:space="preserve"> Incidence of Early Loss of Pregnancy. </w:t>
      </w:r>
      <w:r w:rsidRPr="002679A8">
        <w:rPr>
          <w:i/>
          <w:iCs/>
          <w:noProof/>
          <w:szCs w:val="24"/>
        </w:rPr>
        <w:t>N. Engl. J. Med.</w:t>
      </w:r>
      <w:r w:rsidRPr="002679A8">
        <w:rPr>
          <w:noProof/>
          <w:szCs w:val="24"/>
        </w:rPr>
        <w:t xml:space="preserve"> </w:t>
      </w:r>
      <w:r w:rsidRPr="002679A8">
        <w:rPr>
          <w:b/>
          <w:bCs/>
          <w:noProof/>
          <w:szCs w:val="24"/>
        </w:rPr>
        <w:t>319</w:t>
      </w:r>
      <w:r w:rsidRPr="002679A8">
        <w:rPr>
          <w:noProof/>
          <w:szCs w:val="24"/>
        </w:rPr>
        <w:t>, 189–194 (1988).</w:t>
      </w:r>
    </w:p>
    <w:p w14:paraId="4C1B93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51.</w:t>
      </w:r>
      <w:r w:rsidRPr="002679A8">
        <w:rPr>
          <w:noProof/>
          <w:szCs w:val="24"/>
        </w:rPr>
        <w:tab/>
        <w:t xml:space="preserve">Lobo, R. A. </w:t>
      </w:r>
      <w:r w:rsidRPr="002679A8">
        <w:rPr>
          <w:i/>
          <w:iCs/>
          <w:noProof/>
          <w:szCs w:val="24"/>
        </w:rPr>
        <w:t>Menopause and Aging</w:t>
      </w:r>
      <w:r w:rsidRPr="002679A8">
        <w:rPr>
          <w:noProof/>
          <w:szCs w:val="24"/>
        </w:rPr>
        <w:t xml:space="preserve">. </w:t>
      </w:r>
      <w:r w:rsidRPr="002679A8">
        <w:rPr>
          <w:i/>
          <w:iCs/>
          <w:noProof/>
          <w:szCs w:val="24"/>
        </w:rPr>
        <w:t>Yen and Jaffe’s Reproductive Endocrinology: Seventh Edition</w:t>
      </w:r>
      <w:r w:rsidRPr="002679A8">
        <w:rPr>
          <w:noProof/>
          <w:szCs w:val="24"/>
        </w:rPr>
        <w:t xml:space="preserve"> (Elsevier, 2013). doi:10.1016/B978-1-4557-2758-2.00015-9</w:t>
      </w:r>
    </w:p>
    <w:p w14:paraId="58F029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52.</w:t>
      </w:r>
      <w:r w:rsidRPr="002679A8">
        <w:rPr>
          <w:noProof/>
          <w:szCs w:val="24"/>
        </w:rPr>
        <w:tab/>
        <w:t xml:space="preserve">Selvin, E. </w:t>
      </w:r>
      <w:r w:rsidRPr="002679A8">
        <w:rPr>
          <w:i/>
          <w:iCs/>
          <w:noProof/>
          <w:szCs w:val="24"/>
        </w:rPr>
        <w:t>et al.</w:t>
      </w:r>
      <w:r w:rsidRPr="002679A8">
        <w:rPr>
          <w:noProof/>
          <w:szCs w:val="24"/>
        </w:rPr>
        <w:t xml:space="preserve"> Calibration of serum creatinine in the National Health and Nutrition Examination Surveys (NHANES) 1988-1994, 1999-2004. </w:t>
      </w:r>
      <w:r w:rsidRPr="002679A8">
        <w:rPr>
          <w:i/>
          <w:iCs/>
          <w:noProof/>
          <w:szCs w:val="24"/>
        </w:rPr>
        <w:t>Am. J. Kidney Dis.</w:t>
      </w:r>
      <w:r w:rsidRPr="002679A8">
        <w:rPr>
          <w:noProof/>
          <w:szCs w:val="24"/>
        </w:rPr>
        <w:t xml:space="preserve"> </w:t>
      </w:r>
      <w:r w:rsidRPr="002679A8">
        <w:rPr>
          <w:b/>
          <w:bCs/>
          <w:noProof/>
          <w:szCs w:val="24"/>
        </w:rPr>
        <w:t>50</w:t>
      </w:r>
      <w:r w:rsidRPr="002679A8">
        <w:rPr>
          <w:noProof/>
          <w:szCs w:val="24"/>
        </w:rPr>
        <w:t>, 918–926 (2007).</w:t>
      </w:r>
    </w:p>
    <w:p w14:paraId="1071221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53.</w:t>
      </w:r>
      <w:r w:rsidRPr="002679A8">
        <w:rPr>
          <w:noProof/>
          <w:szCs w:val="24"/>
        </w:rPr>
        <w:tab/>
        <w:t xml:space="preserve">Mahalanobis, P. C. Mahalanobis distance. </w:t>
      </w:r>
      <w:r w:rsidRPr="002679A8">
        <w:rPr>
          <w:i/>
          <w:iCs/>
          <w:noProof/>
          <w:szCs w:val="24"/>
        </w:rPr>
        <w:t>Proc. Natl. Inst. Sci. India</w:t>
      </w:r>
      <w:r w:rsidRPr="002679A8">
        <w:rPr>
          <w:noProof/>
          <w:szCs w:val="24"/>
        </w:rPr>
        <w:t xml:space="preserve"> </w:t>
      </w:r>
      <w:r w:rsidRPr="002679A8">
        <w:rPr>
          <w:b/>
          <w:bCs/>
          <w:noProof/>
          <w:szCs w:val="24"/>
        </w:rPr>
        <w:t>49</w:t>
      </w:r>
      <w:r w:rsidRPr="002679A8">
        <w:rPr>
          <w:noProof/>
          <w:szCs w:val="24"/>
        </w:rPr>
        <w:t>, 234–256 (1936).</w:t>
      </w:r>
    </w:p>
    <w:p w14:paraId="5F36C09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54.</w:t>
      </w:r>
      <w:r w:rsidRPr="002679A8">
        <w:rPr>
          <w:noProof/>
          <w:szCs w:val="24"/>
        </w:rPr>
        <w:tab/>
        <w:t xml:space="preserve">Duong, M. T., Bingham, B. A., Aldana, P. C., Chung, S. T. &amp; Sumner, A. E. Variation in the calculation of allostatic load score: 21 examples from NHANES. </w:t>
      </w:r>
      <w:r w:rsidRPr="002679A8">
        <w:rPr>
          <w:i/>
          <w:iCs/>
          <w:noProof/>
          <w:szCs w:val="24"/>
        </w:rPr>
        <w:t>J. Racial Ethn. Heal. Disparities</w:t>
      </w:r>
      <w:r w:rsidRPr="002679A8">
        <w:rPr>
          <w:noProof/>
          <w:szCs w:val="24"/>
        </w:rPr>
        <w:t xml:space="preserve"> </w:t>
      </w:r>
      <w:r w:rsidRPr="002679A8">
        <w:rPr>
          <w:b/>
          <w:bCs/>
          <w:noProof/>
          <w:szCs w:val="24"/>
        </w:rPr>
        <w:t>4</w:t>
      </w:r>
      <w:r w:rsidRPr="002679A8">
        <w:rPr>
          <w:noProof/>
          <w:szCs w:val="24"/>
        </w:rPr>
        <w:t>, 455–461 (2017).</w:t>
      </w:r>
    </w:p>
    <w:p w14:paraId="5287966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55.</w:t>
      </w:r>
      <w:r w:rsidRPr="002679A8">
        <w:rPr>
          <w:noProof/>
          <w:szCs w:val="24"/>
        </w:rPr>
        <w:tab/>
        <w:t xml:space="preserve">Levine, M. E. &amp; Crimmins, E. M. Evidence of accelerated aging among African Americans and its implications for mortality. </w:t>
      </w:r>
      <w:r w:rsidRPr="002679A8">
        <w:rPr>
          <w:i/>
          <w:iCs/>
          <w:noProof/>
          <w:szCs w:val="24"/>
        </w:rPr>
        <w:t>Soc. Sci. Med.</w:t>
      </w:r>
      <w:r w:rsidRPr="002679A8">
        <w:rPr>
          <w:noProof/>
          <w:szCs w:val="24"/>
        </w:rPr>
        <w:t xml:space="preserve"> </w:t>
      </w:r>
      <w:r w:rsidRPr="002679A8">
        <w:rPr>
          <w:b/>
          <w:bCs/>
          <w:noProof/>
          <w:szCs w:val="24"/>
        </w:rPr>
        <w:t>118</w:t>
      </w:r>
      <w:r w:rsidRPr="002679A8">
        <w:rPr>
          <w:noProof/>
          <w:szCs w:val="24"/>
        </w:rPr>
        <w:t>, 27–32 (2014).</w:t>
      </w:r>
    </w:p>
    <w:p w14:paraId="36A1F20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56.</w:t>
      </w:r>
      <w:r w:rsidRPr="002679A8">
        <w:rPr>
          <w:noProof/>
          <w:szCs w:val="24"/>
        </w:rPr>
        <w:tab/>
        <w:t xml:space="preserve">Steptoe, A. </w:t>
      </w:r>
      <w:r w:rsidRPr="002679A8">
        <w:rPr>
          <w:i/>
          <w:iCs/>
          <w:noProof/>
          <w:szCs w:val="24"/>
        </w:rPr>
        <w:t>et al.</w:t>
      </w:r>
      <w:r w:rsidRPr="002679A8">
        <w:rPr>
          <w:noProof/>
          <w:szCs w:val="24"/>
        </w:rPr>
        <w:t xml:space="preserve"> Educational attainment but not measures of current socioeconomic circumstances are associated with leukocyte telomere length in healthy older men and women. </w:t>
      </w:r>
      <w:r w:rsidRPr="002679A8">
        <w:rPr>
          <w:i/>
          <w:iCs/>
          <w:noProof/>
          <w:szCs w:val="24"/>
        </w:rPr>
        <w:t>Brain. Behav. Immun.</w:t>
      </w:r>
      <w:r w:rsidRPr="002679A8">
        <w:rPr>
          <w:noProof/>
          <w:szCs w:val="24"/>
        </w:rPr>
        <w:t xml:space="preserve"> </w:t>
      </w:r>
      <w:r w:rsidRPr="002679A8">
        <w:rPr>
          <w:b/>
          <w:bCs/>
          <w:noProof/>
          <w:szCs w:val="24"/>
        </w:rPr>
        <w:t>25</w:t>
      </w:r>
      <w:r w:rsidRPr="002679A8">
        <w:rPr>
          <w:noProof/>
          <w:szCs w:val="24"/>
        </w:rPr>
        <w:t>, 1292–1298 (2011).</w:t>
      </w:r>
    </w:p>
    <w:p w14:paraId="7DCF56C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57.</w:t>
      </w:r>
      <w:r w:rsidRPr="002679A8">
        <w:rPr>
          <w:noProof/>
          <w:szCs w:val="24"/>
        </w:rPr>
        <w:tab/>
        <w:t xml:space="preserve">Robertson, T. </w:t>
      </w:r>
      <w:r w:rsidRPr="002679A8">
        <w:rPr>
          <w:i/>
          <w:iCs/>
          <w:noProof/>
          <w:szCs w:val="24"/>
        </w:rPr>
        <w:t>et al.</w:t>
      </w:r>
      <w:r w:rsidRPr="002679A8">
        <w:rPr>
          <w:noProof/>
          <w:szCs w:val="24"/>
        </w:rPr>
        <w:t xml:space="preserve"> Is socioeconomic status associated with biological aging as measured by telomere length?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98–111 (2013).</w:t>
      </w:r>
    </w:p>
    <w:p w14:paraId="1641E94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58.</w:t>
      </w:r>
      <w:r w:rsidRPr="002679A8">
        <w:rPr>
          <w:noProof/>
          <w:szCs w:val="24"/>
        </w:rPr>
        <w:tab/>
        <w:t xml:space="preserve">Lewis, C. E. </w:t>
      </w:r>
      <w:r w:rsidRPr="002679A8">
        <w:rPr>
          <w:i/>
          <w:iCs/>
          <w:noProof/>
          <w:szCs w:val="24"/>
        </w:rPr>
        <w:t>et al.</w:t>
      </w:r>
      <w:r w:rsidRPr="002679A8">
        <w:rPr>
          <w:noProof/>
          <w:szCs w:val="24"/>
        </w:rPr>
        <w:t xml:space="preserve"> Mortality, health outcomes, and body mass index in the overweight range. </w:t>
      </w:r>
      <w:r w:rsidRPr="002679A8">
        <w:rPr>
          <w:i/>
          <w:iCs/>
          <w:noProof/>
          <w:szCs w:val="24"/>
        </w:rPr>
        <w:t>Circulation</w:t>
      </w:r>
      <w:r w:rsidRPr="002679A8">
        <w:rPr>
          <w:noProof/>
          <w:szCs w:val="24"/>
        </w:rPr>
        <w:t xml:space="preserve"> </w:t>
      </w:r>
      <w:r w:rsidRPr="002679A8">
        <w:rPr>
          <w:b/>
          <w:bCs/>
          <w:noProof/>
          <w:szCs w:val="24"/>
        </w:rPr>
        <w:t>119</w:t>
      </w:r>
      <w:r w:rsidRPr="002679A8">
        <w:rPr>
          <w:noProof/>
          <w:szCs w:val="24"/>
        </w:rPr>
        <w:t>, 3263–3271 (2009).</w:t>
      </w:r>
    </w:p>
    <w:p w14:paraId="799E93A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59.</w:t>
      </w:r>
      <w:r w:rsidRPr="002679A8">
        <w:rPr>
          <w:noProof/>
          <w:szCs w:val="24"/>
        </w:rPr>
        <w:tab/>
        <w:t>National Center for Health Statistics. NHANES survey methods and analytic guidelines. (2018). Available at: https://wwwn.cdc.gov/nchs/nhanes/AnalyticGuidelines.aspx. (Accessed: 4th February 2020)</w:t>
      </w:r>
    </w:p>
    <w:p w14:paraId="5393E9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60.</w:t>
      </w:r>
      <w:r w:rsidRPr="002679A8">
        <w:rPr>
          <w:noProof/>
          <w:szCs w:val="24"/>
        </w:rPr>
        <w:tab/>
        <w:t xml:space="preserve">Korn, E. L. &amp; Graubard, B. I. </w:t>
      </w:r>
      <w:r w:rsidRPr="002679A8">
        <w:rPr>
          <w:i/>
          <w:iCs/>
          <w:noProof/>
          <w:szCs w:val="24"/>
        </w:rPr>
        <w:t>Analysis of health surveys</w:t>
      </w:r>
      <w:r w:rsidRPr="002679A8">
        <w:rPr>
          <w:noProof/>
          <w:szCs w:val="24"/>
        </w:rPr>
        <w:t>. (John Wiley &amp; Sons, 1999).</w:t>
      </w:r>
    </w:p>
    <w:p w14:paraId="6C6920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61.</w:t>
      </w:r>
      <w:r w:rsidRPr="002679A8">
        <w:rPr>
          <w:noProof/>
          <w:szCs w:val="24"/>
        </w:rPr>
        <w:tab/>
        <w:t xml:space="preserve">Rosinger, A. Y. &amp; Ice, G. Secondary data analysis to answer questions in human biology. </w:t>
      </w:r>
      <w:r w:rsidRPr="002679A8">
        <w:rPr>
          <w:i/>
          <w:iCs/>
          <w:noProof/>
          <w:szCs w:val="24"/>
        </w:rPr>
        <w:t>Am. J. Hum. Biol.</w:t>
      </w:r>
      <w:r w:rsidRPr="002679A8">
        <w:rPr>
          <w:noProof/>
          <w:szCs w:val="24"/>
        </w:rPr>
        <w:t xml:space="preserve"> </w:t>
      </w:r>
      <w:r w:rsidRPr="002679A8">
        <w:rPr>
          <w:b/>
          <w:bCs/>
          <w:noProof/>
          <w:szCs w:val="24"/>
        </w:rPr>
        <w:t>31</w:t>
      </w:r>
      <w:r w:rsidRPr="002679A8">
        <w:rPr>
          <w:noProof/>
          <w:szCs w:val="24"/>
        </w:rPr>
        <w:t>, 1–19 (2019).</w:t>
      </w:r>
    </w:p>
    <w:p w14:paraId="181D75A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62.</w:t>
      </w:r>
      <w:r w:rsidRPr="002679A8">
        <w:rPr>
          <w:noProof/>
          <w:szCs w:val="24"/>
        </w:rPr>
        <w:tab/>
        <w:t xml:space="preserve">Abdi, H. The Bonferonni and Šidák Corrections for Multiple Comparisons. in </w:t>
      </w:r>
      <w:r w:rsidRPr="002679A8">
        <w:rPr>
          <w:i/>
          <w:iCs/>
          <w:noProof/>
          <w:szCs w:val="24"/>
        </w:rPr>
        <w:t>Encyclopedia of Measurement and Statistics</w:t>
      </w:r>
      <w:r w:rsidRPr="002679A8">
        <w:rPr>
          <w:noProof/>
          <w:szCs w:val="24"/>
        </w:rPr>
        <w:t xml:space="preserve"> (ed. Salkind, N.) 1–9 (Sage, 2007). doi:10.4135/9781412952644</w:t>
      </w:r>
    </w:p>
    <w:p w14:paraId="3D366AD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63.</w:t>
      </w:r>
      <w:r w:rsidRPr="002679A8">
        <w:rPr>
          <w:noProof/>
          <w:szCs w:val="24"/>
        </w:rPr>
        <w:tab/>
        <w:t xml:space="preserve">Westendorp, R. G. &amp; Kirkwood, T. Human longevity at the cost of reproductive success. </w:t>
      </w:r>
      <w:r w:rsidRPr="002679A8">
        <w:rPr>
          <w:i/>
          <w:iCs/>
          <w:noProof/>
          <w:szCs w:val="24"/>
        </w:rPr>
        <w:t>Nature</w:t>
      </w:r>
      <w:r w:rsidRPr="002679A8">
        <w:rPr>
          <w:noProof/>
          <w:szCs w:val="24"/>
        </w:rPr>
        <w:t xml:space="preserve"> </w:t>
      </w:r>
      <w:r w:rsidRPr="002679A8">
        <w:rPr>
          <w:b/>
          <w:bCs/>
          <w:noProof/>
          <w:szCs w:val="24"/>
        </w:rPr>
        <w:lastRenderedPageBreak/>
        <w:t>396</w:t>
      </w:r>
      <w:r w:rsidRPr="002679A8">
        <w:rPr>
          <w:noProof/>
          <w:szCs w:val="24"/>
        </w:rPr>
        <w:t>, 743–746 (1998).</w:t>
      </w:r>
    </w:p>
    <w:p w14:paraId="6BADB3A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64.</w:t>
      </w:r>
      <w:r w:rsidRPr="002679A8">
        <w:rPr>
          <w:noProof/>
          <w:szCs w:val="24"/>
        </w:rPr>
        <w:tab/>
        <w:t xml:space="preserve">Graubard, B. I. &amp; Korn, E. L. Predictive margins with survey data. </w:t>
      </w:r>
      <w:r w:rsidRPr="002679A8">
        <w:rPr>
          <w:i/>
          <w:iCs/>
          <w:noProof/>
          <w:szCs w:val="24"/>
        </w:rPr>
        <w:t>Biometrics</w:t>
      </w:r>
      <w:r w:rsidRPr="002679A8">
        <w:rPr>
          <w:noProof/>
          <w:szCs w:val="24"/>
        </w:rPr>
        <w:t xml:space="preserve"> </w:t>
      </w:r>
      <w:r w:rsidRPr="002679A8">
        <w:rPr>
          <w:b/>
          <w:bCs/>
          <w:noProof/>
          <w:szCs w:val="24"/>
        </w:rPr>
        <w:t>55</w:t>
      </w:r>
      <w:r w:rsidRPr="002679A8">
        <w:rPr>
          <w:noProof/>
          <w:szCs w:val="24"/>
        </w:rPr>
        <w:t>, 652–659 (1999).</w:t>
      </w:r>
    </w:p>
    <w:p w14:paraId="01D165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65.</w:t>
      </w:r>
      <w:r w:rsidRPr="002679A8">
        <w:rPr>
          <w:noProof/>
          <w:szCs w:val="24"/>
        </w:rPr>
        <w:tab/>
        <w:t xml:space="preserve">Kieffer, T. E. C., Faas, M. M., Scherjon, S. A. &amp; Prins, J. R. Pregnancy persistently affects memory T cell populations. </w:t>
      </w:r>
      <w:r w:rsidRPr="002679A8">
        <w:rPr>
          <w:i/>
          <w:iCs/>
          <w:noProof/>
          <w:szCs w:val="24"/>
        </w:rPr>
        <w:t>J. Reprod. Immunol.</w:t>
      </w:r>
      <w:r w:rsidRPr="002679A8">
        <w:rPr>
          <w:noProof/>
          <w:szCs w:val="24"/>
        </w:rPr>
        <w:t xml:space="preserve"> </w:t>
      </w:r>
      <w:r w:rsidRPr="002679A8">
        <w:rPr>
          <w:b/>
          <w:bCs/>
          <w:noProof/>
          <w:szCs w:val="24"/>
        </w:rPr>
        <w:t>119</w:t>
      </w:r>
      <w:r w:rsidRPr="002679A8">
        <w:rPr>
          <w:noProof/>
          <w:szCs w:val="24"/>
        </w:rPr>
        <w:t>, 1–8 (2017).</w:t>
      </w:r>
    </w:p>
    <w:p w14:paraId="593E57B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66.</w:t>
      </w:r>
      <w:r w:rsidRPr="002679A8">
        <w:rPr>
          <w:noProof/>
          <w:szCs w:val="24"/>
        </w:rPr>
        <w:tab/>
        <w:t xml:space="preserve">Park, J. C. </w:t>
      </w:r>
      <w:r w:rsidRPr="002679A8">
        <w:rPr>
          <w:i/>
          <w:iCs/>
          <w:noProof/>
          <w:szCs w:val="24"/>
        </w:rPr>
        <w:t>et al.</w:t>
      </w:r>
      <w:r w:rsidRPr="002679A8">
        <w:rPr>
          <w:noProof/>
          <w:szCs w:val="24"/>
        </w:rPr>
        <w:t xml:space="preserve"> Association of serum alkaline phosphatase and bone mineral density in maintenance hemodialysis patients. </w:t>
      </w:r>
      <w:r w:rsidRPr="002679A8">
        <w:rPr>
          <w:i/>
          <w:iCs/>
          <w:noProof/>
          <w:szCs w:val="24"/>
        </w:rPr>
        <w:t>Hemodial. Int.</w:t>
      </w:r>
      <w:r w:rsidRPr="002679A8">
        <w:rPr>
          <w:noProof/>
          <w:szCs w:val="24"/>
        </w:rPr>
        <w:t xml:space="preserve"> </w:t>
      </w:r>
      <w:r w:rsidRPr="002679A8">
        <w:rPr>
          <w:b/>
          <w:bCs/>
          <w:noProof/>
          <w:szCs w:val="24"/>
        </w:rPr>
        <w:t>14</w:t>
      </w:r>
      <w:r w:rsidRPr="002679A8">
        <w:rPr>
          <w:noProof/>
          <w:szCs w:val="24"/>
        </w:rPr>
        <w:t>, 182–192 (2010).</w:t>
      </w:r>
    </w:p>
    <w:p w14:paraId="47B794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67.</w:t>
      </w:r>
      <w:r w:rsidRPr="002679A8">
        <w:rPr>
          <w:noProof/>
          <w:szCs w:val="24"/>
        </w:rPr>
        <w:tab/>
        <w:t xml:space="preserve">Gu, A. </w:t>
      </w:r>
      <w:r w:rsidRPr="002679A8">
        <w:rPr>
          <w:i/>
          <w:iCs/>
          <w:noProof/>
          <w:szCs w:val="24"/>
        </w:rPr>
        <w:t>et al.</w:t>
      </w:r>
      <w:r w:rsidRPr="002679A8">
        <w:rPr>
          <w:noProof/>
          <w:szCs w:val="24"/>
        </w:rPr>
        <w:t xml:space="preserve"> Alterations to maternal cortical and trabecular bone in multiparous middle-aged mice. </w:t>
      </w:r>
      <w:r w:rsidRPr="002679A8">
        <w:rPr>
          <w:i/>
          <w:iCs/>
          <w:noProof/>
          <w:szCs w:val="24"/>
        </w:rPr>
        <w:t>J. Musculoskelet. Neuronal Interact.</w:t>
      </w:r>
      <w:r w:rsidRPr="002679A8">
        <w:rPr>
          <w:noProof/>
          <w:szCs w:val="24"/>
        </w:rPr>
        <w:t xml:space="preserve"> </w:t>
      </w:r>
      <w:r w:rsidRPr="002679A8">
        <w:rPr>
          <w:b/>
          <w:bCs/>
          <w:noProof/>
          <w:szCs w:val="24"/>
        </w:rPr>
        <w:t>17</w:t>
      </w:r>
      <w:r w:rsidRPr="002679A8">
        <w:rPr>
          <w:noProof/>
          <w:szCs w:val="24"/>
        </w:rPr>
        <w:t>, 312–318 (2017).</w:t>
      </w:r>
    </w:p>
    <w:p w14:paraId="68DAD33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68.</w:t>
      </w:r>
      <w:r w:rsidRPr="002679A8">
        <w:rPr>
          <w:noProof/>
          <w:szCs w:val="24"/>
        </w:rPr>
        <w:tab/>
        <w:t xml:space="preserve">Sun, K. </w:t>
      </w:r>
      <w:r w:rsidRPr="002679A8">
        <w:rPr>
          <w:i/>
          <w:iCs/>
          <w:noProof/>
          <w:szCs w:val="24"/>
        </w:rPr>
        <w:t>et al.</w:t>
      </w:r>
      <w:r w:rsidRPr="002679A8">
        <w:rPr>
          <w:noProof/>
          <w:szCs w:val="24"/>
        </w:rPr>
        <w:t xml:space="preserve"> Parity is associated with albuminuria and chronic kidney isease: A population-based study. </w:t>
      </w:r>
      <w:r w:rsidRPr="002679A8">
        <w:rPr>
          <w:i/>
          <w:iCs/>
          <w:noProof/>
          <w:szCs w:val="24"/>
        </w:rPr>
        <w:t>Aging (Albany. NY).</w:t>
      </w:r>
      <w:r w:rsidRPr="002679A8">
        <w:rPr>
          <w:noProof/>
          <w:szCs w:val="24"/>
        </w:rPr>
        <w:t xml:space="preserve"> </w:t>
      </w:r>
      <w:r w:rsidRPr="002679A8">
        <w:rPr>
          <w:b/>
          <w:bCs/>
          <w:noProof/>
          <w:szCs w:val="24"/>
        </w:rPr>
        <w:t>11</w:t>
      </w:r>
      <w:r w:rsidRPr="002679A8">
        <w:rPr>
          <w:noProof/>
          <w:szCs w:val="24"/>
        </w:rPr>
        <w:t>, 11030–11039 (2019).</w:t>
      </w:r>
    </w:p>
    <w:p w14:paraId="2DE6F9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69.</w:t>
      </w:r>
      <w:r w:rsidRPr="002679A8">
        <w:rPr>
          <w:noProof/>
          <w:szCs w:val="24"/>
        </w:rPr>
        <w:tab/>
        <w:t xml:space="preserve">Stewart, F. M. </w:t>
      </w:r>
      <w:r w:rsidRPr="002679A8">
        <w:rPr>
          <w:i/>
          <w:iCs/>
          <w:noProof/>
          <w:szCs w:val="24"/>
        </w:rPr>
        <w:t>et al.</w:t>
      </w:r>
      <w:r w:rsidRPr="002679A8">
        <w:rPr>
          <w:noProof/>
          <w:szCs w:val="24"/>
        </w:rPr>
        <w:t xml:space="preserve"> Longitudinal assessment of maternal endothelial function and markers of inflammation and placental function throughout pregnancy in lean and obese mothers. </w:t>
      </w:r>
      <w:r w:rsidRPr="002679A8">
        <w:rPr>
          <w:i/>
          <w:iCs/>
          <w:noProof/>
          <w:szCs w:val="24"/>
        </w:rPr>
        <w:t>J. Clin. Endocrinol. Metab.</w:t>
      </w:r>
      <w:r w:rsidRPr="002679A8">
        <w:rPr>
          <w:noProof/>
          <w:szCs w:val="24"/>
        </w:rPr>
        <w:t xml:space="preserve"> </w:t>
      </w:r>
      <w:r w:rsidRPr="002679A8">
        <w:rPr>
          <w:b/>
          <w:bCs/>
          <w:noProof/>
          <w:szCs w:val="24"/>
        </w:rPr>
        <w:t>92</w:t>
      </w:r>
      <w:r w:rsidRPr="002679A8">
        <w:rPr>
          <w:noProof/>
          <w:szCs w:val="24"/>
        </w:rPr>
        <w:t>, 969–975 (2007).</w:t>
      </w:r>
    </w:p>
    <w:p w14:paraId="1110700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70.</w:t>
      </w:r>
      <w:r w:rsidRPr="002679A8">
        <w:rPr>
          <w:noProof/>
          <w:szCs w:val="24"/>
        </w:rPr>
        <w:tab/>
        <w:t xml:space="preserve">Kuzawa, C. W., Adair, L. S., Borja, J. &amp; McDade, T. W. C-reactive protein by pregnancy and lactational status among Filipino young adult women. </w:t>
      </w:r>
      <w:r w:rsidRPr="002679A8">
        <w:rPr>
          <w:i/>
          <w:iCs/>
          <w:noProof/>
          <w:szCs w:val="24"/>
        </w:rPr>
        <w:t>Am. J. H</w:t>
      </w:r>
      <w:r w:rsidRPr="002679A8">
        <w:rPr>
          <w:noProof/>
          <w:szCs w:val="24"/>
        </w:rPr>
        <w:t xml:space="preserve"> </w:t>
      </w:r>
      <w:r w:rsidRPr="002679A8">
        <w:rPr>
          <w:b/>
          <w:bCs/>
          <w:noProof/>
          <w:szCs w:val="24"/>
        </w:rPr>
        <w:t>25</w:t>
      </w:r>
      <w:r w:rsidRPr="002679A8">
        <w:rPr>
          <w:noProof/>
          <w:szCs w:val="24"/>
        </w:rPr>
        <w:t>, (2013).</w:t>
      </w:r>
    </w:p>
    <w:p w14:paraId="3EA629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71.</w:t>
      </w:r>
      <w:r w:rsidRPr="002679A8">
        <w:rPr>
          <w:noProof/>
          <w:szCs w:val="24"/>
        </w:rPr>
        <w:tab/>
        <w:t xml:space="preserve">El-Mahallawi, M., El-Din, D., Mahran, M., Sabour, M. &amp; Fadel, H. Glomerular filtration rate in normal pregnancy and early postpartum period. </w:t>
      </w:r>
      <w:r w:rsidRPr="002679A8">
        <w:rPr>
          <w:i/>
          <w:iCs/>
          <w:noProof/>
          <w:szCs w:val="24"/>
        </w:rPr>
        <w:t>Obstet. Gynecol.</w:t>
      </w:r>
      <w:r w:rsidRPr="002679A8">
        <w:rPr>
          <w:noProof/>
          <w:szCs w:val="24"/>
        </w:rPr>
        <w:t xml:space="preserve"> </w:t>
      </w:r>
      <w:r w:rsidRPr="002679A8">
        <w:rPr>
          <w:b/>
          <w:bCs/>
          <w:noProof/>
          <w:szCs w:val="24"/>
        </w:rPr>
        <w:t>31</w:t>
      </w:r>
      <w:r w:rsidRPr="002679A8">
        <w:rPr>
          <w:noProof/>
          <w:szCs w:val="24"/>
        </w:rPr>
        <w:t>, 621–626 (1968).</w:t>
      </w:r>
    </w:p>
    <w:p w14:paraId="07A1BA8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72.</w:t>
      </w:r>
      <w:r w:rsidRPr="002679A8">
        <w:rPr>
          <w:noProof/>
          <w:szCs w:val="24"/>
        </w:rPr>
        <w:tab/>
        <w:t xml:space="preserve">Grindheim, G., Estensen, M. E., Langesaeter, E., Rosseland, L. A. &amp; Toska, K. Changes in blood pressure during healthy pregnancy: A longitudinal cohort study. </w:t>
      </w:r>
      <w:r w:rsidRPr="002679A8">
        <w:rPr>
          <w:i/>
          <w:iCs/>
          <w:noProof/>
          <w:szCs w:val="24"/>
        </w:rPr>
        <w:t>J. Hypertens.</w:t>
      </w:r>
      <w:r w:rsidRPr="002679A8">
        <w:rPr>
          <w:noProof/>
          <w:szCs w:val="24"/>
        </w:rPr>
        <w:t xml:space="preserve"> </w:t>
      </w:r>
      <w:r w:rsidRPr="002679A8">
        <w:rPr>
          <w:b/>
          <w:bCs/>
          <w:noProof/>
          <w:szCs w:val="24"/>
        </w:rPr>
        <w:t>30</w:t>
      </w:r>
      <w:r w:rsidRPr="002679A8">
        <w:rPr>
          <w:noProof/>
          <w:szCs w:val="24"/>
        </w:rPr>
        <w:t>, 342–350 (2012).</w:t>
      </w:r>
    </w:p>
    <w:p w14:paraId="627E082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73.</w:t>
      </w:r>
      <w:r w:rsidRPr="002679A8">
        <w:rPr>
          <w:noProof/>
          <w:szCs w:val="24"/>
        </w:rPr>
        <w:tab/>
        <w:t xml:space="preserve">Clapp, J. F. &amp; Capeless, E. Cardiovascular function before, during, and after the first and subsequent pregnancies. </w:t>
      </w:r>
      <w:r w:rsidRPr="002679A8">
        <w:rPr>
          <w:i/>
          <w:iCs/>
          <w:noProof/>
          <w:szCs w:val="24"/>
        </w:rPr>
        <w:t>Am. J. Cardiol.</w:t>
      </w:r>
      <w:r w:rsidRPr="002679A8">
        <w:rPr>
          <w:noProof/>
          <w:szCs w:val="24"/>
        </w:rPr>
        <w:t xml:space="preserve"> </w:t>
      </w:r>
      <w:r w:rsidRPr="002679A8">
        <w:rPr>
          <w:b/>
          <w:bCs/>
          <w:noProof/>
          <w:szCs w:val="24"/>
        </w:rPr>
        <w:t>80</w:t>
      </w:r>
      <w:r w:rsidRPr="002679A8">
        <w:rPr>
          <w:noProof/>
          <w:szCs w:val="24"/>
        </w:rPr>
        <w:t>, 1469–1473 (1997).</w:t>
      </w:r>
    </w:p>
    <w:p w14:paraId="180B15E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74.</w:t>
      </w:r>
      <w:r w:rsidRPr="002679A8">
        <w:rPr>
          <w:noProof/>
          <w:szCs w:val="24"/>
        </w:rPr>
        <w:tab/>
        <w:t xml:space="preserve">Buchanan, T. A., Xiang, A. H. &amp; Page, K. A. Gestational diabetes mellitus: Risks and management during and after pregnancy. </w:t>
      </w:r>
      <w:r w:rsidRPr="002679A8">
        <w:rPr>
          <w:i/>
          <w:iCs/>
          <w:noProof/>
          <w:szCs w:val="24"/>
        </w:rPr>
        <w:t>Nat. Rev. Endocrinol.</w:t>
      </w:r>
      <w:r w:rsidRPr="002679A8">
        <w:rPr>
          <w:noProof/>
          <w:szCs w:val="24"/>
        </w:rPr>
        <w:t xml:space="preserve"> </w:t>
      </w:r>
      <w:r w:rsidRPr="002679A8">
        <w:rPr>
          <w:b/>
          <w:bCs/>
          <w:noProof/>
          <w:szCs w:val="24"/>
        </w:rPr>
        <w:t>8</w:t>
      </w:r>
      <w:r w:rsidRPr="002679A8">
        <w:rPr>
          <w:noProof/>
          <w:szCs w:val="24"/>
        </w:rPr>
        <w:t>, 639–649 (2012).</w:t>
      </w:r>
    </w:p>
    <w:p w14:paraId="7C5454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75.</w:t>
      </w:r>
      <w:r w:rsidRPr="002679A8">
        <w:rPr>
          <w:noProof/>
          <w:szCs w:val="24"/>
        </w:rPr>
        <w:tab/>
        <w:t xml:space="preserve">Chereji, E., Gatz, M., Pedersen, N. L. &amp; Prescott, C. A. Reexamining the association between </w:t>
      </w:r>
      <w:r w:rsidRPr="002679A8">
        <w:rPr>
          <w:noProof/>
          <w:szCs w:val="24"/>
        </w:rPr>
        <w:lastRenderedPageBreak/>
        <w:t xml:space="preserve">fertility and longevity: Testing the disposable soma theory in a modern human sample of twins. </w:t>
      </w:r>
      <w:r w:rsidRPr="002679A8">
        <w:rPr>
          <w:i/>
          <w:iCs/>
          <w:noProof/>
          <w:szCs w:val="24"/>
        </w:rPr>
        <w:t>Journals Gerontol. - Ser. A Biol. Sci. Med. Sci.</w:t>
      </w:r>
      <w:r w:rsidRPr="002679A8">
        <w:rPr>
          <w:noProof/>
          <w:szCs w:val="24"/>
        </w:rPr>
        <w:t xml:space="preserve"> </w:t>
      </w:r>
      <w:r w:rsidRPr="002679A8">
        <w:rPr>
          <w:b/>
          <w:bCs/>
          <w:noProof/>
          <w:szCs w:val="24"/>
        </w:rPr>
        <w:t>68</w:t>
      </w:r>
      <w:r w:rsidRPr="002679A8">
        <w:rPr>
          <w:noProof/>
          <w:szCs w:val="24"/>
        </w:rPr>
        <w:t>, 499–509 (2013).</w:t>
      </w:r>
    </w:p>
    <w:p w14:paraId="4A36B53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76.</w:t>
      </w:r>
      <w:r w:rsidRPr="002679A8">
        <w:rPr>
          <w:noProof/>
          <w:szCs w:val="24"/>
        </w:rPr>
        <w:tab/>
        <w:t xml:space="preserve">Negrato, C. A., Mattar, R. &amp; Gomes, M. B. Adverse pregnancy outcomes in women with diabetes. </w:t>
      </w:r>
      <w:r w:rsidRPr="002679A8">
        <w:rPr>
          <w:i/>
          <w:iCs/>
          <w:noProof/>
          <w:szCs w:val="24"/>
        </w:rPr>
        <w:t>Diabetol. Metab. Syndr.</w:t>
      </w:r>
      <w:r w:rsidRPr="002679A8">
        <w:rPr>
          <w:noProof/>
          <w:szCs w:val="24"/>
        </w:rPr>
        <w:t xml:space="preserve"> </w:t>
      </w:r>
      <w:r w:rsidRPr="002679A8">
        <w:rPr>
          <w:b/>
          <w:bCs/>
          <w:noProof/>
          <w:szCs w:val="24"/>
        </w:rPr>
        <w:t>4</w:t>
      </w:r>
      <w:r w:rsidRPr="002679A8">
        <w:rPr>
          <w:noProof/>
          <w:szCs w:val="24"/>
        </w:rPr>
        <w:t>, 2–7 (2012).</w:t>
      </w:r>
    </w:p>
    <w:p w14:paraId="2FD2785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77.</w:t>
      </w:r>
      <w:r w:rsidRPr="002679A8">
        <w:rPr>
          <w:noProof/>
          <w:szCs w:val="24"/>
        </w:rPr>
        <w:tab/>
        <w:t xml:space="preserve">Seely, E. W. &amp; Ecker, J. Chronic hypertension in pregnancy. </w:t>
      </w:r>
      <w:r w:rsidRPr="002679A8">
        <w:rPr>
          <w:i/>
          <w:iCs/>
          <w:noProof/>
          <w:szCs w:val="24"/>
        </w:rPr>
        <w:t>Circulation</w:t>
      </w:r>
      <w:r w:rsidRPr="002679A8">
        <w:rPr>
          <w:noProof/>
          <w:szCs w:val="24"/>
        </w:rPr>
        <w:t xml:space="preserve"> </w:t>
      </w:r>
      <w:r w:rsidRPr="002679A8">
        <w:rPr>
          <w:b/>
          <w:bCs/>
          <w:noProof/>
          <w:szCs w:val="24"/>
        </w:rPr>
        <w:t>129</w:t>
      </w:r>
      <w:r w:rsidRPr="002679A8">
        <w:rPr>
          <w:noProof/>
          <w:szCs w:val="24"/>
        </w:rPr>
        <w:t>, 1254–1261 (2014).</w:t>
      </w:r>
    </w:p>
    <w:p w14:paraId="385E68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78.</w:t>
      </w:r>
      <w:r w:rsidRPr="002679A8">
        <w:rPr>
          <w:noProof/>
          <w:szCs w:val="24"/>
        </w:rPr>
        <w:tab/>
        <w:t xml:space="preserve">Müezzinler, A., Zaineddin, A. K. &amp; Brenner, H. Body mass index and leukocyte telomere length in adults: A systematic review and meta-analysis. </w:t>
      </w:r>
      <w:r w:rsidRPr="002679A8">
        <w:rPr>
          <w:i/>
          <w:iCs/>
          <w:noProof/>
          <w:szCs w:val="24"/>
        </w:rPr>
        <w:t>Obes. Rev.</w:t>
      </w:r>
      <w:r w:rsidRPr="002679A8">
        <w:rPr>
          <w:noProof/>
          <w:szCs w:val="24"/>
        </w:rPr>
        <w:t xml:space="preserve"> </w:t>
      </w:r>
      <w:r w:rsidRPr="002679A8">
        <w:rPr>
          <w:b/>
          <w:bCs/>
          <w:noProof/>
          <w:szCs w:val="24"/>
        </w:rPr>
        <w:t>15</w:t>
      </w:r>
      <w:r w:rsidRPr="002679A8">
        <w:rPr>
          <w:noProof/>
          <w:szCs w:val="24"/>
        </w:rPr>
        <w:t>, 192–201 (2014).</w:t>
      </w:r>
    </w:p>
    <w:p w14:paraId="18DD109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79.</w:t>
      </w:r>
      <w:r w:rsidRPr="002679A8">
        <w:rPr>
          <w:noProof/>
          <w:szCs w:val="24"/>
        </w:rPr>
        <w:tab/>
        <w:t xml:space="preserve">Ellison, P. T. </w:t>
      </w:r>
      <w:r w:rsidRPr="002679A8">
        <w:rPr>
          <w:i/>
          <w:iCs/>
          <w:noProof/>
          <w:szCs w:val="24"/>
        </w:rPr>
        <w:t>On Fertile Ground: A Natural History of Human Reproduction</w:t>
      </w:r>
      <w:r w:rsidRPr="002679A8">
        <w:rPr>
          <w:noProof/>
          <w:szCs w:val="24"/>
        </w:rPr>
        <w:t>. (Harvard University Press, 2003).</w:t>
      </w:r>
    </w:p>
    <w:p w14:paraId="73D202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80.</w:t>
      </w:r>
      <w:r w:rsidRPr="002679A8">
        <w:rPr>
          <w:noProof/>
          <w:szCs w:val="24"/>
        </w:rPr>
        <w:tab/>
        <w:t xml:space="preserve">Gunderson, E. P. </w:t>
      </w:r>
      <w:r w:rsidRPr="002679A8">
        <w:rPr>
          <w:i/>
          <w:iCs/>
          <w:noProof/>
          <w:szCs w:val="24"/>
        </w:rPr>
        <w:t>et al.</w:t>
      </w:r>
      <w:r w:rsidRPr="002679A8">
        <w:rPr>
          <w:noProof/>
          <w:szCs w:val="24"/>
        </w:rPr>
        <w:t xml:space="preserve"> Excess gains in weight and waist circumference associated with childbearing: The Coronary Artery Risk Development in Young Adults Study (CARDIA). </w:t>
      </w:r>
      <w:r w:rsidRPr="002679A8">
        <w:rPr>
          <w:i/>
          <w:iCs/>
          <w:noProof/>
          <w:szCs w:val="24"/>
        </w:rPr>
        <w:t>Int. J. Obes.</w:t>
      </w:r>
      <w:r w:rsidRPr="002679A8">
        <w:rPr>
          <w:noProof/>
          <w:szCs w:val="24"/>
        </w:rPr>
        <w:t xml:space="preserve"> </w:t>
      </w:r>
      <w:r w:rsidRPr="002679A8">
        <w:rPr>
          <w:b/>
          <w:bCs/>
          <w:noProof/>
          <w:szCs w:val="24"/>
        </w:rPr>
        <w:t>28</w:t>
      </w:r>
      <w:r w:rsidRPr="002679A8">
        <w:rPr>
          <w:noProof/>
          <w:szCs w:val="24"/>
        </w:rPr>
        <w:t>, 525–535 (2004).</w:t>
      </w:r>
    </w:p>
    <w:p w14:paraId="5AB83CE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81.</w:t>
      </w:r>
      <w:r w:rsidRPr="002679A8">
        <w:rPr>
          <w:noProof/>
          <w:szCs w:val="24"/>
        </w:rPr>
        <w:tab/>
        <w:t xml:space="preserve">Rooney, B. L., Schauberger, C. W. &amp; Mathiason, M. A. Impact of perinatal weight change on long-term obesity and obesity-related illnesses. </w:t>
      </w:r>
      <w:r w:rsidRPr="002679A8">
        <w:rPr>
          <w:i/>
          <w:iCs/>
          <w:noProof/>
          <w:szCs w:val="24"/>
        </w:rPr>
        <w:t>Obstet. Gynecol.</w:t>
      </w:r>
      <w:r w:rsidRPr="002679A8">
        <w:rPr>
          <w:noProof/>
          <w:szCs w:val="24"/>
        </w:rPr>
        <w:t xml:space="preserve"> </w:t>
      </w:r>
      <w:r w:rsidRPr="002679A8">
        <w:rPr>
          <w:b/>
          <w:bCs/>
          <w:noProof/>
          <w:szCs w:val="24"/>
        </w:rPr>
        <w:t>106</w:t>
      </w:r>
      <w:r w:rsidRPr="002679A8">
        <w:rPr>
          <w:noProof/>
          <w:szCs w:val="24"/>
        </w:rPr>
        <w:t>, 1349–1356 (2005).</w:t>
      </w:r>
    </w:p>
    <w:p w14:paraId="690447F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82.</w:t>
      </w:r>
      <w:r w:rsidRPr="002679A8">
        <w:rPr>
          <w:noProof/>
          <w:szCs w:val="24"/>
        </w:rPr>
        <w:tab/>
        <w:t xml:space="preserve">Stuebe, A. M. &amp; Rich-Edwards, J. W. The reset hypothesis: Lactation and maternal metabolism. </w:t>
      </w:r>
      <w:r w:rsidRPr="002679A8">
        <w:rPr>
          <w:i/>
          <w:iCs/>
          <w:noProof/>
          <w:szCs w:val="24"/>
        </w:rPr>
        <w:t>Am. J. Perinatol.</w:t>
      </w:r>
      <w:r w:rsidRPr="002679A8">
        <w:rPr>
          <w:noProof/>
          <w:szCs w:val="24"/>
        </w:rPr>
        <w:t xml:space="preserve"> </w:t>
      </w:r>
      <w:r w:rsidRPr="002679A8">
        <w:rPr>
          <w:b/>
          <w:bCs/>
          <w:noProof/>
          <w:szCs w:val="24"/>
        </w:rPr>
        <w:t>26</w:t>
      </w:r>
      <w:r w:rsidRPr="002679A8">
        <w:rPr>
          <w:noProof/>
          <w:szCs w:val="24"/>
        </w:rPr>
        <w:t>, 81–88 (2008).</w:t>
      </w:r>
    </w:p>
    <w:p w14:paraId="644AEDA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83.</w:t>
      </w:r>
      <w:r w:rsidRPr="002679A8">
        <w:rPr>
          <w:noProof/>
          <w:szCs w:val="24"/>
        </w:rPr>
        <w:tab/>
        <w:t xml:space="preserve">Henrich, J., Heine, S. J. &amp; Norenzayan, A. The weirdest people in the world? </w:t>
      </w:r>
      <w:r w:rsidRPr="002679A8">
        <w:rPr>
          <w:i/>
          <w:iCs/>
          <w:noProof/>
          <w:szCs w:val="24"/>
        </w:rPr>
        <w:t>Behav. Brain Sci.</w:t>
      </w:r>
      <w:r w:rsidRPr="002679A8">
        <w:rPr>
          <w:noProof/>
          <w:szCs w:val="24"/>
        </w:rPr>
        <w:t xml:space="preserve"> </w:t>
      </w:r>
      <w:r w:rsidRPr="002679A8">
        <w:rPr>
          <w:b/>
          <w:bCs/>
          <w:noProof/>
          <w:szCs w:val="24"/>
        </w:rPr>
        <w:t>33</w:t>
      </w:r>
      <w:r w:rsidRPr="002679A8">
        <w:rPr>
          <w:noProof/>
          <w:szCs w:val="24"/>
        </w:rPr>
        <w:t>, 61–135 (2010).</w:t>
      </w:r>
    </w:p>
    <w:p w14:paraId="298D299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84.</w:t>
      </w:r>
      <w:r w:rsidRPr="002679A8">
        <w:rPr>
          <w:noProof/>
          <w:szCs w:val="24"/>
        </w:rPr>
        <w:tab/>
        <w:t xml:space="preserve">Gurven, M. D. &amp; Lieberman, D. E. WEIRD bodies: mismatch, medicine and missing diversity. </w:t>
      </w:r>
      <w:r w:rsidRPr="002679A8">
        <w:rPr>
          <w:i/>
          <w:iCs/>
          <w:noProof/>
          <w:szCs w:val="24"/>
        </w:rPr>
        <w:t>Evol. Hum. Behav.</w:t>
      </w:r>
      <w:r w:rsidRPr="002679A8">
        <w:rPr>
          <w:noProof/>
          <w:szCs w:val="24"/>
        </w:rPr>
        <w:t xml:space="preserve"> 0–1 (2020). doi:10.1016/j.evolhumbehav.2020.04.001</w:t>
      </w:r>
    </w:p>
    <w:p w14:paraId="2780751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85.</w:t>
      </w:r>
      <w:r w:rsidRPr="002679A8">
        <w:rPr>
          <w:noProof/>
          <w:szCs w:val="24"/>
        </w:rPr>
        <w:tab/>
        <w:t xml:space="preserve">Sear, R., Lawson, D. W., Kaplan, H. &amp; Shenk, M. K. Understanding variation in human fertility: What can we learn from evolutionary demography? </w:t>
      </w:r>
      <w:r w:rsidRPr="002679A8">
        <w:rPr>
          <w:i/>
          <w:iCs/>
          <w:noProof/>
          <w:szCs w:val="24"/>
        </w:rPr>
        <w:t>Philos. Trans. R. Soc. B Biol. Sci.</w:t>
      </w:r>
      <w:r w:rsidRPr="002679A8">
        <w:rPr>
          <w:noProof/>
          <w:szCs w:val="24"/>
        </w:rPr>
        <w:t xml:space="preserve"> </w:t>
      </w:r>
      <w:r w:rsidRPr="002679A8">
        <w:rPr>
          <w:b/>
          <w:bCs/>
          <w:noProof/>
          <w:szCs w:val="24"/>
        </w:rPr>
        <w:t>371</w:t>
      </w:r>
      <w:r w:rsidRPr="002679A8">
        <w:rPr>
          <w:noProof/>
          <w:szCs w:val="24"/>
        </w:rPr>
        <w:t>, (2016).</w:t>
      </w:r>
    </w:p>
    <w:p w14:paraId="0618F642" w14:textId="77777777" w:rsidR="002679A8" w:rsidRPr="002679A8" w:rsidRDefault="002679A8" w:rsidP="002679A8">
      <w:pPr>
        <w:widowControl w:val="0"/>
        <w:autoSpaceDE w:val="0"/>
        <w:autoSpaceDN w:val="0"/>
        <w:adjustRightInd w:val="0"/>
        <w:spacing w:line="480" w:lineRule="auto"/>
        <w:ind w:left="640" w:hanging="640"/>
        <w:rPr>
          <w:noProof/>
        </w:rPr>
      </w:pPr>
      <w:r w:rsidRPr="002679A8">
        <w:rPr>
          <w:noProof/>
          <w:szCs w:val="24"/>
        </w:rPr>
        <w:t>86.</w:t>
      </w:r>
      <w:r w:rsidRPr="002679A8">
        <w:rPr>
          <w:noProof/>
          <w:szCs w:val="24"/>
        </w:rPr>
        <w:tab/>
        <w:t xml:space="preserve">Gurven, M. </w:t>
      </w:r>
      <w:r w:rsidRPr="002679A8">
        <w:rPr>
          <w:i/>
          <w:iCs/>
          <w:noProof/>
          <w:szCs w:val="24"/>
        </w:rPr>
        <w:t>et al.</w:t>
      </w:r>
      <w:r w:rsidRPr="002679A8">
        <w:rPr>
          <w:noProof/>
          <w:szCs w:val="24"/>
        </w:rPr>
        <w:t xml:space="preserve"> Health costs of reproduction are minimal despite high fertility, mortality and subsistence lifestyle. </w:t>
      </w:r>
      <w:r w:rsidRPr="002679A8">
        <w:rPr>
          <w:i/>
          <w:iCs/>
          <w:noProof/>
          <w:szCs w:val="24"/>
        </w:rPr>
        <w:t>Sci. Rep.</w:t>
      </w:r>
      <w:r w:rsidRPr="002679A8">
        <w:rPr>
          <w:noProof/>
          <w:szCs w:val="24"/>
        </w:rPr>
        <w:t xml:space="preserve"> </w:t>
      </w:r>
      <w:r w:rsidRPr="002679A8">
        <w:rPr>
          <w:b/>
          <w:bCs/>
          <w:noProof/>
          <w:szCs w:val="24"/>
        </w:rPr>
        <w:t>6</w:t>
      </w:r>
      <w:r w:rsidRPr="002679A8">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1D8B1F6B" w:rsidR="005C1705" w:rsidRPr="00DE4B0E" w:rsidRDefault="005C1705" w:rsidP="008406FB">
      <w:pPr>
        <w:shd w:val="clear" w:color="auto" w:fill="FFFFFF"/>
        <w:spacing w:line="480" w:lineRule="auto"/>
        <w:rPr>
          <w:b/>
          <w:bCs/>
        </w:rPr>
        <w:sectPr w:rsidR="005C1705" w:rsidRPr="00DE4B0E" w:rsidSect="008406FB">
          <w:headerReference w:type="default" r:id="rId14"/>
          <w:footerReference w:type="default" r:id="rId15"/>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w:t>
      </w:r>
      <w:r>
        <w:rPr>
          <w:color w:val="000000"/>
        </w:rPr>
        <w:lastRenderedPageBreak/>
        <w:t>premenopausal women (black line) and postmenopausal women (grey line),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r>
        <w:rPr>
          <w:b/>
          <w:bCs/>
        </w:rPr>
        <w:t xml:space="preserve">Figure 4. </w:t>
      </w:r>
    </w:p>
    <w:p w14:paraId="01572C55" w14:textId="77777777" w:rsidR="00693C80" w:rsidRDefault="00693C80" w:rsidP="00693C80">
      <w:pPr>
        <w:shd w:val="clear" w:color="auto" w:fill="FFFFFF"/>
        <w:spacing w:line="480" w:lineRule="auto"/>
        <w:rPr>
          <w:b/>
          <w:bCs/>
        </w:rPr>
      </w:pPr>
    </w:p>
    <w:p w14:paraId="1937277A" w14:textId="07541D29" w:rsidR="00693C80" w:rsidRDefault="00693C80" w:rsidP="00693C80">
      <w:pPr>
        <w:shd w:val="clear" w:color="auto" w:fill="FFFFFF"/>
        <w:spacing w:line="480" w:lineRule="auto"/>
        <w:jc w:val="center"/>
        <w:rPr>
          <w:b/>
          <w:bCs/>
        </w:rPr>
      </w:pPr>
      <w:commentRangeStart w:id="2"/>
      <w:r>
        <w:rPr>
          <w:b/>
          <w:bCs/>
          <w:noProof/>
          <w:color w:val="000000"/>
          <w:bdr w:val="none" w:sz="0" w:space="0" w:color="auto" w:frame="1"/>
        </w:rPr>
        <w:drawing>
          <wp:inline distT="0" distB="0" distL="0" distR="0" wp14:anchorId="3A8BAD42" wp14:editId="3AEE9135">
            <wp:extent cx="6892812" cy="1885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8691" cy="1890295"/>
                    </a:xfrm>
                    <a:prstGeom prst="rect">
                      <a:avLst/>
                    </a:prstGeom>
                    <a:noFill/>
                    <a:ln>
                      <a:noFill/>
                    </a:ln>
                  </pic:spPr>
                </pic:pic>
              </a:graphicData>
            </a:graphic>
          </wp:inline>
        </w:drawing>
      </w:r>
      <w:commentRangeEnd w:id="2"/>
      <w:r w:rsidR="007466FC">
        <w:rPr>
          <w:rStyle w:val="CommentReference"/>
        </w:rPr>
        <w:commentReference w:id="2"/>
      </w:r>
    </w:p>
    <w:p w14:paraId="40EF6903" w14:textId="5B65D60B" w:rsidR="00693C80" w:rsidRDefault="00693C80">
      <w:pPr>
        <w:rPr>
          <w:b/>
          <w:bCs/>
        </w:rPr>
      </w:pPr>
      <w:r>
        <w:rPr>
          <w:b/>
          <w:bCs/>
        </w:rPr>
        <w:br w:type="page"/>
      </w:r>
    </w:p>
    <w:p w14:paraId="463364EA" w14:textId="03FA8264"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rsidR="007466FC">
        <w:t>4,418</w:t>
      </w:r>
      <w:r w:rsidRPr="00405935">
        <w:t xml:space="preserve">), National Health and Nutrition Examination Survey, 1999-2010. </w:t>
      </w:r>
      <w:r w:rsidR="00D72B1F" w:rsidRPr="00595A1F">
        <w:rPr>
          <w:highlight w:val="yellow"/>
        </w:rPr>
        <w:t xml:space="preserve">Means, standard errors (SE), and percentages </w:t>
      </w:r>
      <w:r w:rsidR="00595A1F" w:rsidRPr="00595A1F">
        <w:rPr>
          <w:highlight w:val="yellow"/>
        </w:rPr>
        <w:t xml:space="preserve">represent </w:t>
      </w:r>
      <w:proofErr w:type="gramStart"/>
      <w:r w:rsidR="00595A1F" w:rsidRPr="00595A1F">
        <w:rPr>
          <w:highlight w:val="yellow"/>
        </w:rPr>
        <w:t>nationally-representative</w:t>
      </w:r>
      <w:proofErr w:type="gramEnd"/>
      <w:r w:rsidR="00595A1F" w:rsidRPr="00595A1F">
        <w:rPr>
          <w:highlight w:val="yellow"/>
        </w:rPr>
        <w:t xml:space="preserve"> estimates based on adjustment for complex survey design, survey nonresponse, non-coverage, and complex survey design.</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544"/>
      </w:tblGrid>
      <w:tr w:rsidR="00693C80" w:rsidRPr="00405935" w14:paraId="558912E3" w14:textId="77777777" w:rsidTr="00D72B1F">
        <w:trPr>
          <w:trHeight w:val="19"/>
        </w:trPr>
        <w:tc>
          <w:tcPr>
            <w:tcW w:w="4050" w:type="dxa"/>
            <w:tcBorders>
              <w:top w:val="single" w:sz="4" w:space="0" w:color="auto"/>
            </w:tcBorders>
          </w:tcPr>
          <w:p w14:paraId="42E3A37D" w14:textId="6305CD20" w:rsidR="00693C80" w:rsidRPr="00405935" w:rsidRDefault="00693C80" w:rsidP="00B66627">
            <w:pPr>
              <w:rPr>
                <w:rFonts w:ascii="Arial" w:hAnsi="Arial" w:cs="Arial"/>
              </w:rPr>
            </w:pPr>
            <w:r w:rsidRPr="00405935">
              <w:rPr>
                <w:rFonts w:ascii="Arial" w:hAnsi="Arial" w:cs="Arial"/>
              </w:rPr>
              <w:t>Mean age (SE</w:t>
            </w:r>
            <w:r w:rsidR="000D5CC4">
              <w:rPr>
                <w:rFonts w:ascii="Arial" w:hAnsi="Arial" w:cs="Arial"/>
              </w:rPr>
              <w:t>, range</w:t>
            </w:r>
            <w:r w:rsidRPr="00405935">
              <w:rPr>
                <w:rFonts w:ascii="Arial" w:hAnsi="Arial" w:cs="Arial"/>
              </w:rPr>
              <w:t>)</w:t>
            </w:r>
          </w:p>
        </w:tc>
        <w:tc>
          <w:tcPr>
            <w:tcW w:w="2544" w:type="dxa"/>
            <w:tcBorders>
              <w:top w:val="single" w:sz="4" w:space="0" w:color="auto"/>
            </w:tcBorders>
          </w:tcPr>
          <w:p w14:paraId="3203C428" w14:textId="7A4E0723" w:rsidR="00693C80" w:rsidRPr="00405935" w:rsidRDefault="00D678E6" w:rsidP="00B66627">
            <w:pPr>
              <w:rPr>
                <w:rFonts w:ascii="Arial" w:hAnsi="Arial" w:cs="Arial"/>
              </w:rPr>
            </w:pPr>
            <w:r>
              <w:rPr>
                <w:rFonts w:ascii="Arial" w:hAnsi="Arial" w:cs="Arial"/>
              </w:rPr>
              <w:t>47.51</w:t>
            </w:r>
            <w:r w:rsidR="00693C80" w:rsidRPr="00405935">
              <w:rPr>
                <w:rFonts w:ascii="Arial" w:hAnsi="Arial" w:cs="Arial"/>
              </w:rPr>
              <w:t xml:space="preserve"> (0.</w:t>
            </w:r>
            <w:r>
              <w:rPr>
                <w:rFonts w:ascii="Arial" w:hAnsi="Arial" w:cs="Arial"/>
              </w:rPr>
              <w:t>39</w:t>
            </w:r>
            <w:r w:rsidR="00CD6A6B">
              <w:rPr>
                <w:rFonts w:ascii="Arial" w:hAnsi="Arial" w:cs="Arial"/>
              </w:rPr>
              <w:t>, 20-84</w:t>
            </w:r>
            <w:r w:rsidR="00693C80" w:rsidRPr="00405935">
              <w:rPr>
                <w:rFonts w:ascii="Arial" w:hAnsi="Arial" w:cs="Arial"/>
              </w:rPr>
              <w:t>)</w:t>
            </w:r>
          </w:p>
        </w:tc>
      </w:tr>
      <w:tr w:rsidR="00693C80" w:rsidRPr="00405935" w14:paraId="58C0F318" w14:textId="77777777" w:rsidTr="00D72B1F">
        <w:trPr>
          <w:trHeight w:val="19"/>
        </w:trPr>
        <w:tc>
          <w:tcPr>
            <w:tcW w:w="4050" w:type="dxa"/>
          </w:tcPr>
          <w:p w14:paraId="06A67EF0" w14:textId="0F3363F6" w:rsidR="00693C80" w:rsidRPr="00405935" w:rsidRDefault="00693C80" w:rsidP="00B66627">
            <w:pPr>
              <w:rPr>
                <w:rFonts w:ascii="Arial" w:hAnsi="Arial" w:cs="Arial"/>
              </w:rPr>
            </w:pPr>
            <w:r w:rsidRPr="00405935">
              <w:rPr>
                <w:rFonts w:ascii="Arial" w:hAnsi="Arial" w:cs="Arial"/>
              </w:rPr>
              <w:t>Mean BMI (SE</w:t>
            </w:r>
            <w:r w:rsidR="000D5CC4">
              <w:rPr>
                <w:rFonts w:ascii="Arial" w:hAnsi="Arial" w:cs="Arial"/>
              </w:rPr>
              <w:t>, range</w:t>
            </w:r>
            <w:r w:rsidRPr="00405935">
              <w:rPr>
                <w:rFonts w:ascii="Arial" w:hAnsi="Arial" w:cs="Arial"/>
              </w:rPr>
              <w:t>)</w:t>
            </w:r>
          </w:p>
        </w:tc>
        <w:tc>
          <w:tcPr>
            <w:tcW w:w="2544" w:type="dxa"/>
          </w:tcPr>
          <w:p w14:paraId="3C6062F4" w14:textId="4AEE260B" w:rsidR="00693C80" w:rsidRPr="00405935" w:rsidRDefault="00693C80" w:rsidP="00B66627">
            <w:pPr>
              <w:rPr>
                <w:rFonts w:ascii="Arial" w:hAnsi="Arial" w:cs="Arial"/>
              </w:rPr>
            </w:pPr>
            <w:r w:rsidRPr="00405935">
              <w:rPr>
                <w:rFonts w:ascii="Arial" w:hAnsi="Arial" w:cs="Arial"/>
              </w:rPr>
              <w:t>28.</w:t>
            </w:r>
            <w:r w:rsidR="00D678E6">
              <w:rPr>
                <w:rFonts w:ascii="Arial" w:hAnsi="Arial" w:cs="Arial"/>
              </w:rPr>
              <w:t>56</w:t>
            </w:r>
            <w:r w:rsidRPr="00405935">
              <w:rPr>
                <w:rFonts w:ascii="Arial" w:hAnsi="Arial" w:cs="Arial"/>
              </w:rPr>
              <w:t xml:space="preserve"> (0.</w:t>
            </w:r>
            <w:r w:rsidR="00D678E6">
              <w:rPr>
                <w:rFonts w:ascii="Arial" w:hAnsi="Arial" w:cs="Arial"/>
              </w:rPr>
              <w:t>13</w:t>
            </w:r>
            <w:r w:rsidR="00CD6A6B">
              <w:rPr>
                <w:rFonts w:ascii="Arial" w:hAnsi="Arial" w:cs="Arial"/>
              </w:rPr>
              <w:t>, 14.7-71.3</w:t>
            </w:r>
            <w:r w:rsidRPr="00405935">
              <w:rPr>
                <w:rFonts w:ascii="Arial" w:hAnsi="Arial" w:cs="Arial"/>
              </w:rPr>
              <w:t>)</w:t>
            </w:r>
          </w:p>
        </w:tc>
      </w:tr>
      <w:tr w:rsidR="00693C80" w:rsidRPr="00405935" w14:paraId="55AABB09" w14:textId="77777777" w:rsidTr="00D72B1F">
        <w:trPr>
          <w:trHeight w:val="19"/>
        </w:trPr>
        <w:tc>
          <w:tcPr>
            <w:tcW w:w="4050" w:type="dxa"/>
          </w:tcPr>
          <w:p w14:paraId="7D3AD25B" w14:textId="4C496FE6" w:rsidR="00693C80" w:rsidRPr="00405935" w:rsidRDefault="00693C80" w:rsidP="00B66627">
            <w:pPr>
              <w:rPr>
                <w:rFonts w:ascii="Arial" w:hAnsi="Arial" w:cs="Arial"/>
              </w:rPr>
            </w:pPr>
            <w:r w:rsidRPr="00405935">
              <w:rPr>
                <w:rFonts w:ascii="Arial" w:hAnsi="Arial" w:cs="Arial"/>
              </w:rPr>
              <w:t>Mean FIPR (SE</w:t>
            </w:r>
            <w:r w:rsidR="000D5CC4">
              <w:rPr>
                <w:rFonts w:ascii="Arial" w:hAnsi="Arial" w:cs="Arial"/>
              </w:rPr>
              <w:t>, range</w:t>
            </w:r>
            <w:r w:rsidRPr="00405935">
              <w:rPr>
                <w:rFonts w:ascii="Arial" w:hAnsi="Arial" w:cs="Arial"/>
              </w:rPr>
              <w:t>)</w:t>
            </w:r>
          </w:p>
        </w:tc>
        <w:tc>
          <w:tcPr>
            <w:tcW w:w="2544" w:type="dxa"/>
          </w:tcPr>
          <w:p w14:paraId="54A4E9D0" w14:textId="5ADB5885" w:rsidR="00693C80" w:rsidRPr="00405935" w:rsidRDefault="00693C80" w:rsidP="00B66627">
            <w:pPr>
              <w:rPr>
                <w:rFonts w:ascii="Arial" w:hAnsi="Arial" w:cs="Arial"/>
              </w:rPr>
            </w:pPr>
            <w:r w:rsidRPr="00405935">
              <w:rPr>
                <w:rFonts w:ascii="Arial" w:hAnsi="Arial" w:cs="Arial"/>
              </w:rPr>
              <w:t>2.9</w:t>
            </w:r>
            <w:r w:rsidR="00D678E6">
              <w:rPr>
                <w:rFonts w:ascii="Arial" w:hAnsi="Arial" w:cs="Arial"/>
              </w:rPr>
              <w:t>3</w:t>
            </w:r>
            <w:r w:rsidRPr="00405935">
              <w:rPr>
                <w:rFonts w:ascii="Arial" w:hAnsi="Arial" w:cs="Arial"/>
              </w:rPr>
              <w:t xml:space="preserve"> (0.0</w:t>
            </w:r>
            <w:r w:rsidR="00D678E6">
              <w:rPr>
                <w:rFonts w:ascii="Arial" w:hAnsi="Arial" w:cs="Arial"/>
              </w:rPr>
              <w:t>4</w:t>
            </w:r>
            <w:r w:rsidR="00CD6A6B">
              <w:rPr>
                <w:rFonts w:ascii="Arial" w:hAnsi="Arial" w:cs="Arial"/>
              </w:rPr>
              <w:t>, 0-5</w:t>
            </w:r>
            <w:r w:rsidRPr="00405935">
              <w:rPr>
                <w:rFonts w:ascii="Arial" w:hAnsi="Arial" w:cs="Arial"/>
              </w:rPr>
              <w:t>)</w:t>
            </w:r>
          </w:p>
        </w:tc>
      </w:tr>
      <w:tr w:rsidR="00693C80" w:rsidRPr="00405935" w14:paraId="7AB5949F" w14:textId="77777777" w:rsidTr="00D72B1F">
        <w:trPr>
          <w:trHeight w:val="19"/>
        </w:trPr>
        <w:tc>
          <w:tcPr>
            <w:tcW w:w="4050" w:type="dxa"/>
          </w:tcPr>
          <w:p w14:paraId="11D62662" w14:textId="1475243B" w:rsidR="00693C80" w:rsidRPr="00405935" w:rsidRDefault="00693C80" w:rsidP="00B66627">
            <w:pPr>
              <w:rPr>
                <w:rFonts w:ascii="Arial" w:hAnsi="Arial" w:cs="Arial"/>
              </w:rPr>
            </w:pPr>
            <w:r w:rsidRPr="00405935">
              <w:rPr>
                <w:rFonts w:ascii="Arial" w:hAnsi="Arial" w:cs="Arial"/>
              </w:rPr>
              <w:t>Smoking (</w:t>
            </w:r>
            <w:r w:rsidR="000D5CC4">
              <w:rPr>
                <w:rFonts w:ascii="Arial" w:hAnsi="Arial" w:cs="Arial"/>
              </w:rPr>
              <w:t>n</w:t>
            </w:r>
            <w:r w:rsidRPr="00405935">
              <w:rPr>
                <w:rFonts w:ascii="Arial" w:hAnsi="Arial" w:cs="Arial"/>
              </w:rPr>
              <w:t xml:space="preserve">, </w:t>
            </w:r>
            <w:r w:rsidR="000D5CC4">
              <w:rPr>
                <w:rFonts w:ascii="Arial" w:hAnsi="Arial" w:cs="Arial"/>
              </w:rPr>
              <w:t>%</w:t>
            </w:r>
            <w:r w:rsidRPr="00405935">
              <w:rPr>
                <w:rFonts w:ascii="Arial" w:hAnsi="Arial" w:cs="Arial"/>
              </w:rPr>
              <w:t>)</w:t>
            </w:r>
          </w:p>
        </w:tc>
        <w:tc>
          <w:tcPr>
            <w:tcW w:w="2544" w:type="dxa"/>
          </w:tcPr>
          <w:p w14:paraId="5F8B3678" w14:textId="77777777" w:rsidR="00693C80" w:rsidRPr="00405935" w:rsidRDefault="00693C80" w:rsidP="00B66627">
            <w:pPr>
              <w:rPr>
                <w:rFonts w:ascii="Arial" w:hAnsi="Arial" w:cs="Arial"/>
              </w:rPr>
            </w:pPr>
          </w:p>
        </w:tc>
      </w:tr>
      <w:tr w:rsidR="00693C80" w:rsidRPr="00405935" w14:paraId="0B75DE78" w14:textId="77777777" w:rsidTr="00D72B1F">
        <w:trPr>
          <w:trHeight w:val="19"/>
        </w:trPr>
        <w:tc>
          <w:tcPr>
            <w:tcW w:w="4050"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544" w:type="dxa"/>
          </w:tcPr>
          <w:p w14:paraId="432F5FAA" w14:textId="10AAA117" w:rsidR="00693C80" w:rsidRPr="00405935" w:rsidRDefault="00CD6A6B" w:rsidP="00B66627">
            <w:pPr>
              <w:rPr>
                <w:rFonts w:ascii="Arial" w:hAnsi="Arial" w:cs="Arial"/>
              </w:rPr>
            </w:pPr>
            <w:r>
              <w:rPr>
                <w:rFonts w:ascii="Arial" w:hAnsi="Arial" w:cs="Arial"/>
              </w:rPr>
              <w:t>2645</w:t>
            </w:r>
            <w:r w:rsidR="00693C80" w:rsidRPr="00405935">
              <w:rPr>
                <w:rFonts w:ascii="Arial" w:hAnsi="Arial" w:cs="Arial"/>
              </w:rPr>
              <w:t xml:space="preserve"> (</w:t>
            </w:r>
            <w:r w:rsidR="00D72B1F">
              <w:rPr>
                <w:rFonts w:ascii="Arial" w:hAnsi="Arial" w:cs="Arial"/>
              </w:rPr>
              <w:t>56.3%</w:t>
            </w:r>
            <w:r w:rsidR="00693C80" w:rsidRPr="00405935">
              <w:rPr>
                <w:rFonts w:ascii="Arial" w:hAnsi="Arial" w:cs="Arial"/>
              </w:rPr>
              <w:t>)</w:t>
            </w:r>
          </w:p>
        </w:tc>
      </w:tr>
      <w:tr w:rsidR="00693C80" w:rsidRPr="00405935" w14:paraId="0589D9E2" w14:textId="77777777" w:rsidTr="00D72B1F">
        <w:trPr>
          <w:trHeight w:val="19"/>
        </w:trPr>
        <w:tc>
          <w:tcPr>
            <w:tcW w:w="4050"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544" w:type="dxa"/>
          </w:tcPr>
          <w:p w14:paraId="28D16E86" w14:textId="0FD69F1F" w:rsidR="00693C80" w:rsidRPr="00405935" w:rsidRDefault="00D678E6" w:rsidP="00B66627">
            <w:pPr>
              <w:rPr>
                <w:rFonts w:ascii="Arial" w:hAnsi="Arial" w:cs="Arial"/>
              </w:rPr>
            </w:pPr>
            <w:r>
              <w:rPr>
                <w:rFonts w:ascii="Arial" w:hAnsi="Arial" w:cs="Arial"/>
              </w:rPr>
              <w:t>949</w:t>
            </w:r>
            <w:r w:rsidR="00693C80" w:rsidRPr="00405935">
              <w:rPr>
                <w:rFonts w:ascii="Arial" w:hAnsi="Arial" w:cs="Arial"/>
              </w:rPr>
              <w:t xml:space="preserve"> (</w:t>
            </w:r>
            <w:r>
              <w:rPr>
                <w:rFonts w:ascii="Arial" w:hAnsi="Arial" w:cs="Arial"/>
              </w:rPr>
              <w:t>22.8%</w:t>
            </w:r>
            <w:r w:rsidR="00693C80" w:rsidRPr="00405935">
              <w:rPr>
                <w:rFonts w:ascii="Arial" w:hAnsi="Arial" w:cs="Arial"/>
              </w:rPr>
              <w:t>)</w:t>
            </w:r>
          </w:p>
        </w:tc>
      </w:tr>
      <w:tr w:rsidR="00693C80" w:rsidRPr="00405935" w14:paraId="6DB11D67" w14:textId="77777777" w:rsidTr="00D72B1F">
        <w:trPr>
          <w:trHeight w:val="19"/>
        </w:trPr>
        <w:tc>
          <w:tcPr>
            <w:tcW w:w="4050"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544" w:type="dxa"/>
          </w:tcPr>
          <w:p w14:paraId="69FB6DD3" w14:textId="3A3CC4E9" w:rsidR="00693C80" w:rsidRPr="00405935" w:rsidRDefault="00D678E6" w:rsidP="00B66627">
            <w:pPr>
              <w:rPr>
                <w:rFonts w:ascii="Arial" w:hAnsi="Arial" w:cs="Arial"/>
              </w:rPr>
            </w:pPr>
            <w:r>
              <w:rPr>
                <w:rFonts w:ascii="Arial" w:hAnsi="Arial" w:cs="Arial"/>
              </w:rPr>
              <w:t>824</w:t>
            </w:r>
            <w:r w:rsidR="00693C80" w:rsidRPr="00405935">
              <w:rPr>
                <w:rFonts w:ascii="Arial" w:hAnsi="Arial" w:cs="Arial"/>
              </w:rPr>
              <w:t xml:space="preserve"> (</w:t>
            </w:r>
            <w:r>
              <w:rPr>
                <w:rFonts w:ascii="Arial" w:hAnsi="Arial" w:cs="Arial"/>
              </w:rPr>
              <w:t>20.8%</w:t>
            </w:r>
            <w:r w:rsidR="00693C80" w:rsidRPr="00405935">
              <w:rPr>
                <w:rFonts w:ascii="Arial" w:hAnsi="Arial" w:cs="Arial"/>
              </w:rPr>
              <w:t>)</w:t>
            </w:r>
          </w:p>
        </w:tc>
      </w:tr>
      <w:tr w:rsidR="00693C80" w:rsidRPr="00405935" w14:paraId="2F8FB32C" w14:textId="77777777" w:rsidTr="00D72B1F">
        <w:trPr>
          <w:trHeight w:val="19"/>
        </w:trPr>
        <w:tc>
          <w:tcPr>
            <w:tcW w:w="4050" w:type="dxa"/>
          </w:tcPr>
          <w:p w14:paraId="3EC1EBE2" w14:textId="03CC1CA9" w:rsidR="00693C80" w:rsidRPr="00595A1F" w:rsidRDefault="00693C80" w:rsidP="00B66627">
            <w:pPr>
              <w:rPr>
                <w:rFonts w:ascii="Arial" w:hAnsi="Arial" w:cs="Arial"/>
                <w:highlight w:val="magenta"/>
              </w:rPr>
            </w:pPr>
            <w:r w:rsidRPr="00595A1F">
              <w:rPr>
                <w:rFonts w:ascii="Arial" w:hAnsi="Arial" w:cs="Arial"/>
                <w:highlight w:val="magenta"/>
              </w:rPr>
              <w:t xml:space="preserve">Education </w:t>
            </w:r>
            <w:r w:rsidR="000D5CC4" w:rsidRPr="00595A1F">
              <w:rPr>
                <w:rFonts w:ascii="Arial" w:hAnsi="Arial" w:cs="Arial"/>
                <w:highlight w:val="magenta"/>
              </w:rPr>
              <w:t>(n, %)</w:t>
            </w:r>
          </w:p>
        </w:tc>
        <w:tc>
          <w:tcPr>
            <w:tcW w:w="2544" w:type="dxa"/>
          </w:tcPr>
          <w:p w14:paraId="3083137F" w14:textId="77777777" w:rsidR="00693C80" w:rsidRPr="00595A1F" w:rsidRDefault="00693C80" w:rsidP="00B66627">
            <w:pPr>
              <w:rPr>
                <w:rFonts w:ascii="Arial" w:hAnsi="Arial" w:cs="Arial"/>
                <w:highlight w:val="magenta"/>
              </w:rPr>
            </w:pPr>
          </w:p>
        </w:tc>
      </w:tr>
      <w:tr w:rsidR="00693C80" w:rsidRPr="00405935" w14:paraId="374E4D7B" w14:textId="77777777" w:rsidTr="00D72B1F">
        <w:trPr>
          <w:trHeight w:val="19"/>
        </w:trPr>
        <w:tc>
          <w:tcPr>
            <w:tcW w:w="4050" w:type="dxa"/>
          </w:tcPr>
          <w:p w14:paraId="36D97620"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Less than high school</w:t>
            </w:r>
          </w:p>
        </w:tc>
        <w:tc>
          <w:tcPr>
            <w:tcW w:w="2544" w:type="dxa"/>
          </w:tcPr>
          <w:p w14:paraId="4F958CFB" w14:textId="2B7DE293" w:rsidR="00693C80" w:rsidRPr="00595A1F" w:rsidRDefault="00D678E6" w:rsidP="00B66627">
            <w:pPr>
              <w:rPr>
                <w:rFonts w:ascii="Arial" w:hAnsi="Arial" w:cs="Arial"/>
                <w:highlight w:val="magenta"/>
              </w:rPr>
            </w:pPr>
            <w:r w:rsidRPr="00595A1F">
              <w:rPr>
                <w:rFonts w:ascii="Arial" w:hAnsi="Arial" w:cs="Arial"/>
                <w:highlight w:val="magenta"/>
              </w:rPr>
              <w:t>1171</w:t>
            </w:r>
            <w:r w:rsidR="00693C80" w:rsidRPr="00595A1F">
              <w:rPr>
                <w:rFonts w:ascii="Arial" w:hAnsi="Arial" w:cs="Arial"/>
                <w:highlight w:val="magenta"/>
              </w:rPr>
              <w:t xml:space="preserve"> (</w:t>
            </w:r>
            <w:r w:rsidR="00D72B1F" w:rsidRPr="00595A1F">
              <w:rPr>
                <w:rFonts w:ascii="Arial" w:hAnsi="Arial" w:cs="Arial"/>
                <w:highlight w:val="magenta"/>
              </w:rPr>
              <w:t>24.0%</w:t>
            </w:r>
            <w:r w:rsidR="00693C80" w:rsidRPr="00595A1F">
              <w:rPr>
                <w:rFonts w:ascii="Arial" w:hAnsi="Arial" w:cs="Arial"/>
                <w:highlight w:val="magenta"/>
              </w:rPr>
              <w:t>)</w:t>
            </w:r>
          </w:p>
        </w:tc>
      </w:tr>
      <w:tr w:rsidR="00693C80" w:rsidRPr="00405935" w14:paraId="5D745BB6" w14:textId="77777777" w:rsidTr="00D72B1F">
        <w:trPr>
          <w:trHeight w:val="19"/>
        </w:trPr>
        <w:tc>
          <w:tcPr>
            <w:tcW w:w="4050" w:type="dxa"/>
          </w:tcPr>
          <w:p w14:paraId="51FF286C"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High school or equivalent</w:t>
            </w:r>
          </w:p>
        </w:tc>
        <w:tc>
          <w:tcPr>
            <w:tcW w:w="2544" w:type="dxa"/>
          </w:tcPr>
          <w:p w14:paraId="44BE8EAD" w14:textId="1A4FA077" w:rsidR="00693C80" w:rsidRPr="00595A1F" w:rsidRDefault="00D678E6" w:rsidP="00B66627">
            <w:pPr>
              <w:rPr>
                <w:rFonts w:ascii="Arial" w:hAnsi="Arial" w:cs="Arial"/>
                <w:highlight w:val="magenta"/>
              </w:rPr>
            </w:pPr>
            <w:r w:rsidRPr="00595A1F">
              <w:rPr>
                <w:rFonts w:ascii="Arial" w:hAnsi="Arial" w:cs="Arial"/>
                <w:highlight w:val="magenta"/>
              </w:rPr>
              <w:t>1082</w:t>
            </w:r>
            <w:r w:rsidR="00693C80" w:rsidRPr="00595A1F">
              <w:rPr>
                <w:rFonts w:ascii="Arial" w:hAnsi="Arial" w:cs="Arial"/>
                <w:highlight w:val="magenta"/>
              </w:rPr>
              <w:t xml:space="preserve"> (</w:t>
            </w:r>
            <w:r w:rsidR="00D72B1F" w:rsidRPr="00595A1F">
              <w:rPr>
                <w:rFonts w:ascii="Arial" w:hAnsi="Arial" w:cs="Arial"/>
                <w:highlight w:val="magenta"/>
              </w:rPr>
              <w:t>17.6%</w:t>
            </w:r>
            <w:r w:rsidR="00693C80" w:rsidRPr="00595A1F">
              <w:rPr>
                <w:rFonts w:ascii="Arial" w:hAnsi="Arial" w:cs="Arial"/>
                <w:highlight w:val="magenta"/>
              </w:rPr>
              <w:t>)</w:t>
            </w:r>
          </w:p>
        </w:tc>
      </w:tr>
      <w:tr w:rsidR="00693C80" w:rsidRPr="00405935" w14:paraId="0C0C7868" w14:textId="77777777" w:rsidTr="00D72B1F">
        <w:trPr>
          <w:trHeight w:val="19"/>
        </w:trPr>
        <w:tc>
          <w:tcPr>
            <w:tcW w:w="4050" w:type="dxa"/>
          </w:tcPr>
          <w:p w14:paraId="53EF3F4A"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Some college or AA degree</w:t>
            </w:r>
          </w:p>
        </w:tc>
        <w:tc>
          <w:tcPr>
            <w:tcW w:w="2544" w:type="dxa"/>
          </w:tcPr>
          <w:p w14:paraId="1C5BE27C" w14:textId="6D21E6F8" w:rsidR="00693C80" w:rsidRPr="00595A1F" w:rsidRDefault="00D678E6" w:rsidP="00B66627">
            <w:pPr>
              <w:rPr>
                <w:rFonts w:ascii="Arial" w:hAnsi="Arial" w:cs="Arial"/>
                <w:highlight w:val="magenta"/>
              </w:rPr>
            </w:pPr>
            <w:r w:rsidRPr="00595A1F">
              <w:rPr>
                <w:rFonts w:ascii="Arial" w:hAnsi="Arial" w:cs="Arial"/>
                <w:highlight w:val="magenta"/>
              </w:rPr>
              <w:t>1337</w:t>
            </w:r>
            <w:r w:rsidR="00693C80" w:rsidRPr="00595A1F">
              <w:rPr>
                <w:rFonts w:ascii="Arial" w:hAnsi="Arial" w:cs="Arial"/>
                <w:highlight w:val="magenta"/>
              </w:rPr>
              <w:t xml:space="preserve"> (</w:t>
            </w:r>
            <w:r w:rsidR="00D72B1F" w:rsidRPr="00595A1F">
              <w:rPr>
                <w:rFonts w:ascii="Arial" w:hAnsi="Arial" w:cs="Arial"/>
                <w:highlight w:val="magenta"/>
              </w:rPr>
              <w:t>25.4%</w:t>
            </w:r>
            <w:r w:rsidR="00693C80" w:rsidRPr="00595A1F">
              <w:rPr>
                <w:rFonts w:ascii="Arial" w:hAnsi="Arial" w:cs="Arial"/>
                <w:highlight w:val="magenta"/>
              </w:rPr>
              <w:t>)</w:t>
            </w:r>
          </w:p>
        </w:tc>
      </w:tr>
      <w:tr w:rsidR="00693C80" w:rsidRPr="00405935" w14:paraId="7EE1536C" w14:textId="77777777" w:rsidTr="00D72B1F">
        <w:trPr>
          <w:trHeight w:val="19"/>
        </w:trPr>
        <w:tc>
          <w:tcPr>
            <w:tcW w:w="4050" w:type="dxa"/>
          </w:tcPr>
          <w:p w14:paraId="5573DA96" w14:textId="77777777" w:rsidR="00693C80" w:rsidRPr="00595A1F" w:rsidRDefault="00693C80" w:rsidP="00B66627">
            <w:pPr>
              <w:ind w:firstLine="340"/>
              <w:rPr>
                <w:rFonts w:ascii="Arial" w:hAnsi="Arial" w:cs="Arial"/>
                <w:highlight w:val="magenta"/>
              </w:rPr>
            </w:pPr>
            <w:commentRangeStart w:id="3"/>
            <w:r w:rsidRPr="00595A1F">
              <w:rPr>
                <w:rFonts w:ascii="Arial" w:hAnsi="Arial" w:cs="Arial"/>
                <w:highlight w:val="magenta"/>
              </w:rPr>
              <w:t>College graduate or above</w:t>
            </w:r>
          </w:p>
        </w:tc>
        <w:tc>
          <w:tcPr>
            <w:tcW w:w="2544" w:type="dxa"/>
          </w:tcPr>
          <w:p w14:paraId="58959E28" w14:textId="019ED591" w:rsidR="00693C80" w:rsidRPr="00595A1F" w:rsidRDefault="00D678E6" w:rsidP="00B66627">
            <w:pPr>
              <w:rPr>
                <w:rFonts w:ascii="Arial" w:hAnsi="Arial" w:cs="Arial"/>
                <w:highlight w:val="magenta"/>
              </w:rPr>
            </w:pPr>
            <w:r w:rsidRPr="00595A1F">
              <w:rPr>
                <w:rFonts w:ascii="Arial" w:hAnsi="Arial" w:cs="Arial"/>
                <w:highlight w:val="magenta"/>
              </w:rPr>
              <w:t>828</w:t>
            </w:r>
            <w:r w:rsidR="00693C80" w:rsidRPr="00595A1F">
              <w:rPr>
                <w:rFonts w:ascii="Arial" w:hAnsi="Arial" w:cs="Arial"/>
                <w:highlight w:val="magenta"/>
              </w:rPr>
              <w:t xml:space="preserve"> (</w:t>
            </w:r>
            <w:r w:rsidR="00D72B1F" w:rsidRPr="00595A1F">
              <w:rPr>
                <w:rFonts w:ascii="Arial" w:hAnsi="Arial" w:cs="Arial"/>
                <w:highlight w:val="magenta"/>
              </w:rPr>
              <w:t>33.0%</w:t>
            </w:r>
            <w:r w:rsidR="00693C80" w:rsidRPr="00595A1F">
              <w:rPr>
                <w:rFonts w:ascii="Arial" w:hAnsi="Arial" w:cs="Arial"/>
                <w:highlight w:val="magenta"/>
              </w:rPr>
              <w:t>)</w:t>
            </w:r>
            <w:commentRangeEnd w:id="3"/>
            <w:r w:rsidR="00D72B1F" w:rsidRPr="00595A1F">
              <w:rPr>
                <w:rStyle w:val="CommentReference"/>
                <w:rFonts w:ascii="Arial" w:eastAsia="Arial" w:hAnsi="Arial" w:cs="Arial"/>
                <w:highlight w:val="magenta"/>
                <w:lang w:val="en"/>
              </w:rPr>
              <w:commentReference w:id="3"/>
            </w:r>
          </w:p>
        </w:tc>
      </w:tr>
      <w:tr w:rsidR="00693C80" w:rsidRPr="00405935" w14:paraId="4461944E" w14:textId="77777777" w:rsidTr="00D72B1F">
        <w:trPr>
          <w:trHeight w:val="19"/>
        </w:trPr>
        <w:tc>
          <w:tcPr>
            <w:tcW w:w="4050" w:type="dxa"/>
          </w:tcPr>
          <w:p w14:paraId="254A4FD8" w14:textId="2BC512B6" w:rsidR="00693C80" w:rsidRPr="00405935" w:rsidRDefault="00693C80" w:rsidP="00B66627">
            <w:pPr>
              <w:rPr>
                <w:rFonts w:ascii="Arial" w:hAnsi="Arial" w:cs="Arial"/>
              </w:rPr>
            </w:pPr>
            <w:r w:rsidRPr="00405935">
              <w:rPr>
                <w:rFonts w:ascii="Arial" w:hAnsi="Arial" w:cs="Arial"/>
              </w:rPr>
              <w:t xml:space="preserve">Race/ethnicity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2EE5E3D1" w14:textId="77777777" w:rsidR="00693C80" w:rsidRPr="00405935" w:rsidRDefault="00693C80" w:rsidP="00B66627">
            <w:pPr>
              <w:rPr>
                <w:rFonts w:ascii="Arial" w:hAnsi="Arial" w:cs="Arial"/>
              </w:rPr>
            </w:pPr>
          </w:p>
        </w:tc>
      </w:tr>
      <w:tr w:rsidR="00693C80" w:rsidRPr="00405935" w14:paraId="4E42124B" w14:textId="77777777" w:rsidTr="00D72B1F">
        <w:trPr>
          <w:trHeight w:val="19"/>
        </w:trPr>
        <w:tc>
          <w:tcPr>
            <w:tcW w:w="4050"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544" w:type="dxa"/>
          </w:tcPr>
          <w:p w14:paraId="3CCE37DE" w14:textId="07DDE59C" w:rsidR="00693C80" w:rsidRPr="00405935" w:rsidRDefault="00D678E6" w:rsidP="00B66627">
            <w:pPr>
              <w:rPr>
                <w:rFonts w:ascii="Arial" w:hAnsi="Arial" w:cs="Arial"/>
              </w:rPr>
            </w:pPr>
            <w:r>
              <w:rPr>
                <w:rFonts w:ascii="Arial" w:hAnsi="Arial" w:cs="Arial"/>
              </w:rPr>
              <w:t>2316</w:t>
            </w:r>
            <w:r w:rsidR="00693C80" w:rsidRPr="00405935">
              <w:rPr>
                <w:rFonts w:ascii="Arial" w:hAnsi="Arial" w:cs="Arial"/>
              </w:rPr>
              <w:t xml:space="preserve"> (</w:t>
            </w:r>
            <w:r>
              <w:rPr>
                <w:rFonts w:ascii="Arial" w:hAnsi="Arial" w:cs="Arial"/>
              </w:rPr>
              <w:t>73.9%</w:t>
            </w:r>
            <w:r w:rsidR="00693C80" w:rsidRPr="00405935">
              <w:rPr>
                <w:rFonts w:ascii="Arial" w:hAnsi="Arial" w:cs="Arial"/>
              </w:rPr>
              <w:t>)</w:t>
            </w:r>
          </w:p>
        </w:tc>
      </w:tr>
      <w:tr w:rsidR="00693C80" w:rsidRPr="00405935" w14:paraId="22CA4F94" w14:textId="77777777" w:rsidTr="00D72B1F">
        <w:trPr>
          <w:trHeight w:val="19"/>
        </w:trPr>
        <w:tc>
          <w:tcPr>
            <w:tcW w:w="4050"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544" w:type="dxa"/>
          </w:tcPr>
          <w:p w14:paraId="2F672384" w14:textId="1E21123B" w:rsidR="00693C80" w:rsidRPr="00405935" w:rsidRDefault="00D678E6" w:rsidP="00B66627">
            <w:pPr>
              <w:rPr>
                <w:rFonts w:ascii="Arial" w:hAnsi="Arial" w:cs="Arial"/>
              </w:rPr>
            </w:pPr>
            <w:r>
              <w:rPr>
                <w:rFonts w:ascii="Arial" w:hAnsi="Arial" w:cs="Arial"/>
              </w:rPr>
              <w:t>841</w:t>
            </w:r>
            <w:r w:rsidR="00693C80" w:rsidRPr="00405935">
              <w:rPr>
                <w:rFonts w:ascii="Arial" w:hAnsi="Arial" w:cs="Arial"/>
              </w:rPr>
              <w:t xml:space="preserve"> (</w:t>
            </w:r>
            <w:r>
              <w:rPr>
                <w:rFonts w:ascii="Arial" w:hAnsi="Arial" w:cs="Arial"/>
              </w:rPr>
              <w:t>10.6%)</w:t>
            </w:r>
          </w:p>
        </w:tc>
      </w:tr>
      <w:tr w:rsidR="00693C80" w:rsidRPr="00405935" w14:paraId="372606A0" w14:textId="77777777" w:rsidTr="00D72B1F">
        <w:trPr>
          <w:trHeight w:val="19"/>
        </w:trPr>
        <w:tc>
          <w:tcPr>
            <w:tcW w:w="4050"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544" w:type="dxa"/>
          </w:tcPr>
          <w:p w14:paraId="44E242B6" w14:textId="55F0236F" w:rsidR="00693C80" w:rsidRPr="00405935" w:rsidRDefault="00D678E6" w:rsidP="00B66627">
            <w:pPr>
              <w:rPr>
                <w:rFonts w:ascii="Arial" w:hAnsi="Arial" w:cs="Arial"/>
              </w:rPr>
            </w:pPr>
            <w:r>
              <w:rPr>
                <w:rFonts w:ascii="Arial" w:hAnsi="Arial" w:cs="Arial"/>
              </w:rPr>
              <w:t>1114</w:t>
            </w:r>
            <w:r w:rsidR="00693C80" w:rsidRPr="00405935">
              <w:rPr>
                <w:rFonts w:ascii="Arial" w:hAnsi="Arial" w:cs="Arial"/>
              </w:rPr>
              <w:t xml:space="preserve"> (</w:t>
            </w:r>
            <w:r>
              <w:rPr>
                <w:rFonts w:ascii="Arial" w:hAnsi="Arial" w:cs="Arial"/>
              </w:rPr>
              <w:t>11.4%</w:t>
            </w:r>
            <w:r w:rsidR="00693C80" w:rsidRPr="00405935">
              <w:rPr>
                <w:rFonts w:ascii="Arial" w:hAnsi="Arial" w:cs="Arial"/>
              </w:rPr>
              <w:t>)</w:t>
            </w:r>
          </w:p>
        </w:tc>
      </w:tr>
      <w:tr w:rsidR="00693C80" w:rsidRPr="00405935" w14:paraId="3C395112" w14:textId="77777777" w:rsidTr="00D72B1F">
        <w:trPr>
          <w:trHeight w:val="19"/>
        </w:trPr>
        <w:tc>
          <w:tcPr>
            <w:tcW w:w="4050"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544" w:type="dxa"/>
          </w:tcPr>
          <w:p w14:paraId="47BD1772" w14:textId="1DA96AA7" w:rsidR="00693C80" w:rsidRPr="00405935" w:rsidRDefault="00D678E6" w:rsidP="00B66627">
            <w:pPr>
              <w:rPr>
                <w:rFonts w:ascii="Arial" w:hAnsi="Arial" w:cs="Arial"/>
              </w:rPr>
            </w:pPr>
            <w:r>
              <w:rPr>
                <w:rFonts w:ascii="Arial" w:hAnsi="Arial" w:cs="Arial"/>
              </w:rPr>
              <w:t>147</w:t>
            </w:r>
            <w:r w:rsidR="00693C80" w:rsidRPr="00405935">
              <w:rPr>
                <w:rFonts w:ascii="Arial" w:hAnsi="Arial" w:cs="Arial"/>
              </w:rPr>
              <w:t xml:space="preserve"> (</w:t>
            </w:r>
            <w:r>
              <w:rPr>
                <w:rFonts w:ascii="Arial" w:hAnsi="Arial" w:cs="Arial"/>
              </w:rPr>
              <w:t>4.15%</w:t>
            </w:r>
            <w:r w:rsidR="00693C80" w:rsidRPr="00405935">
              <w:rPr>
                <w:rFonts w:ascii="Arial" w:hAnsi="Arial" w:cs="Arial"/>
              </w:rPr>
              <w:t>)</w:t>
            </w:r>
          </w:p>
        </w:tc>
      </w:tr>
      <w:tr w:rsidR="00693C80" w:rsidRPr="00405935" w14:paraId="3101F953" w14:textId="77777777" w:rsidTr="00D72B1F">
        <w:trPr>
          <w:trHeight w:val="19"/>
        </w:trPr>
        <w:tc>
          <w:tcPr>
            <w:tcW w:w="4050" w:type="dxa"/>
          </w:tcPr>
          <w:p w14:paraId="7DE80583" w14:textId="37444F19" w:rsidR="00693C80" w:rsidRPr="00405935" w:rsidRDefault="00693C80" w:rsidP="00B66627">
            <w:pPr>
              <w:rPr>
                <w:rFonts w:ascii="Arial" w:hAnsi="Arial" w:cs="Arial"/>
              </w:rPr>
            </w:pPr>
            <w:r w:rsidRPr="00405935">
              <w:rPr>
                <w:rFonts w:ascii="Arial" w:hAnsi="Arial" w:cs="Arial"/>
              </w:rPr>
              <w:t xml:space="preserve">Menopause status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49287AF6" w14:textId="77777777" w:rsidR="00693C80" w:rsidRPr="00405935" w:rsidRDefault="00693C80" w:rsidP="00B66627">
            <w:pPr>
              <w:rPr>
                <w:rFonts w:ascii="Arial" w:hAnsi="Arial" w:cs="Arial"/>
              </w:rPr>
            </w:pPr>
          </w:p>
        </w:tc>
      </w:tr>
      <w:tr w:rsidR="00693C80" w:rsidRPr="00405935" w14:paraId="39E566A6" w14:textId="77777777" w:rsidTr="00D72B1F">
        <w:trPr>
          <w:trHeight w:val="19"/>
        </w:trPr>
        <w:tc>
          <w:tcPr>
            <w:tcW w:w="4050"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544" w:type="dxa"/>
          </w:tcPr>
          <w:p w14:paraId="667537AA" w14:textId="2709046C" w:rsidR="00693C80" w:rsidRPr="00405935" w:rsidRDefault="00D678E6" w:rsidP="00B66627">
            <w:pPr>
              <w:rPr>
                <w:rFonts w:ascii="Arial" w:hAnsi="Arial" w:cs="Arial"/>
              </w:rPr>
            </w:pPr>
            <w:r>
              <w:rPr>
                <w:rFonts w:ascii="Arial" w:hAnsi="Arial" w:cs="Arial"/>
              </w:rPr>
              <w:t>2166</w:t>
            </w:r>
            <w:r w:rsidR="00693C80" w:rsidRPr="00405935">
              <w:rPr>
                <w:rFonts w:ascii="Arial" w:hAnsi="Arial" w:cs="Arial"/>
              </w:rPr>
              <w:t xml:space="preserve"> (</w:t>
            </w:r>
            <w:r w:rsidR="00D72B1F">
              <w:rPr>
                <w:rFonts w:ascii="Arial" w:hAnsi="Arial" w:cs="Arial"/>
              </w:rPr>
              <w:t>55.9%</w:t>
            </w:r>
            <w:r w:rsidR="00693C80" w:rsidRPr="00405935">
              <w:rPr>
                <w:rFonts w:ascii="Arial" w:hAnsi="Arial" w:cs="Arial"/>
              </w:rPr>
              <w:t>)</w:t>
            </w:r>
          </w:p>
        </w:tc>
      </w:tr>
      <w:tr w:rsidR="00693C80" w:rsidRPr="00405935" w14:paraId="33DADDAD" w14:textId="77777777" w:rsidTr="00D72B1F">
        <w:trPr>
          <w:trHeight w:val="19"/>
        </w:trPr>
        <w:tc>
          <w:tcPr>
            <w:tcW w:w="4050"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544" w:type="dxa"/>
          </w:tcPr>
          <w:p w14:paraId="7D57FEE7" w14:textId="1FD59C61" w:rsidR="00693C80" w:rsidRPr="00405935" w:rsidRDefault="00D678E6" w:rsidP="00B66627">
            <w:pPr>
              <w:rPr>
                <w:rFonts w:ascii="Arial" w:hAnsi="Arial" w:cs="Arial"/>
              </w:rPr>
            </w:pPr>
            <w:r>
              <w:rPr>
                <w:rFonts w:ascii="Arial" w:hAnsi="Arial" w:cs="Arial"/>
              </w:rPr>
              <w:t>2252</w:t>
            </w:r>
            <w:r w:rsidR="00693C80" w:rsidRPr="00405935">
              <w:rPr>
                <w:rFonts w:ascii="Arial" w:hAnsi="Arial" w:cs="Arial"/>
              </w:rPr>
              <w:t xml:space="preserve"> (</w:t>
            </w:r>
            <w:r w:rsidR="00D72B1F">
              <w:rPr>
                <w:rFonts w:ascii="Arial" w:hAnsi="Arial" w:cs="Arial"/>
              </w:rPr>
              <w:t>44.1%</w:t>
            </w:r>
            <w:r w:rsidR="00693C80" w:rsidRPr="00405935">
              <w:rPr>
                <w:rFonts w:ascii="Arial" w:hAnsi="Arial" w:cs="Arial"/>
              </w:rPr>
              <w:t>)</w:t>
            </w:r>
          </w:p>
        </w:tc>
      </w:tr>
      <w:tr w:rsidR="00693C80" w:rsidRPr="00405935" w14:paraId="27DC60A9" w14:textId="77777777" w:rsidTr="00D72B1F">
        <w:trPr>
          <w:trHeight w:val="19"/>
        </w:trPr>
        <w:tc>
          <w:tcPr>
            <w:tcW w:w="4050" w:type="dxa"/>
          </w:tcPr>
          <w:p w14:paraId="6E771621" w14:textId="3A70DD7D" w:rsidR="00693C80" w:rsidRPr="00405935" w:rsidRDefault="00693C80" w:rsidP="00B66627">
            <w:pPr>
              <w:rPr>
                <w:rFonts w:ascii="Arial" w:hAnsi="Arial" w:cs="Arial"/>
              </w:rPr>
            </w:pPr>
            <w:r w:rsidRPr="00405935">
              <w:rPr>
                <w:rFonts w:ascii="Arial" w:hAnsi="Arial" w:cs="Arial"/>
              </w:rPr>
              <w:t>Mean number of live births (SE</w:t>
            </w:r>
            <w:r w:rsidR="000D5CC4">
              <w:rPr>
                <w:rFonts w:ascii="Arial" w:hAnsi="Arial" w:cs="Arial"/>
              </w:rPr>
              <w:t>, range</w:t>
            </w:r>
            <w:r w:rsidRPr="00405935">
              <w:rPr>
                <w:rFonts w:ascii="Arial" w:hAnsi="Arial" w:cs="Arial"/>
              </w:rPr>
              <w:t>)</w:t>
            </w:r>
          </w:p>
        </w:tc>
        <w:tc>
          <w:tcPr>
            <w:tcW w:w="2544" w:type="dxa"/>
          </w:tcPr>
          <w:p w14:paraId="6998D97C" w14:textId="346DBB83" w:rsidR="00693C80" w:rsidRPr="00405935" w:rsidRDefault="00D678E6" w:rsidP="00B66627">
            <w:pPr>
              <w:rPr>
                <w:rFonts w:ascii="Arial" w:hAnsi="Arial" w:cs="Arial"/>
              </w:rPr>
            </w:pPr>
            <w:r>
              <w:rPr>
                <w:rFonts w:ascii="Arial" w:hAnsi="Arial" w:cs="Arial"/>
              </w:rPr>
              <w:t>2.03</w:t>
            </w:r>
            <w:r w:rsidR="00693C80" w:rsidRPr="00405935">
              <w:rPr>
                <w:rFonts w:ascii="Arial" w:hAnsi="Arial" w:cs="Arial"/>
              </w:rPr>
              <w:t xml:space="preserve"> (</w:t>
            </w:r>
            <w:r>
              <w:rPr>
                <w:rFonts w:ascii="Arial" w:hAnsi="Arial" w:cs="Arial"/>
              </w:rPr>
              <w:t>0.04</w:t>
            </w:r>
            <w:r w:rsidR="00CD6A6B">
              <w:rPr>
                <w:rFonts w:ascii="Arial" w:hAnsi="Arial" w:cs="Arial"/>
              </w:rPr>
              <w:t>, 0-7</w:t>
            </w:r>
            <w:r w:rsidR="00693C80" w:rsidRPr="00405935">
              <w:rPr>
                <w:rFonts w:ascii="Arial" w:hAnsi="Arial" w:cs="Arial"/>
              </w:rPr>
              <w:t>)</w:t>
            </w:r>
          </w:p>
        </w:tc>
      </w:tr>
      <w:tr w:rsidR="00693C80" w:rsidRPr="00405935" w14:paraId="3D1534E6" w14:textId="77777777" w:rsidTr="00D72B1F">
        <w:trPr>
          <w:trHeight w:val="19"/>
        </w:trPr>
        <w:tc>
          <w:tcPr>
            <w:tcW w:w="4050" w:type="dxa"/>
          </w:tcPr>
          <w:p w14:paraId="4C74FB7A" w14:textId="1519ECEC" w:rsidR="00693C80" w:rsidRPr="00405935" w:rsidRDefault="00693C80" w:rsidP="00B66627">
            <w:pPr>
              <w:rPr>
                <w:rFonts w:ascii="Arial" w:hAnsi="Arial" w:cs="Arial"/>
              </w:rPr>
            </w:pPr>
            <w:r w:rsidRPr="00405935">
              <w:rPr>
                <w:rFonts w:ascii="Arial" w:hAnsi="Arial" w:cs="Arial"/>
              </w:rPr>
              <w:t>Ever-parity (</w:t>
            </w:r>
            <w:r w:rsidR="00CD6A6B">
              <w:rPr>
                <w:rFonts w:ascii="Arial" w:hAnsi="Arial" w:cs="Arial"/>
              </w:rPr>
              <w:t>n</w:t>
            </w:r>
            <w:r w:rsidRPr="00405935">
              <w:rPr>
                <w:rFonts w:ascii="Arial" w:hAnsi="Arial" w:cs="Arial"/>
              </w:rPr>
              <w:t xml:space="preserve">, </w:t>
            </w:r>
            <w:r w:rsidR="00CD6A6B">
              <w:rPr>
                <w:rFonts w:ascii="Arial" w:hAnsi="Arial" w:cs="Arial"/>
              </w:rPr>
              <w:t>%</w:t>
            </w:r>
            <w:r w:rsidRPr="00405935">
              <w:rPr>
                <w:rFonts w:ascii="Arial" w:hAnsi="Arial" w:cs="Arial"/>
              </w:rPr>
              <w:t>)</w:t>
            </w:r>
          </w:p>
        </w:tc>
        <w:tc>
          <w:tcPr>
            <w:tcW w:w="2544" w:type="dxa"/>
          </w:tcPr>
          <w:p w14:paraId="3EE0471F" w14:textId="77777777" w:rsidR="00693C80" w:rsidRPr="00405935" w:rsidRDefault="00693C80" w:rsidP="00B66627">
            <w:pPr>
              <w:rPr>
                <w:rFonts w:ascii="Arial" w:hAnsi="Arial" w:cs="Arial"/>
              </w:rPr>
            </w:pPr>
          </w:p>
        </w:tc>
      </w:tr>
      <w:tr w:rsidR="00693C80" w:rsidRPr="00405935" w14:paraId="4F8D54E0" w14:textId="77777777" w:rsidTr="00D72B1F">
        <w:trPr>
          <w:trHeight w:val="19"/>
        </w:trPr>
        <w:tc>
          <w:tcPr>
            <w:tcW w:w="4050"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544" w:type="dxa"/>
          </w:tcPr>
          <w:p w14:paraId="66CFDE3A" w14:textId="67866D0E" w:rsidR="00693C80" w:rsidRPr="00405935" w:rsidRDefault="00D678E6" w:rsidP="00B66627">
            <w:pPr>
              <w:rPr>
                <w:rFonts w:ascii="Arial" w:hAnsi="Arial" w:cs="Arial"/>
              </w:rPr>
            </w:pPr>
            <w:r>
              <w:rPr>
                <w:rFonts w:ascii="Arial" w:hAnsi="Arial" w:cs="Arial"/>
              </w:rPr>
              <w:t>771</w:t>
            </w:r>
            <w:r w:rsidR="00693C80" w:rsidRPr="00405935">
              <w:rPr>
                <w:rFonts w:ascii="Arial" w:hAnsi="Arial" w:cs="Arial"/>
              </w:rPr>
              <w:t xml:space="preserve"> (</w:t>
            </w:r>
            <w:r>
              <w:rPr>
                <w:rFonts w:ascii="Arial" w:hAnsi="Arial" w:cs="Arial"/>
              </w:rPr>
              <w:t>20.3%</w:t>
            </w:r>
            <w:r w:rsidR="00693C80" w:rsidRPr="00405935">
              <w:rPr>
                <w:rFonts w:ascii="Arial" w:hAnsi="Arial" w:cs="Arial"/>
              </w:rPr>
              <w:t>)</w:t>
            </w:r>
          </w:p>
        </w:tc>
      </w:tr>
      <w:tr w:rsidR="00693C80" w:rsidRPr="00405935" w14:paraId="1D46998E" w14:textId="77777777" w:rsidTr="00D72B1F">
        <w:trPr>
          <w:trHeight w:val="19"/>
        </w:trPr>
        <w:tc>
          <w:tcPr>
            <w:tcW w:w="4050"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544" w:type="dxa"/>
            <w:tcBorders>
              <w:bottom w:val="single" w:sz="4" w:space="0" w:color="auto"/>
            </w:tcBorders>
          </w:tcPr>
          <w:p w14:paraId="57A98455" w14:textId="485730C0" w:rsidR="00693C80" w:rsidRPr="00405935" w:rsidRDefault="00D678E6" w:rsidP="00B66627">
            <w:pPr>
              <w:rPr>
                <w:rFonts w:ascii="Arial" w:hAnsi="Arial" w:cs="Arial"/>
              </w:rPr>
            </w:pPr>
            <w:r>
              <w:rPr>
                <w:rFonts w:ascii="Arial" w:hAnsi="Arial" w:cs="Arial"/>
              </w:rPr>
              <w:t>3647</w:t>
            </w:r>
            <w:r w:rsidR="00693C80" w:rsidRPr="00405935">
              <w:rPr>
                <w:rFonts w:ascii="Arial" w:hAnsi="Arial" w:cs="Arial"/>
              </w:rPr>
              <w:t xml:space="preserve"> (</w:t>
            </w:r>
            <w:r>
              <w:rPr>
                <w:rFonts w:ascii="Arial" w:hAnsi="Arial" w:cs="Arial"/>
              </w:rPr>
              <w:t>79.7%</w:t>
            </w:r>
            <w:r w:rsidR="00693C80" w:rsidRPr="00405935">
              <w:rPr>
                <w:rFonts w:ascii="Arial" w:hAnsi="Arial" w:cs="Arial"/>
              </w:rPr>
              <w:t>)</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77777777" w:rsidR="00693C80" w:rsidRDefault="00693C80" w:rsidP="00693C80">
      <w:pPr>
        <w:shd w:val="clear" w:color="auto" w:fill="FFFFFF"/>
        <w:spacing w:line="240" w:lineRule="auto"/>
        <w:rPr>
          <w:b/>
          <w:bCs/>
        </w:rPr>
      </w:pPr>
    </w:p>
    <w:p w14:paraId="0F44DA8E" w14:textId="77777777" w:rsidR="00693C80" w:rsidRDefault="00693C80" w:rsidP="00693C80">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58E8213D" w14:textId="77777777" w:rsidR="00693C80" w:rsidRDefault="00693C80" w:rsidP="00693C80">
      <w:pPr>
        <w:shd w:val="clear" w:color="auto" w:fill="FFFFFF"/>
        <w:spacing w:line="240" w:lineRule="auto"/>
        <w:rPr>
          <w:b/>
          <w:bCs/>
        </w:rPr>
      </w:pPr>
    </w:p>
    <w:p w14:paraId="06ACFA86" w14:textId="77777777" w:rsidR="00693C80" w:rsidRDefault="00693C80" w:rsidP="00693C80">
      <w:pPr>
        <w:shd w:val="clear" w:color="auto" w:fill="FFFFFF"/>
        <w:spacing w:line="240" w:lineRule="auto"/>
        <w:rPr>
          <w:b/>
          <w:bCs/>
        </w:rPr>
      </w:pPr>
    </w:p>
    <w:p w14:paraId="4DC58E6A" w14:textId="77777777" w:rsidR="00693C80" w:rsidRDefault="00693C80" w:rsidP="00693C80">
      <w:pPr>
        <w:shd w:val="clear" w:color="auto" w:fill="FFFFFF"/>
        <w:spacing w:line="240" w:lineRule="auto"/>
        <w:rPr>
          <w:b/>
          <w:bCs/>
        </w:rPr>
      </w:pPr>
    </w:p>
    <w:p w14:paraId="17926D68" w14:textId="77777777" w:rsidR="00693C80" w:rsidRDefault="00693C80" w:rsidP="00693C80">
      <w:pPr>
        <w:shd w:val="clear" w:color="auto" w:fill="FFFFFF"/>
        <w:spacing w:line="240" w:lineRule="auto"/>
        <w:rPr>
          <w:b/>
          <w:bCs/>
        </w:rPr>
      </w:pPr>
    </w:p>
    <w:p w14:paraId="1A0508B9" w14:textId="77777777" w:rsidR="00693C80" w:rsidRDefault="00693C80" w:rsidP="00693C80">
      <w:pPr>
        <w:shd w:val="clear" w:color="auto" w:fill="FFFFFF"/>
        <w:spacing w:line="240" w:lineRule="auto"/>
        <w:rPr>
          <w:b/>
          <w:bCs/>
        </w:rPr>
      </w:pPr>
    </w:p>
    <w:p w14:paraId="197C83ED" w14:textId="77777777" w:rsidR="00693C80" w:rsidRDefault="00693C80" w:rsidP="00693C80">
      <w:pPr>
        <w:shd w:val="clear" w:color="auto" w:fill="FFFFFF"/>
        <w:spacing w:line="240" w:lineRule="auto"/>
        <w:rPr>
          <w:b/>
          <w:bCs/>
        </w:rPr>
      </w:pPr>
    </w:p>
    <w:p w14:paraId="3D30E646" w14:textId="3E6132A8" w:rsidR="00693C80" w:rsidRPr="00405935" w:rsidRDefault="00693C80" w:rsidP="00693C80">
      <w:pPr>
        <w:shd w:val="clear" w:color="auto" w:fill="FFFFFF"/>
        <w:spacing w:line="240" w:lineRule="auto"/>
      </w:pPr>
      <w:r w:rsidRPr="00405935">
        <w:rPr>
          <w:b/>
          <w:bCs/>
        </w:rPr>
        <w:lastRenderedPageBreak/>
        <w:t xml:space="preserve">Table </w:t>
      </w:r>
      <w:r>
        <w:rPr>
          <w:b/>
          <w:bCs/>
        </w:rPr>
        <w:t>2</w:t>
      </w:r>
      <w:r w:rsidRPr="00405935">
        <w:rPr>
          <w:b/>
          <w:bCs/>
        </w:rPr>
        <w:t xml:space="preserve">. </w:t>
      </w:r>
      <w:r w:rsidRPr="00405935">
        <w:t xml:space="preserve">Multiple linear regression examining the </w:t>
      </w:r>
      <w:r w:rsidR="00E21852" w:rsidRPr="00E21852">
        <w:rPr>
          <w:highlight w:val="yellow"/>
        </w:rPr>
        <w:t>chronic and acute</w:t>
      </w:r>
      <w:r w:rsidR="00E21852">
        <w:t xml:space="preserve"> </w:t>
      </w:r>
      <w:r w:rsidRPr="00405935">
        <w:t xml:space="preserve">effects of number of live births on biological age, National Health and Nutrition Examination Survey 1999-2010. </w:t>
      </w:r>
      <w:r w:rsidR="009C60A8" w:rsidRPr="009C60A8">
        <w:rPr>
          <w:highlight w:val="yellow"/>
        </w:rPr>
        <w:t>Values represent coefficient estimates and 95% confidence intervals.</w:t>
      </w:r>
      <w:r w:rsidR="009C60A8">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BMI = body mass index; FIPR = federal income-to-poverty ratio</w:t>
      </w:r>
      <w:r w:rsidR="00E21852">
        <w:t xml:space="preserve">; </w:t>
      </w:r>
      <w:r w:rsidR="000D5CC4">
        <w:t xml:space="preserve">values in </w:t>
      </w:r>
      <w:r w:rsidR="000D5CC4" w:rsidRPr="000D5CC4">
        <w:rPr>
          <w:b/>
          <w:bCs/>
        </w:rPr>
        <w:t>bold</w:t>
      </w:r>
      <w:r w:rsidR="000D5CC4">
        <w:t xml:space="preserve"> represent effects significant after multiple comparison correction.</w:t>
      </w:r>
    </w:p>
    <w:p w14:paraId="17FED3BD" w14:textId="77777777" w:rsidR="00693C80" w:rsidRPr="00405935" w:rsidRDefault="00693C80" w:rsidP="00693C80">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9"/>
        <w:gridCol w:w="1625"/>
        <w:gridCol w:w="1981"/>
        <w:gridCol w:w="1620"/>
        <w:gridCol w:w="1747"/>
      </w:tblGrid>
      <w:tr w:rsidR="007466FC" w:rsidRPr="000D5CC4" w14:paraId="71277984" w14:textId="5A35D73F" w:rsidTr="0069035A">
        <w:trPr>
          <w:trHeight w:val="23"/>
        </w:trPr>
        <w:tc>
          <w:tcPr>
            <w:tcW w:w="2959" w:type="dxa"/>
            <w:tcBorders>
              <w:bottom w:val="single" w:sz="4" w:space="0" w:color="auto"/>
            </w:tcBorders>
          </w:tcPr>
          <w:p w14:paraId="260DB801" w14:textId="77777777" w:rsidR="007466FC" w:rsidRPr="000D5CC4" w:rsidRDefault="007466FC" w:rsidP="00B66627">
            <w:pPr>
              <w:rPr>
                <w:rFonts w:ascii="Arial" w:hAnsi="Arial" w:cs="Arial"/>
                <w:b/>
                <w:bCs/>
                <w:sz w:val="16"/>
                <w:szCs w:val="16"/>
              </w:rPr>
            </w:pPr>
            <w:bookmarkStart w:id="4" w:name="_Hlk34054784"/>
          </w:p>
        </w:tc>
        <w:tc>
          <w:tcPr>
            <w:tcW w:w="1625" w:type="dxa"/>
            <w:tcBorders>
              <w:bottom w:val="single" w:sz="4" w:space="0" w:color="auto"/>
            </w:tcBorders>
          </w:tcPr>
          <w:p w14:paraId="7758B6A2" w14:textId="77777777" w:rsidR="007466FC" w:rsidRPr="000D5CC4" w:rsidRDefault="007466FC" w:rsidP="00B66627">
            <w:pPr>
              <w:rPr>
                <w:rFonts w:ascii="Arial" w:hAnsi="Arial" w:cs="Arial"/>
                <w:b/>
                <w:bCs/>
                <w:sz w:val="16"/>
                <w:szCs w:val="16"/>
              </w:rPr>
            </w:pPr>
            <w:r w:rsidRPr="000D5CC4">
              <w:rPr>
                <w:rFonts w:ascii="Arial" w:hAnsi="Arial" w:cs="Arial"/>
                <w:b/>
                <w:bCs/>
                <w:sz w:val="16"/>
                <w:szCs w:val="16"/>
              </w:rPr>
              <w:t>LM</w:t>
            </w:r>
          </w:p>
        </w:tc>
        <w:tc>
          <w:tcPr>
            <w:tcW w:w="1981" w:type="dxa"/>
            <w:tcBorders>
              <w:bottom w:val="single" w:sz="4" w:space="0" w:color="auto"/>
            </w:tcBorders>
          </w:tcPr>
          <w:p w14:paraId="21634E81" w14:textId="77777777" w:rsidR="007466FC" w:rsidRPr="000D5CC4" w:rsidRDefault="007466FC" w:rsidP="00B66627">
            <w:pPr>
              <w:rPr>
                <w:rFonts w:ascii="Arial" w:hAnsi="Arial" w:cs="Arial"/>
                <w:b/>
                <w:bCs/>
                <w:sz w:val="16"/>
                <w:szCs w:val="16"/>
              </w:rPr>
            </w:pPr>
            <w:r w:rsidRPr="000D5CC4">
              <w:rPr>
                <w:rFonts w:ascii="Arial" w:hAnsi="Arial" w:cs="Arial"/>
                <w:b/>
                <w:bCs/>
                <w:sz w:val="16"/>
                <w:szCs w:val="16"/>
              </w:rPr>
              <w:t>HD (log)</w:t>
            </w:r>
          </w:p>
        </w:tc>
        <w:tc>
          <w:tcPr>
            <w:tcW w:w="1620" w:type="dxa"/>
            <w:tcBorders>
              <w:bottom w:val="single" w:sz="4" w:space="0" w:color="auto"/>
            </w:tcBorders>
          </w:tcPr>
          <w:p w14:paraId="79C762D5" w14:textId="77777777" w:rsidR="007466FC" w:rsidRPr="000D5CC4" w:rsidRDefault="007466FC" w:rsidP="00B66627">
            <w:pPr>
              <w:rPr>
                <w:rFonts w:ascii="Arial" w:hAnsi="Arial" w:cs="Arial"/>
                <w:b/>
                <w:bCs/>
                <w:sz w:val="16"/>
                <w:szCs w:val="16"/>
              </w:rPr>
            </w:pPr>
            <w:r w:rsidRPr="000D5CC4">
              <w:rPr>
                <w:rFonts w:ascii="Arial" w:hAnsi="Arial" w:cs="Arial"/>
                <w:b/>
                <w:bCs/>
                <w:sz w:val="16"/>
                <w:szCs w:val="16"/>
              </w:rPr>
              <w:t>KDM</w:t>
            </w:r>
          </w:p>
        </w:tc>
        <w:tc>
          <w:tcPr>
            <w:tcW w:w="1747" w:type="dxa"/>
            <w:tcBorders>
              <w:bottom w:val="single" w:sz="4" w:space="0" w:color="auto"/>
            </w:tcBorders>
          </w:tcPr>
          <w:p w14:paraId="5E8F772F" w14:textId="2F155A63" w:rsidR="007466FC" w:rsidRPr="000D5CC4" w:rsidRDefault="007466FC" w:rsidP="00B66627">
            <w:pPr>
              <w:rPr>
                <w:rFonts w:ascii="Arial" w:hAnsi="Arial" w:cs="Arial"/>
                <w:b/>
                <w:bCs/>
                <w:sz w:val="16"/>
                <w:szCs w:val="16"/>
              </w:rPr>
            </w:pPr>
            <w:r w:rsidRPr="000D5CC4">
              <w:rPr>
                <w:rFonts w:ascii="Arial" w:hAnsi="Arial" w:cs="Arial"/>
                <w:b/>
                <w:bCs/>
                <w:sz w:val="16"/>
                <w:szCs w:val="16"/>
              </w:rPr>
              <w:t>AL</w:t>
            </w:r>
          </w:p>
        </w:tc>
      </w:tr>
      <w:tr w:rsidR="00E21852" w:rsidRPr="000D5CC4" w14:paraId="3FA29366" w14:textId="77777777" w:rsidTr="00DD7764">
        <w:trPr>
          <w:trHeight w:val="23"/>
        </w:trPr>
        <w:tc>
          <w:tcPr>
            <w:tcW w:w="9932" w:type="dxa"/>
            <w:gridSpan w:val="5"/>
            <w:tcBorders>
              <w:top w:val="single" w:sz="4" w:space="0" w:color="auto"/>
            </w:tcBorders>
          </w:tcPr>
          <w:p w14:paraId="1689CDA3" w14:textId="03772251" w:rsidR="00E21852" w:rsidRPr="000D5CC4" w:rsidRDefault="00E21852" w:rsidP="00B66627">
            <w:pPr>
              <w:rPr>
                <w:rFonts w:ascii="Arial" w:hAnsi="Arial" w:cs="Arial"/>
                <w:b/>
                <w:bCs/>
                <w:sz w:val="16"/>
                <w:szCs w:val="16"/>
              </w:rPr>
            </w:pPr>
            <w:r w:rsidRPr="000D5CC4">
              <w:rPr>
                <w:rFonts w:ascii="Arial" w:hAnsi="Arial" w:cs="Arial"/>
                <w:b/>
                <w:bCs/>
                <w:sz w:val="16"/>
                <w:szCs w:val="16"/>
              </w:rPr>
              <w:t>Primary model (</w:t>
            </w:r>
            <w:r w:rsidRPr="000D5CC4">
              <w:rPr>
                <w:rFonts w:ascii="Arial" w:hAnsi="Arial" w:cs="Arial"/>
                <w:b/>
                <w:bCs/>
                <w:i/>
                <w:iCs/>
                <w:sz w:val="16"/>
                <w:szCs w:val="16"/>
              </w:rPr>
              <w:t>n</w:t>
            </w:r>
            <w:r w:rsidRPr="000D5CC4">
              <w:rPr>
                <w:rFonts w:ascii="Arial" w:hAnsi="Arial" w:cs="Arial"/>
                <w:b/>
                <w:bCs/>
                <w:sz w:val="16"/>
                <w:szCs w:val="16"/>
              </w:rPr>
              <w:t xml:space="preserve"> = 4,418)</w:t>
            </w:r>
          </w:p>
        </w:tc>
      </w:tr>
      <w:tr w:rsidR="007466FC" w:rsidRPr="000D5CC4" w14:paraId="4D8FF6F3" w14:textId="40DC241C" w:rsidTr="00DD7764">
        <w:trPr>
          <w:trHeight w:val="23"/>
        </w:trPr>
        <w:tc>
          <w:tcPr>
            <w:tcW w:w="2959" w:type="dxa"/>
          </w:tcPr>
          <w:p w14:paraId="126DABC6" w14:textId="77777777" w:rsidR="007466FC" w:rsidRPr="000D5CC4" w:rsidRDefault="007466FC" w:rsidP="00E21852">
            <w:pPr>
              <w:ind w:left="160"/>
              <w:rPr>
                <w:rFonts w:ascii="Arial" w:hAnsi="Arial" w:cs="Arial"/>
                <w:sz w:val="16"/>
                <w:szCs w:val="16"/>
              </w:rPr>
            </w:pPr>
            <w:r w:rsidRPr="000D5CC4">
              <w:rPr>
                <w:rFonts w:ascii="Arial" w:hAnsi="Arial" w:cs="Arial"/>
                <w:sz w:val="16"/>
                <w:szCs w:val="16"/>
              </w:rPr>
              <w:t>Live births (linear)</w:t>
            </w:r>
          </w:p>
        </w:tc>
        <w:tc>
          <w:tcPr>
            <w:tcW w:w="1625" w:type="dxa"/>
          </w:tcPr>
          <w:p w14:paraId="14639749" w14:textId="34755D31" w:rsidR="007466FC" w:rsidRPr="000D5CC4" w:rsidRDefault="007466FC" w:rsidP="00B66627">
            <w:pPr>
              <w:rPr>
                <w:rFonts w:ascii="Arial" w:hAnsi="Arial" w:cs="Arial"/>
                <w:sz w:val="16"/>
                <w:szCs w:val="16"/>
              </w:rPr>
            </w:pPr>
            <w:r w:rsidRPr="000D5CC4">
              <w:rPr>
                <w:rFonts w:ascii="Arial" w:hAnsi="Arial" w:cs="Arial"/>
                <w:sz w:val="16"/>
                <w:szCs w:val="16"/>
              </w:rPr>
              <w:t>-0.</w:t>
            </w:r>
            <w:r w:rsidR="009C60A8" w:rsidRPr="000D5CC4">
              <w:rPr>
                <w:rFonts w:ascii="Arial" w:hAnsi="Arial" w:cs="Arial"/>
                <w:sz w:val="16"/>
                <w:szCs w:val="16"/>
              </w:rPr>
              <w:t>40</w:t>
            </w:r>
            <w:r w:rsidRPr="000D5CC4">
              <w:rPr>
                <w:rFonts w:ascii="Arial" w:hAnsi="Arial" w:cs="Arial"/>
                <w:sz w:val="16"/>
                <w:szCs w:val="16"/>
              </w:rPr>
              <w:t xml:space="preserve"> (</w:t>
            </w:r>
            <w:r w:rsidR="009C60A8" w:rsidRPr="000D5CC4">
              <w:rPr>
                <w:rFonts w:ascii="Arial" w:hAnsi="Arial" w:cs="Arial"/>
                <w:sz w:val="16"/>
                <w:szCs w:val="16"/>
              </w:rPr>
              <w:t>-0.8</w:t>
            </w:r>
            <w:r w:rsidR="003555C2" w:rsidRPr="000D5CC4">
              <w:rPr>
                <w:rFonts w:ascii="Arial" w:hAnsi="Arial" w:cs="Arial"/>
                <w:sz w:val="16"/>
                <w:szCs w:val="16"/>
              </w:rPr>
              <w:t>4</w:t>
            </w:r>
            <w:r w:rsidR="009C60A8" w:rsidRPr="000D5CC4">
              <w:rPr>
                <w:rFonts w:ascii="Arial" w:hAnsi="Arial" w:cs="Arial"/>
                <w:sz w:val="16"/>
                <w:szCs w:val="16"/>
              </w:rPr>
              <w:t>, 0.0</w:t>
            </w:r>
            <w:r w:rsidR="003555C2" w:rsidRPr="000D5CC4">
              <w:rPr>
                <w:rFonts w:ascii="Arial" w:hAnsi="Arial" w:cs="Arial"/>
                <w:sz w:val="16"/>
                <w:szCs w:val="16"/>
              </w:rPr>
              <w:t>4</w:t>
            </w:r>
            <w:r w:rsidRPr="000D5CC4">
              <w:rPr>
                <w:rFonts w:ascii="Arial" w:hAnsi="Arial" w:cs="Arial"/>
                <w:sz w:val="16"/>
                <w:szCs w:val="16"/>
              </w:rPr>
              <w:t>)</w:t>
            </w:r>
          </w:p>
        </w:tc>
        <w:tc>
          <w:tcPr>
            <w:tcW w:w="1981" w:type="dxa"/>
          </w:tcPr>
          <w:p w14:paraId="4BAF8284" w14:textId="0D78A1AD" w:rsidR="007466FC" w:rsidRPr="000D5CC4" w:rsidRDefault="003555C2" w:rsidP="00B66627">
            <w:pPr>
              <w:rPr>
                <w:rFonts w:ascii="Arial" w:hAnsi="Arial" w:cs="Arial"/>
                <w:sz w:val="16"/>
                <w:szCs w:val="16"/>
              </w:rPr>
            </w:pPr>
            <w:r w:rsidRPr="000D5CC4">
              <w:rPr>
                <w:rFonts w:ascii="Arial" w:hAnsi="Arial" w:cs="Arial"/>
                <w:sz w:val="16"/>
                <w:szCs w:val="16"/>
              </w:rPr>
              <w:t>-0.004 (-0.04, 0.04)</w:t>
            </w:r>
          </w:p>
        </w:tc>
        <w:tc>
          <w:tcPr>
            <w:tcW w:w="1620" w:type="dxa"/>
          </w:tcPr>
          <w:p w14:paraId="272EE83B" w14:textId="2F063A89" w:rsidR="007466FC" w:rsidRPr="000D5CC4" w:rsidRDefault="003555C2" w:rsidP="00B66627">
            <w:pPr>
              <w:rPr>
                <w:rFonts w:ascii="Arial" w:hAnsi="Arial" w:cs="Arial"/>
                <w:sz w:val="16"/>
                <w:szCs w:val="16"/>
              </w:rPr>
            </w:pPr>
            <w:r w:rsidRPr="000D5CC4">
              <w:rPr>
                <w:rFonts w:ascii="Arial" w:hAnsi="Arial" w:cs="Arial"/>
                <w:sz w:val="16"/>
                <w:szCs w:val="16"/>
              </w:rPr>
              <w:t>-0.96 (</w:t>
            </w:r>
            <w:r w:rsidR="00E54B89" w:rsidRPr="000D5CC4">
              <w:rPr>
                <w:rFonts w:ascii="Arial" w:hAnsi="Arial" w:cs="Arial"/>
                <w:sz w:val="16"/>
                <w:szCs w:val="16"/>
              </w:rPr>
              <w:t>-</w:t>
            </w:r>
            <w:r w:rsidRPr="000D5CC4">
              <w:rPr>
                <w:rFonts w:ascii="Arial" w:hAnsi="Arial" w:cs="Arial"/>
                <w:sz w:val="16"/>
                <w:szCs w:val="16"/>
              </w:rPr>
              <w:t>1.94, 0.02)</w:t>
            </w:r>
          </w:p>
        </w:tc>
        <w:tc>
          <w:tcPr>
            <w:tcW w:w="1747" w:type="dxa"/>
          </w:tcPr>
          <w:p w14:paraId="58621E70" w14:textId="75B811DE" w:rsidR="007466FC" w:rsidRPr="000D5CC4" w:rsidRDefault="003555C2" w:rsidP="00B66627">
            <w:pPr>
              <w:rPr>
                <w:rFonts w:ascii="Arial" w:hAnsi="Arial" w:cs="Arial"/>
                <w:sz w:val="16"/>
                <w:szCs w:val="16"/>
              </w:rPr>
            </w:pPr>
            <w:r w:rsidRPr="000D5CC4">
              <w:rPr>
                <w:rFonts w:ascii="Arial" w:hAnsi="Arial" w:cs="Arial"/>
                <w:sz w:val="16"/>
                <w:szCs w:val="16"/>
              </w:rPr>
              <w:t>-0.01 (-0.02, 0.003)</w:t>
            </w:r>
          </w:p>
        </w:tc>
      </w:tr>
      <w:tr w:rsidR="007466FC" w:rsidRPr="000D5CC4" w14:paraId="55E708B5" w14:textId="4736877A" w:rsidTr="00DD7764">
        <w:trPr>
          <w:trHeight w:val="23"/>
        </w:trPr>
        <w:tc>
          <w:tcPr>
            <w:tcW w:w="2959" w:type="dxa"/>
          </w:tcPr>
          <w:p w14:paraId="2701A81D" w14:textId="77777777" w:rsidR="007466FC" w:rsidRPr="000D5CC4" w:rsidRDefault="007466FC" w:rsidP="00E21852">
            <w:pPr>
              <w:ind w:left="160"/>
              <w:rPr>
                <w:rFonts w:ascii="Arial" w:hAnsi="Arial" w:cs="Arial"/>
                <w:sz w:val="16"/>
                <w:szCs w:val="16"/>
              </w:rPr>
            </w:pPr>
            <w:r w:rsidRPr="000D5CC4">
              <w:rPr>
                <w:rFonts w:ascii="Arial" w:hAnsi="Arial" w:cs="Arial"/>
                <w:sz w:val="16"/>
                <w:szCs w:val="16"/>
              </w:rPr>
              <w:t>Live births (quadratic)</w:t>
            </w:r>
          </w:p>
        </w:tc>
        <w:tc>
          <w:tcPr>
            <w:tcW w:w="1625" w:type="dxa"/>
          </w:tcPr>
          <w:p w14:paraId="059B203A" w14:textId="29AE464A" w:rsidR="007466FC" w:rsidRPr="000D5CC4" w:rsidRDefault="007466FC" w:rsidP="00B66627">
            <w:pPr>
              <w:rPr>
                <w:rFonts w:ascii="Arial" w:hAnsi="Arial" w:cs="Arial"/>
                <w:sz w:val="16"/>
                <w:szCs w:val="16"/>
              </w:rPr>
            </w:pPr>
            <w:r w:rsidRPr="000D5CC4">
              <w:rPr>
                <w:rFonts w:ascii="Arial" w:hAnsi="Arial" w:cs="Arial"/>
                <w:sz w:val="16"/>
                <w:szCs w:val="16"/>
              </w:rPr>
              <w:t>0.0</w:t>
            </w:r>
            <w:r w:rsidR="009C60A8" w:rsidRPr="000D5CC4">
              <w:rPr>
                <w:rFonts w:ascii="Arial" w:hAnsi="Arial" w:cs="Arial"/>
                <w:sz w:val="16"/>
                <w:szCs w:val="16"/>
              </w:rPr>
              <w:t>4</w:t>
            </w:r>
            <w:r w:rsidRPr="000D5CC4">
              <w:rPr>
                <w:rFonts w:ascii="Arial" w:hAnsi="Arial" w:cs="Arial"/>
                <w:sz w:val="16"/>
                <w:szCs w:val="16"/>
              </w:rPr>
              <w:t xml:space="preserve"> (</w:t>
            </w:r>
            <w:r w:rsidR="009C60A8" w:rsidRPr="000D5CC4">
              <w:rPr>
                <w:rFonts w:ascii="Arial" w:hAnsi="Arial" w:cs="Arial"/>
                <w:sz w:val="16"/>
                <w:szCs w:val="16"/>
              </w:rPr>
              <w:t>-0.05, 0.14</w:t>
            </w:r>
            <w:r w:rsidRPr="000D5CC4">
              <w:rPr>
                <w:rFonts w:ascii="Arial" w:hAnsi="Arial" w:cs="Arial"/>
                <w:sz w:val="16"/>
                <w:szCs w:val="16"/>
              </w:rPr>
              <w:t>)</w:t>
            </w:r>
          </w:p>
        </w:tc>
        <w:tc>
          <w:tcPr>
            <w:tcW w:w="1981" w:type="dxa"/>
          </w:tcPr>
          <w:p w14:paraId="2B3013AF" w14:textId="7815C5E3" w:rsidR="007466FC" w:rsidRPr="000D5CC4" w:rsidRDefault="003555C2" w:rsidP="00B66627">
            <w:pPr>
              <w:rPr>
                <w:rFonts w:ascii="Arial" w:hAnsi="Arial" w:cs="Arial"/>
                <w:sz w:val="16"/>
                <w:szCs w:val="16"/>
              </w:rPr>
            </w:pPr>
            <w:r w:rsidRPr="000D5CC4">
              <w:rPr>
                <w:rFonts w:ascii="Arial" w:hAnsi="Arial" w:cs="Arial"/>
                <w:sz w:val="16"/>
                <w:szCs w:val="16"/>
              </w:rPr>
              <w:t>-0.004 (-0.01, 0.01)</w:t>
            </w:r>
          </w:p>
        </w:tc>
        <w:tc>
          <w:tcPr>
            <w:tcW w:w="1620" w:type="dxa"/>
          </w:tcPr>
          <w:p w14:paraId="6E6FE668" w14:textId="32659426" w:rsidR="007466FC" w:rsidRPr="000D5CC4" w:rsidRDefault="003555C2" w:rsidP="00B66627">
            <w:pPr>
              <w:rPr>
                <w:rFonts w:ascii="Arial" w:hAnsi="Arial" w:cs="Arial"/>
                <w:sz w:val="16"/>
                <w:szCs w:val="16"/>
              </w:rPr>
            </w:pPr>
            <w:r w:rsidRPr="000D5CC4">
              <w:rPr>
                <w:rFonts w:ascii="Arial" w:hAnsi="Arial" w:cs="Arial"/>
                <w:sz w:val="16"/>
                <w:szCs w:val="16"/>
              </w:rPr>
              <w:t>0.06 (-0.15, 0.27)</w:t>
            </w:r>
          </w:p>
        </w:tc>
        <w:tc>
          <w:tcPr>
            <w:tcW w:w="1747" w:type="dxa"/>
          </w:tcPr>
          <w:p w14:paraId="11F83687" w14:textId="05D90FD3" w:rsidR="007466FC" w:rsidRPr="000D5CC4" w:rsidRDefault="003555C2" w:rsidP="00B66627">
            <w:pPr>
              <w:rPr>
                <w:rFonts w:ascii="Arial" w:hAnsi="Arial" w:cs="Arial"/>
                <w:sz w:val="16"/>
                <w:szCs w:val="16"/>
              </w:rPr>
            </w:pPr>
            <w:r w:rsidRPr="000D5CC4">
              <w:rPr>
                <w:rFonts w:ascii="Arial" w:hAnsi="Arial" w:cs="Arial"/>
                <w:sz w:val="16"/>
                <w:szCs w:val="16"/>
              </w:rPr>
              <w:t>0.001 (-0.002, 0.004)</w:t>
            </w:r>
          </w:p>
        </w:tc>
      </w:tr>
      <w:tr w:rsidR="007466FC" w:rsidRPr="000D5CC4" w14:paraId="29470ABA" w14:textId="7A509F66" w:rsidTr="00DD7764">
        <w:trPr>
          <w:trHeight w:val="23"/>
        </w:trPr>
        <w:tc>
          <w:tcPr>
            <w:tcW w:w="2959" w:type="dxa"/>
          </w:tcPr>
          <w:p w14:paraId="1B45FB5F" w14:textId="77777777" w:rsidR="007466FC" w:rsidRPr="000D5CC4" w:rsidRDefault="007466FC" w:rsidP="00E21852">
            <w:pPr>
              <w:ind w:left="160"/>
              <w:rPr>
                <w:rFonts w:ascii="Arial" w:hAnsi="Arial" w:cs="Arial"/>
                <w:sz w:val="16"/>
                <w:szCs w:val="16"/>
              </w:rPr>
            </w:pPr>
            <w:r w:rsidRPr="000D5CC4">
              <w:rPr>
                <w:rFonts w:ascii="Arial" w:hAnsi="Arial" w:cs="Arial"/>
                <w:sz w:val="16"/>
                <w:szCs w:val="16"/>
              </w:rPr>
              <w:t>Menopause status</w:t>
            </w:r>
          </w:p>
        </w:tc>
        <w:tc>
          <w:tcPr>
            <w:tcW w:w="1625" w:type="dxa"/>
          </w:tcPr>
          <w:p w14:paraId="66C92967" w14:textId="104A22DA" w:rsidR="007466FC" w:rsidRPr="000D5CC4" w:rsidRDefault="009C60A8" w:rsidP="00B66627">
            <w:pPr>
              <w:rPr>
                <w:rFonts w:ascii="Arial" w:hAnsi="Arial" w:cs="Arial"/>
                <w:sz w:val="16"/>
                <w:szCs w:val="16"/>
              </w:rPr>
            </w:pPr>
            <w:r w:rsidRPr="000D5CC4">
              <w:rPr>
                <w:rFonts w:ascii="Arial" w:hAnsi="Arial" w:cs="Arial"/>
                <w:sz w:val="16"/>
                <w:szCs w:val="16"/>
              </w:rPr>
              <w:t>-0.92 (-1.9</w:t>
            </w:r>
            <w:r w:rsidR="003555C2" w:rsidRPr="000D5CC4">
              <w:rPr>
                <w:rFonts w:ascii="Arial" w:hAnsi="Arial" w:cs="Arial"/>
                <w:sz w:val="16"/>
                <w:szCs w:val="16"/>
              </w:rPr>
              <w:t>8</w:t>
            </w:r>
            <w:r w:rsidRPr="000D5CC4">
              <w:rPr>
                <w:rFonts w:ascii="Arial" w:hAnsi="Arial" w:cs="Arial"/>
                <w:sz w:val="16"/>
                <w:szCs w:val="16"/>
              </w:rPr>
              <w:t>, 0.1</w:t>
            </w:r>
            <w:r w:rsidR="003555C2" w:rsidRPr="000D5CC4">
              <w:rPr>
                <w:rFonts w:ascii="Arial" w:hAnsi="Arial" w:cs="Arial"/>
                <w:sz w:val="16"/>
                <w:szCs w:val="16"/>
              </w:rPr>
              <w:t>3</w:t>
            </w:r>
            <w:r w:rsidRPr="000D5CC4">
              <w:rPr>
                <w:rFonts w:ascii="Arial" w:hAnsi="Arial" w:cs="Arial"/>
                <w:sz w:val="16"/>
                <w:szCs w:val="16"/>
              </w:rPr>
              <w:t>)</w:t>
            </w:r>
          </w:p>
        </w:tc>
        <w:tc>
          <w:tcPr>
            <w:tcW w:w="1981" w:type="dxa"/>
          </w:tcPr>
          <w:p w14:paraId="4E462F9B" w14:textId="674946A2" w:rsidR="007466FC" w:rsidRPr="000D5CC4" w:rsidRDefault="003555C2" w:rsidP="00B66627">
            <w:pPr>
              <w:rPr>
                <w:rFonts w:ascii="Arial" w:hAnsi="Arial" w:cs="Arial"/>
                <w:sz w:val="16"/>
                <w:szCs w:val="16"/>
              </w:rPr>
            </w:pPr>
            <w:r w:rsidRPr="000D5CC4">
              <w:rPr>
                <w:rFonts w:ascii="Arial" w:hAnsi="Arial" w:cs="Arial"/>
                <w:sz w:val="16"/>
                <w:szCs w:val="16"/>
              </w:rPr>
              <w:t>0.07 (-0.02, 0.16)</w:t>
            </w:r>
          </w:p>
        </w:tc>
        <w:tc>
          <w:tcPr>
            <w:tcW w:w="1620" w:type="dxa"/>
          </w:tcPr>
          <w:p w14:paraId="759D2951" w14:textId="449FAAE9" w:rsidR="007466FC" w:rsidRPr="000D5CC4" w:rsidRDefault="003555C2" w:rsidP="00B66627">
            <w:pPr>
              <w:rPr>
                <w:rFonts w:ascii="Arial" w:hAnsi="Arial" w:cs="Arial"/>
                <w:sz w:val="16"/>
                <w:szCs w:val="16"/>
              </w:rPr>
            </w:pPr>
            <w:r w:rsidRPr="000D5CC4">
              <w:rPr>
                <w:rFonts w:ascii="Arial" w:hAnsi="Arial" w:cs="Arial"/>
                <w:sz w:val="16"/>
                <w:szCs w:val="16"/>
              </w:rPr>
              <w:t>1.85 (-0.60, 4.30)</w:t>
            </w:r>
          </w:p>
        </w:tc>
        <w:tc>
          <w:tcPr>
            <w:tcW w:w="1747" w:type="dxa"/>
          </w:tcPr>
          <w:p w14:paraId="01FFFB67" w14:textId="7D937022" w:rsidR="007466FC" w:rsidRPr="000D5CC4" w:rsidRDefault="003555C2" w:rsidP="00B66627">
            <w:pPr>
              <w:rPr>
                <w:rFonts w:ascii="Arial" w:hAnsi="Arial" w:cs="Arial"/>
                <w:sz w:val="16"/>
                <w:szCs w:val="16"/>
              </w:rPr>
            </w:pPr>
            <w:r w:rsidRPr="000D5CC4">
              <w:rPr>
                <w:rFonts w:ascii="Arial" w:hAnsi="Arial" w:cs="Arial"/>
                <w:sz w:val="16"/>
                <w:szCs w:val="16"/>
              </w:rPr>
              <w:t>0.02 (-0.02, 0.003)</w:t>
            </w:r>
          </w:p>
        </w:tc>
      </w:tr>
      <w:tr w:rsidR="007466FC" w:rsidRPr="000D5CC4" w14:paraId="6EB356CD" w14:textId="545C4EE5" w:rsidTr="00DD7764">
        <w:trPr>
          <w:trHeight w:val="23"/>
        </w:trPr>
        <w:tc>
          <w:tcPr>
            <w:tcW w:w="2959" w:type="dxa"/>
          </w:tcPr>
          <w:p w14:paraId="2573569E" w14:textId="77777777" w:rsidR="007466FC" w:rsidRPr="000D5CC4" w:rsidRDefault="007466FC" w:rsidP="00E21852">
            <w:pPr>
              <w:ind w:left="160"/>
              <w:rPr>
                <w:rFonts w:ascii="Arial" w:hAnsi="Arial" w:cs="Arial"/>
                <w:sz w:val="16"/>
                <w:szCs w:val="16"/>
              </w:rPr>
            </w:pPr>
            <w:r w:rsidRPr="000D5CC4">
              <w:rPr>
                <w:rFonts w:ascii="Arial" w:hAnsi="Arial" w:cs="Arial"/>
                <w:sz w:val="16"/>
                <w:szCs w:val="16"/>
              </w:rPr>
              <w:t>Live births (linear) x menopause status</w:t>
            </w:r>
          </w:p>
        </w:tc>
        <w:tc>
          <w:tcPr>
            <w:tcW w:w="1625" w:type="dxa"/>
          </w:tcPr>
          <w:p w14:paraId="54CEA518" w14:textId="3FB03B51" w:rsidR="007466FC" w:rsidRPr="000D5CC4" w:rsidRDefault="007466FC" w:rsidP="00B66627">
            <w:pPr>
              <w:rPr>
                <w:rFonts w:ascii="Arial" w:hAnsi="Arial" w:cs="Arial"/>
                <w:sz w:val="16"/>
                <w:szCs w:val="16"/>
              </w:rPr>
            </w:pPr>
            <w:r w:rsidRPr="000D5CC4">
              <w:rPr>
                <w:rFonts w:ascii="Arial" w:hAnsi="Arial" w:cs="Arial"/>
                <w:sz w:val="16"/>
                <w:szCs w:val="16"/>
              </w:rPr>
              <w:t>-0.</w:t>
            </w:r>
            <w:r w:rsidR="009C60A8" w:rsidRPr="000D5CC4">
              <w:rPr>
                <w:rFonts w:ascii="Arial" w:hAnsi="Arial" w:cs="Arial"/>
                <w:sz w:val="16"/>
                <w:szCs w:val="16"/>
              </w:rPr>
              <w:t>36</w:t>
            </w:r>
            <w:r w:rsidRPr="000D5CC4">
              <w:rPr>
                <w:rFonts w:ascii="Arial" w:hAnsi="Arial" w:cs="Arial"/>
                <w:sz w:val="16"/>
                <w:szCs w:val="16"/>
              </w:rPr>
              <w:t xml:space="preserve"> (</w:t>
            </w:r>
            <w:r w:rsidR="009C60A8" w:rsidRPr="000D5CC4">
              <w:rPr>
                <w:rFonts w:ascii="Arial" w:hAnsi="Arial" w:cs="Arial"/>
                <w:sz w:val="16"/>
                <w:szCs w:val="16"/>
              </w:rPr>
              <w:t>-1.0</w:t>
            </w:r>
            <w:r w:rsidR="00E54B89" w:rsidRPr="000D5CC4">
              <w:rPr>
                <w:rFonts w:ascii="Arial" w:hAnsi="Arial" w:cs="Arial"/>
                <w:sz w:val="16"/>
                <w:szCs w:val="16"/>
              </w:rPr>
              <w:t>2</w:t>
            </w:r>
            <w:r w:rsidR="009C60A8" w:rsidRPr="000D5CC4">
              <w:rPr>
                <w:rFonts w:ascii="Arial" w:hAnsi="Arial" w:cs="Arial"/>
                <w:sz w:val="16"/>
                <w:szCs w:val="16"/>
              </w:rPr>
              <w:t>, 0.3</w:t>
            </w:r>
            <w:r w:rsidR="00E54B89" w:rsidRPr="000D5CC4">
              <w:rPr>
                <w:rFonts w:ascii="Arial" w:hAnsi="Arial" w:cs="Arial"/>
                <w:sz w:val="16"/>
                <w:szCs w:val="16"/>
              </w:rPr>
              <w:t>1</w:t>
            </w:r>
            <w:r w:rsidRPr="000D5CC4">
              <w:rPr>
                <w:rFonts w:ascii="Arial" w:hAnsi="Arial" w:cs="Arial"/>
                <w:sz w:val="16"/>
                <w:szCs w:val="16"/>
              </w:rPr>
              <w:t>)</w:t>
            </w:r>
          </w:p>
        </w:tc>
        <w:tc>
          <w:tcPr>
            <w:tcW w:w="1981" w:type="dxa"/>
          </w:tcPr>
          <w:p w14:paraId="16A05E51" w14:textId="18D087E3" w:rsidR="007466FC" w:rsidRPr="000D5CC4" w:rsidRDefault="003555C2" w:rsidP="00B66627">
            <w:pPr>
              <w:rPr>
                <w:rFonts w:ascii="Arial" w:hAnsi="Arial" w:cs="Arial"/>
                <w:b/>
                <w:bCs/>
                <w:sz w:val="16"/>
                <w:szCs w:val="16"/>
              </w:rPr>
            </w:pPr>
            <w:r w:rsidRPr="000D5CC4">
              <w:rPr>
                <w:rFonts w:ascii="Arial" w:hAnsi="Arial" w:cs="Arial"/>
                <w:b/>
                <w:bCs/>
                <w:sz w:val="16"/>
                <w:szCs w:val="16"/>
              </w:rPr>
              <w:t>-0.07 (-0.12, -0.02) **</w:t>
            </w:r>
          </w:p>
        </w:tc>
        <w:tc>
          <w:tcPr>
            <w:tcW w:w="1620" w:type="dxa"/>
          </w:tcPr>
          <w:p w14:paraId="214EFFAD" w14:textId="088F84AF" w:rsidR="007466FC" w:rsidRPr="000D5CC4" w:rsidRDefault="003555C2" w:rsidP="00B66627">
            <w:pPr>
              <w:rPr>
                <w:rFonts w:ascii="Arial" w:hAnsi="Arial" w:cs="Arial"/>
                <w:sz w:val="16"/>
                <w:szCs w:val="16"/>
              </w:rPr>
            </w:pPr>
            <w:r w:rsidRPr="000D5CC4">
              <w:rPr>
                <w:rFonts w:ascii="Arial" w:hAnsi="Arial" w:cs="Arial"/>
                <w:sz w:val="16"/>
                <w:szCs w:val="16"/>
              </w:rPr>
              <w:t>-0.19 (-1.55, 1.17)</w:t>
            </w:r>
          </w:p>
        </w:tc>
        <w:tc>
          <w:tcPr>
            <w:tcW w:w="1747" w:type="dxa"/>
          </w:tcPr>
          <w:p w14:paraId="744B9509" w14:textId="0FA3C59C" w:rsidR="007466FC" w:rsidRPr="000D5CC4" w:rsidRDefault="003555C2" w:rsidP="00B66627">
            <w:pPr>
              <w:rPr>
                <w:rFonts w:ascii="Arial" w:hAnsi="Arial" w:cs="Arial"/>
                <w:sz w:val="16"/>
                <w:szCs w:val="16"/>
              </w:rPr>
            </w:pPr>
            <w:r w:rsidRPr="000D5CC4">
              <w:rPr>
                <w:rFonts w:ascii="Arial" w:hAnsi="Arial" w:cs="Arial"/>
                <w:sz w:val="16"/>
                <w:szCs w:val="16"/>
              </w:rPr>
              <w:t>-0.01 (-0.03, 0.01)</w:t>
            </w:r>
          </w:p>
        </w:tc>
      </w:tr>
      <w:tr w:rsidR="007466FC" w:rsidRPr="000D5CC4" w14:paraId="50EA1AAF" w14:textId="12A1760E" w:rsidTr="0069035A">
        <w:trPr>
          <w:trHeight w:val="23"/>
        </w:trPr>
        <w:tc>
          <w:tcPr>
            <w:tcW w:w="2959" w:type="dxa"/>
            <w:tcBorders>
              <w:bottom w:val="single" w:sz="4" w:space="0" w:color="auto"/>
            </w:tcBorders>
          </w:tcPr>
          <w:p w14:paraId="7115F732" w14:textId="77777777" w:rsidR="007466FC" w:rsidRPr="000D5CC4" w:rsidRDefault="007466FC" w:rsidP="00E21852">
            <w:pPr>
              <w:ind w:left="160"/>
              <w:rPr>
                <w:rFonts w:ascii="Arial" w:hAnsi="Arial" w:cs="Arial"/>
                <w:sz w:val="16"/>
                <w:szCs w:val="16"/>
              </w:rPr>
            </w:pPr>
            <w:r w:rsidRPr="000D5CC4">
              <w:rPr>
                <w:rFonts w:ascii="Arial" w:hAnsi="Arial" w:cs="Arial"/>
                <w:sz w:val="16"/>
                <w:szCs w:val="16"/>
              </w:rPr>
              <w:t>Live births (quadratic) x menopause status</w:t>
            </w:r>
          </w:p>
        </w:tc>
        <w:tc>
          <w:tcPr>
            <w:tcW w:w="1625" w:type="dxa"/>
            <w:tcBorders>
              <w:bottom w:val="single" w:sz="4" w:space="0" w:color="auto"/>
            </w:tcBorders>
          </w:tcPr>
          <w:p w14:paraId="72B93BC3" w14:textId="49DA278F" w:rsidR="007466FC" w:rsidRPr="000D5CC4" w:rsidRDefault="009C60A8" w:rsidP="00B66627">
            <w:pPr>
              <w:rPr>
                <w:rFonts w:ascii="Arial" w:hAnsi="Arial" w:cs="Arial"/>
                <w:sz w:val="16"/>
                <w:szCs w:val="16"/>
              </w:rPr>
            </w:pPr>
            <w:r w:rsidRPr="000D5CC4">
              <w:rPr>
                <w:rFonts w:ascii="Arial" w:hAnsi="Arial" w:cs="Arial"/>
                <w:sz w:val="16"/>
                <w:szCs w:val="16"/>
              </w:rPr>
              <w:t>0.0</w:t>
            </w:r>
            <w:r w:rsidR="00E54B89" w:rsidRPr="000D5CC4">
              <w:rPr>
                <w:rFonts w:ascii="Arial" w:hAnsi="Arial" w:cs="Arial"/>
                <w:sz w:val="16"/>
                <w:szCs w:val="16"/>
              </w:rPr>
              <w:t>8</w:t>
            </w:r>
            <w:r w:rsidRPr="000D5CC4">
              <w:rPr>
                <w:rFonts w:ascii="Arial" w:hAnsi="Arial" w:cs="Arial"/>
                <w:sz w:val="16"/>
                <w:szCs w:val="16"/>
              </w:rPr>
              <w:t xml:space="preserve"> (-0.05, 0.20)</w:t>
            </w:r>
          </w:p>
        </w:tc>
        <w:tc>
          <w:tcPr>
            <w:tcW w:w="1981" w:type="dxa"/>
            <w:tcBorders>
              <w:bottom w:val="single" w:sz="4" w:space="0" w:color="auto"/>
            </w:tcBorders>
          </w:tcPr>
          <w:p w14:paraId="473698C2" w14:textId="7BEDF4DD" w:rsidR="007466FC" w:rsidRPr="000D5CC4" w:rsidRDefault="003555C2" w:rsidP="00B66627">
            <w:pPr>
              <w:rPr>
                <w:rFonts w:ascii="Arial" w:hAnsi="Arial" w:cs="Arial"/>
                <w:b/>
                <w:bCs/>
                <w:sz w:val="16"/>
                <w:szCs w:val="16"/>
              </w:rPr>
            </w:pPr>
            <w:r w:rsidRPr="000D5CC4">
              <w:rPr>
                <w:rFonts w:ascii="Arial" w:hAnsi="Arial" w:cs="Arial"/>
                <w:b/>
                <w:bCs/>
                <w:sz w:val="16"/>
                <w:szCs w:val="16"/>
              </w:rPr>
              <w:t>0.02 (0.01, 0.03) **</w:t>
            </w:r>
          </w:p>
        </w:tc>
        <w:tc>
          <w:tcPr>
            <w:tcW w:w="1620" w:type="dxa"/>
            <w:tcBorders>
              <w:bottom w:val="single" w:sz="4" w:space="0" w:color="auto"/>
            </w:tcBorders>
          </w:tcPr>
          <w:p w14:paraId="148F1A21" w14:textId="2386B806" w:rsidR="007466FC" w:rsidRPr="000D5CC4" w:rsidRDefault="003555C2" w:rsidP="00B66627">
            <w:pPr>
              <w:rPr>
                <w:rFonts w:ascii="Arial" w:hAnsi="Arial" w:cs="Arial"/>
                <w:sz w:val="16"/>
                <w:szCs w:val="16"/>
              </w:rPr>
            </w:pPr>
            <w:r w:rsidRPr="000D5CC4">
              <w:rPr>
                <w:rFonts w:ascii="Arial" w:hAnsi="Arial" w:cs="Arial"/>
                <w:sz w:val="16"/>
                <w:szCs w:val="16"/>
              </w:rPr>
              <w:t>0.14 (-0.12, 0.39)</w:t>
            </w:r>
          </w:p>
        </w:tc>
        <w:tc>
          <w:tcPr>
            <w:tcW w:w="1747" w:type="dxa"/>
            <w:tcBorders>
              <w:bottom w:val="single" w:sz="4" w:space="0" w:color="auto"/>
            </w:tcBorders>
          </w:tcPr>
          <w:p w14:paraId="573AAD42" w14:textId="547EB227" w:rsidR="007466FC" w:rsidRPr="000D5CC4" w:rsidRDefault="003555C2" w:rsidP="00B66627">
            <w:pPr>
              <w:rPr>
                <w:rFonts w:ascii="Arial" w:hAnsi="Arial" w:cs="Arial"/>
                <w:sz w:val="16"/>
                <w:szCs w:val="16"/>
              </w:rPr>
            </w:pPr>
            <w:r w:rsidRPr="000D5CC4">
              <w:rPr>
                <w:rFonts w:ascii="Arial" w:hAnsi="Arial" w:cs="Arial"/>
                <w:sz w:val="16"/>
                <w:szCs w:val="16"/>
              </w:rPr>
              <w:t>0.002 (-0.002, 0.01)</w:t>
            </w:r>
          </w:p>
        </w:tc>
      </w:tr>
      <w:tr w:rsidR="00E21852" w:rsidRPr="000D5CC4" w14:paraId="14A5CF59" w14:textId="2AFE57B7" w:rsidTr="0069035A">
        <w:trPr>
          <w:trHeight w:val="23"/>
        </w:trPr>
        <w:tc>
          <w:tcPr>
            <w:tcW w:w="9932" w:type="dxa"/>
            <w:gridSpan w:val="5"/>
            <w:tcBorders>
              <w:top w:val="single" w:sz="4" w:space="0" w:color="auto"/>
              <w:bottom w:val="single" w:sz="4" w:space="0" w:color="auto"/>
            </w:tcBorders>
          </w:tcPr>
          <w:p w14:paraId="7A77D301" w14:textId="608359B3" w:rsidR="00E21852" w:rsidRPr="000D5CC4" w:rsidRDefault="00E21852" w:rsidP="00B66627">
            <w:pPr>
              <w:rPr>
                <w:rFonts w:ascii="Arial" w:hAnsi="Arial" w:cs="Arial"/>
                <w:sz w:val="16"/>
                <w:szCs w:val="16"/>
              </w:rPr>
            </w:pPr>
            <w:r w:rsidRPr="000D5CC4">
              <w:rPr>
                <w:rFonts w:ascii="Arial" w:hAnsi="Arial" w:cs="Arial"/>
                <w:b/>
                <w:bCs/>
                <w:sz w:val="16"/>
                <w:szCs w:val="16"/>
              </w:rPr>
              <w:t>Sensitivity analysis 1 (n = 5,184)</w:t>
            </w:r>
          </w:p>
        </w:tc>
      </w:tr>
      <w:tr w:rsidR="00E21852" w:rsidRPr="000D5CC4" w14:paraId="1AE41392" w14:textId="61E6D129" w:rsidTr="0069035A">
        <w:trPr>
          <w:trHeight w:val="23"/>
        </w:trPr>
        <w:tc>
          <w:tcPr>
            <w:tcW w:w="2959" w:type="dxa"/>
            <w:tcBorders>
              <w:top w:val="single" w:sz="4" w:space="0" w:color="auto"/>
            </w:tcBorders>
          </w:tcPr>
          <w:p w14:paraId="38103371" w14:textId="436CEA91" w:rsidR="00E21852" w:rsidRPr="000D5CC4" w:rsidRDefault="00E21852" w:rsidP="00E21852">
            <w:pPr>
              <w:ind w:left="160"/>
              <w:rPr>
                <w:rFonts w:ascii="Arial" w:hAnsi="Arial" w:cs="Arial"/>
                <w:sz w:val="16"/>
                <w:szCs w:val="16"/>
              </w:rPr>
            </w:pPr>
            <w:r w:rsidRPr="000D5CC4">
              <w:rPr>
                <w:rFonts w:ascii="Arial" w:hAnsi="Arial" w:cs="Arial"/>
                <w:sz w:val="16"/>
                <w:szCs w:val="16"/>
              </w:rPr>
              <w:t>Live births (linear)</w:t>
            </w:r>
          </w:p>
        </w:tc>
        <w:tc>
          <w:tcPr>
            <w:tcW w:w="1625" w:type="dxa"/>
            <w:tcBorders>
              <w:top w:val="single" w:sz="4" w:space="0" w:color="auto"/>
            </w:tcBorders>
          </w:tcPr>
          <w:p w14:paraId="60925309" w14:textId="1D03F7A8" w:rsidR="00E21852" w:rsidRPr="000D5CC4" w:rsidRDefault="00CC0E59" w:rsidP="00E21852">
            <w:pPr>
              <w:rPr>
                <w:rFonts w:ascii="Arial" w:hAnsi="Arial" w:cs="Arial"/>
                <w:sz w:val="16"/>
                <w:szCs w:val="16"/>
              </w:rPr>
            </w:pPr>
            <w:r w:rsidRPr="000D5CC4">
              <w:rPr>
                <w:rFonts w:ascii="Arial" w:hAnsi="Arial" w:cs="Arial"/>
                <w:sz w:val="16"/>
                <w:szCs w:val="16"/>
              </w:rPr>
              <w:t>-0.0</w:t>
            </w:r>
            <w:r w:rsidR="00E54B89" w:rsidRPr="000D5CC4">
              <w:rPr>
                <w:rFonts w:ascii="Arial" w:hAnsi="Arial" w:cs="Arial"/>
                <w:sz w:val="16"/>
                <w:szCs w:val="16"/>
              </w:rPr>
              <w:t>9</w:t>
            </w:r>
            <w:r w:rsidRPr="000D5CC4">
              <w:rPr>
                <w:rFonts w:ascii="Arial" w:hAnsi="Arial" w:cs="Arial"/>
                <w:sz w:val="16"/>
                <w:szCs w:val="16"/>
              </w:rPr>
              <w:t xml:space="preserve"> (-0.5</w:t>
            </w:r>
            <w:r w:rsidR="00E54B89" w:rsidRPr="000D5CC4">
              <w:rPr>
                <w:rFonts w:ascii="Arial" w:hAnsi="Arial" w:cs="Arial"/>
                <w:sz w:val="16"/>
                <w:szCs w:val="16"/>
              </w:rPr>
              <w:t>4</w:t>
            </w:r>
            <w:r w:rsidRPr="000D5CC4">
              <w:rPr>
                <w:rFonts w:ascii="Arial" w:hAnsi="Arial" w:cs="Arial"/>
                <w:sz w:val="16"/>
                <w:szCs w:val="16"/>
              </w:rPr>
              <w:t>, 0.</w:t>
            </w:r>
            <w:r w:rsidR="00E54B89" w:rsidRPr="000D5CC4">
              <w:rPr>
                <w:rFonts w:ascii="Arial" w:hAnsi="Arial" w:cs="Arial"/>
                <w:sz w:val="16"/>
                <w:szCs w:val="16"/>
              </w:rPr>
              <w:t>35</w:t>
            </w:r>
            <w:r w:rsidRPr="000D5CC4">
              <w:rPr>
                <w:rFonts w:ascii="Arial" w:hAnsi="Arial" w:cs="Arial"/>
                <w:sz w:val="16"/>
                <w:szCs w:val="16"/>
              </w:rPr>
              <w:t>)</w:t>
            </w:r>
          </w:p>
        </w:tc>
        <w:tc>
          <w:tcPr>
            <w:tcW w:w="1981" w:type="dxa"/>
            <w:tcBorders>
              <w:top w:val="single" w:sz="4" w:space="0" w:color="auto"/>
            </w:tcBorders>
          </w:tcPr>
          <w:p w14:paraId="68886A11" w14:textId="7A61F1BA" w:rsidR="00E21852" w:rsidRPr="000D5CC4" w:rsidRDefault="00CC0E59" w:rsidP="00E21852">
            <w:pPr>
              <w:rPr>
                <w:rFonts w:ascii="Arial" w:hAnsi="Arial" w:cs="Arial"/>
                <w:sz w:val="16"/>
                <w:szCs w:val="16"/>
              </w:rPr>
            </w:pPr>
            <w:r w:rsidRPr="000D5CC4">
              <w:rPr>
                <w:rFonts w:ascii="Arial" w:hAnsi="Arial" w:cs="Arial"/>
                <w:sz w:val="16"/>
                <w:szCs w:val="16"/>
              </w:rPr>
              <w:t>-0.001 (-0.04, 0.0</w:t>
            </w:r>
            <w:r w:rsidR="00E54B89" w:rsidRPr="000D5CC4">
              <w:rPr>
                <w:rFonts w:ascii="Arial" w:hAnsi="Arial" w:cs="Arial"/>
                <w:sz w:val="16"/>
                <w:szCs w:val="16"/>
              </w:rPr>
              <w:t>3</w:t>
            </w:r>
            <w:r w:rsidRPr="000D5CC4">
              <w:rPr>
                <w:rFonts w:ascii="Arial" w:hAnsi="Arial" w:cs="Arial"/>
                <w:sz w:val="16"/>
                <w:szCs w:val="16"/>
              </w:rPr>
              <w:t>)</w:t>
            </w:r>
          </w:p>
        </w:tc>
        <w:tc>
          <w:tcPr>
            <w:tcW w:w="1620" w:type="dxa"/>
            <w:tcBorders>
              <w:top w:val="single" w:sz="4" w:space="0" w:color="auto"/>
            </w:tcBorders>
          </w:tcPr>
          <w:p w14:paraId="5459FA4C" w14:textId="3A177498" w:rsidR="00E21852" w:rsidRPr="000D5CC4" w:rsidRDefault="00E54B89" w:rsidP="00E21852">
            <w:pPr>
              <w:rPr>
                <w:rFonts w:ascii="Arial" w:hAnsi="Arial" w:cs="Arial"/>
                <w:sz w:val="16"/>
                <w:szCs w:val="16"/>
              </w:rPr>
            </w:pPr>
            <w:r w:rsidRPr="000D5CC4">
              <w:rPr>
                <w:rFonts w:ascii="Arial" w:hAnsi="Arial" w:cs="Arial"/>
                <w:sz w:val="16"/>
                <w:szCs w:val="16"/>
              </w:rPr>
              <w:t>-0.52 (-1.36, 0.31)</w:t>
            </w:r>
          </w:p>
        </w:tc>
        <w:tc>
          <w:tcPr>
            <w:tcW w:w="1747" w:type="dxa"/>
            <w:tcBorders>
              <w:top w:val="single" w:sz="4" w:space="0" w:color="auto"/>
            </w:tcBorders>
          </w:tcPr>
          <w:p w14:paraId="6EF2FF36" w14:textId="0625DC68" w:rsidR="00E21852" w:rsidRPr="000D5CC4" w:rsidRDefault="00E54B89" w:rsidP="00E21852">
            <w:pPr>
              <w:rPr>
                <w:rFonts w:ascii="Arial" w:hAnsi="Arial" w:cs="Arial"/>
                <w:sz w:val="16"/>
                <w:szCs w:val="16"/>
              </w:rPr>
            </w:pPr>
            <w:r w:rsidRPr="000D5CC4">
              <w:rPr>
                <w:rFonts w:ascii="Arial" w:hAnsi="Arial" w:cs="Arial"/>
                <w:sz w:val="16"/>
                <w:szCs w:val="16"/>
              </w:rPr>
              <w:t>-0.004 (-0.02, 0.01)</w:t>
            </w:r>
          </w:p>
        </w:tc>
      </w:tr>
      <w:tr w:rsidR="00E21852" w:rsidRPr="000D5CC4" w14:paraId="7EF91652" w14:textId="7B35BB57" w:rsidTr="00DD7764">
        <w:trPr>
          <w:trHeight w:val="23"/>
        </w:trPr>
        <w:tc>
          <w:tcPr>
            <w:tcW w:w="2959" w:type="dxa"/>
          </w:tcPr>
          <w:p w14:paraId="3ACF9956" w14:textId="446F947E" w:rsidR="00E21852" w:rsidRPr="000D5CC4" w:rsidRDefault="00E21852" w:rsidP="00E21852">
            <w:pPr>
              <w:ind w:left="160"/>
              <w:rPr>
                <w:rFonts w:ascii="Arial" w:hAnsi="Arial" w:cs="Arial"/>
                <w:sz w:val="16"/>
                <w:szCs w:val="16"/>
              </w:rPr>
            </w:pPr>
            <w:r w:rsidRPr="000D5CC4">
              <w:rPr>
                <w:rFonts w:ascii="Arial" w:hAnsi="Arial" w:cs="Arial"/>
                <w:sz w:val="16"/>
                <w:szCs w:val="16"/>
              </w:rPr>
              <w:t>Live births (quadratic)</w:t>
            </w:r>
          </w:p>
        </w:tc>
        <w:tc>
          <w:tcPr>
            <w:tcW w:w="1625" w:type="dxa"/>
          </w:tcPr>
          <w:p w14:paraId="493A5527" w14:textId="48E73E66" w:rsidR="00E21852" w:rsidRPr="000D5CC4" w:rsidRDefault="00CC0E59" w:rsidP="00E21852">
            <w:pPr>
              <w:rPr>
                <w:rFonts w:ascii="Arial" w:hAnsi="Arial" w:cs="Arial"/>
                <w:sz w:val="16"/>
                <w:szCs w:val="16"/>
              </w:rPr>
            </w:pPr>
            <w:r w:rsidRPr="000D5CC4">
              <w:rPr>
                <w:rFonts w:ascii="Arial" w:hAnsi="Arial" w:cs="Arial"/>
                <w:sz w:val="16"/>
                <w:szCs w:val="16"/>
              </w:rPr>
              <w:t>0.0</w:t>
            </w:r>
            <w:r w:rsidR="00E54B89" w:rsidRPr="000D5CC4">
              <w:rPr>
                <w:rFonts w:ascii="Arial" w:hAnsi="Arial" w:cs="Arial"/>
                <w:sz w:val="16"/>
                <w:szCs w:val="16"/>
              </w:rPr>
              <w:t>8</w:t>
            </w:r>
            <w:r w:rsidRPr="000D5CC4">
              <w:rPr>
                <w:rFonts w:ascii="Arial" w:hAnsi="Arial" w:cs="Arial"/>
                <w:sz w:val="16"/>
                <w:szCs w:val="16"/>
              </w:rPr>
              <w:t xml:space="preserve"> (-0.0</w:t>
            </w:r>
            <w:r w:rsidR="00E54B89" w:rsidRPr="000D5CC4">
              <w:rPr>
                <w:rFonts w:ascii="Arial" w:hAnsi="Arial" w:cs="Arial"/>
                <w:sz w:val="16"/>
                <w:szCs w:val="16"/>
              </w:rPr>
              <w:t>3</w:t>
            </w:r>
            <w:r w:rsidRPr="000D5CC4">
              <w:rPr>
                <w:rFonts w:ascii="Arial" w:hAnsi="Arial" w:cs="Arial"/>
                <w:sz w:val="16"/>
                <w:szCs w:val="16"/>
              </w:rPr>
              <w:t>, 0.1</w:t>
            </w:r>
            <w:r w:rsidR="00E54B89" w:rsidRPr="000D5CC4">
              <w:rPr>
                <w:rFonts w:ascii="Arial" w:hAnsi="Arial" w:cs="Arial"/>
                <w:sz w:val="16"/>
                <w:szCs w:val="16"/>
              </w:rPr>
              <w:t>8</w:t>
            </w:r>
            <w:r w:rsidRPr="000D5CC4">
              <w:rPr>
                <w:rFonts w:ascii="Arial" w:hAnsi="Arial" w:cs="Arial"/>
                <w:sz w:val="16"/>
                <w:szCs w:val="16"/>
              </w:rPr>
              <w:t>)</w:t>
            </w:r>
          </w:p>
        </w:tc>
        <w:tc>
          <w:tcPr>
            <w:tcW w:w="1981" w:type="dxa"/>
          </w:tcPr>
          <w:p w14:paraId="5DE19BFF" w14:textId="3EFF18F5" w:rsidR="00E21852" w:rsidRPr="000D5CC4" w:rsidRDefault="00CC0E59" w:rsidP="00E21852">
            <w:pPr>
              <w:rPr>
                <w:rFonts w:ascii="Arial" w:hAnsi="Arial" w:cs="Arial"/>
                <w:sz w:val="16"/>
                <w:szCs w:val="16"/>
              </w:rPr>
            </w:pPr>
            <w:r w:rsidRPr="000D5CC4">
              <w:rPr>
                <w:rFonts w:ascii="Arial" w:hAnsi="Arial" w:cs="Arial"/>
                <w:sz w:val="16"/>
                <w:szCs w:val="16"/>
              </w:rPr>
              <w:t>-0.00</w:t>
            </w:r>
            <w:r w:rsidR="00E54B89" w:rsidRPr="000D5CC4">
              <w:rPr>
                <w:rFonts w:ascii="Arial" w:hAnsi="Arial" w:cs="Arial"/>
                <w:sz w:val="16"/>
                <w:szCs w:val="16"/>
              </w:rPr>
              <w:t>1</w:t>
            </w:r>
            <w:r w:rsidRPr="000D5CC4">
              <w:rPr>
                <w:rFonts w:ascii="Arial" w:hAnsi="Arial" w:cs="Arial"/>
                <w:sz w:val="16"/>
                <w:szCs w:val="16"/>
              </w:rPr>
              <w:t xml:space="preserve"> (-0.01, 0.01)</w:t>
            </w:r>
          </w:p>
        </w:tc>
        <w:tc>
          <w:tcPr>
            <w:tcW w:w="1620" w:type="dxa"/>
          </w:tcPr>
          <w:p w14:paraId="332A75E1" w14:textId="195A6595" w:rsidR="00E21852" w:rsidRPr="000D5CC4" w:rsidRDefault="00E54B89" w:rsidP="00E21852">
            <w:pPr>
              <w:rPr>
                <w:rFonts w:ascii="Arial" w:hAnsi="Arial" w:cs="Arial"/>
                <w:sz w:val="16"/>
                <w:szCs w:val="16"/>
              </w:rPr>
            </w:pPr>
            <w:r w:rsidRPr="000D5CC4">
              <w:rPr>
                <w:rFonts w:ascii="Arial" w:hAnsi="Arial" w:cs="Arial"/>
                <w:sz w:val="16"/>
                <w:szCs w:val="16"/>
              </w:rPr>
              <w:t>0.09 (-0.09, 0.26)</w:t>
            </w:r>
          </w:p>
        </w:tc>
        <w:tc>
          <w:tcPr>
            <w:tcW w:w="1747" w:type="dxa"/>
          </w:tcPr>
          <w:p w14:paraId="5760FB34" w14:textId="3E401AF3" w:rsidR="00E21852" w:rsidRPr="000D5CC4" w:rsidRDefault="00E54B89" w:rsidP="00E21852">
            <w:pPr>
              <w:rPr>
                <w:rFonts w:ascii="Arial" w:hAnsi="Arial" w:cs="Arial"/>
                <w:sz w:val="16"/>
                <w:szCs w:val="16"/>
              </w:rPr>
            </w:pPr>
            <w:r w:rsidRPr="000D5CC4">
              <w:rPr>
                <w:rFonts w:ascii="Arial" w:hAnsi="Arial" w:cs="Arial"/>
                <w:sz w:val="16"/>
                <w:szCs w:val="16"/>
              </w:rPr>
              <w:t>0.002 (-0.001, 0.01)</w:t>
            </w:r>
          </w:p>
        </w:tc>
      </w:tr>
      <w:tr w:rsidR="00E21852" w:rsidRPr="000D5CC4" w14:paraId="2C27E958" w14:textId="3E91EACF" w:rsidTr="00DD7764">
        <w:trPr>
          <w:trHeight w:val="23"/>
        </w:trPr>
        <w:tc>
          <w:tcPr>
            <w:tcW w:w="2959" w:type="dxa"/>
          </w:tcPr>
          <w:p w14:paraId="34DA42F9" w14:textId="07A07B1F" w:rsidR="00E21852" w:rsidRPr="000D5CC4" w:rsidRDefault="00E21852" w:rsidP="00E21852">
            <w:pPr>
              <w:ind w:left="160"/>
              <w:rPr>
                <w:rFonts w:ascii="Arial" w:hAnsi="Arial" w:cs="Arial"/>
                <w:sz w:val="16"/>
                <w:szCs w:val="16"/>
              </w:rPr>
            </w:pPr>
            <w:r w:rsidRPr="000D5CC4">
              <w:rPr>
                <w:rFonts w:ascii="Arial" w:hAnsi="Arial" w:cs="Arial"/>
                <w:sz w:val="16"/>
                <w:szCs w:val="16"/>
              </w:rPr>
              <w:t>Menopause status</w:t>
            </w:r>
          </w:p>
        </w:tc>
        <w:tc>
          <w:tcPr>
            <w:tcW w:w="1625" w:type="dxa"/>
          </w:tcPr>
          <w:p w14:paraId="3448159C" w14:textId="1717AB31" w:rsidR="00E21852" w:rsidRPr="000D5CC4" w:rsidRDefault="00CC0E59" w:rsidP="00E21852">
            <w:pPr>
              <w:rPr>
                <w:rFonts w:ascii="Arial" w:hAnsi="Arial" w:cs="Arial"/>
                <w:sz w:val="16"/>
                <w:szCs w:val="16"/>
              </w:rPr>
            </w:pPr>
            <w:r w:rsidRPr="000D5CC4">
              <w:rPr>
                <w:rFonts w:ascii="Arial" w:hAnsi="Arial" w:cs="Arial"/>
                <w:sz w:val="16"/>
                <w:szCs w:val="16"/>
              </w:rPr>
              <w:t>0.</w:t>
            </w:r>
            <w:r w:rsidR="00E54B89" w:rsidRPr="000D5CC4">
              <w:rPr>
                <w:rFonts w:ascii="Arial" w:hAnsi="Arial" w:cs="Arial"/>
                <w:sz w:val="16"/>
                <w:szCs w:val="16"/>
              </w:rPr>
              <w:t>25</w:t>
            </w:r>
            <w:r w:rsidRPr="000D5CC4">
              <w:rPr>
                <w:rFonts w:ascii="Arial" w:hAnsi="Arial" w:cs="Arial"/>
                <w:sz w:val="16"/>
                <w:szCs w:val="16"/>
              </w:rPr>
              <w:t xml:space="preserve"> (-0.</w:t>
            </w:r>
            <w:r w:rsidR="00E54B89" w:rsidRPr="000D5CC4">
              <w:rPr>
                <w:rFonts w:ascii="Arial" w:hAnsi="Arial" w:cs="Arial"/>
                <w:sz w:val="16"/>
                <w:szCs w:val="16"/>
              </w:rPr>
              <w:t>8</w:t>
            </w:r>
            <w:r w:rsidRPr="000D5CC4">
              <w:rPr>
                <w:rFonts w:ascii="Arial" w:hAnsi="Arial" w:cs="Arial"/>
                <w:sz w:val="16"/>
                <w:szCs w:val="16"/>
              </w:rPr>
              <w:t>3, 1.</w:t>
            </w:r>
            <w:r w:rsidR="00E54B89" w:rsidRPr="000D5CC4">
              <w:rPr>
                <w:rFonts w:ascii="Arial" w:hAnsi="Arial" w:cs="Arial"/>
                <w:sz w:val="16"/>
                <w:szCs w:val="16"/>
              </w:rPr>
              <w:t>34</w:t>
            </w:r>
            <w:r w:rsidRPr="000D5CC4">
              <w:rPr>
                <w:rFonts w:ascii="Arial" w:hAnsi="Arial" w:cs="Arial"/>
                <w:sz w:val="16"/>
                <w:szCs w:val="16"/>
              </w:rPr>
              <w:t>)</w:t>
            </w:r>
          </w:p>
        </w:tc>
        <w:tc>
          <w:tcPr>
            <w:tcW w:w="1981" w:type="dxa"/>
          </w:tcPr>
          <w:p w14:paraId="4C71E2A1" w14:textId="5347FB31" w:rsidR="00E21852" w:rsidRPr="000D5CC4" w:rsidRDefault="00CC0E59" w:rsidP="00E21852">
            <w:pPr>
              <w:rPr>
                <w:rFonts w:ascii="Arial" w:hAnsi="Arial" w:cs="Arial"/>
                <w:sz w:val="16"/>
                <w:szCs w:val="16"/>
              </w:rPr>
            </w:pPr>
            <w:r w:rsidRPr="000D5CC4">
              <w:rPr>
                <w:rFonts w:ascii="Arial" w:hAnsi="Arial" w:cs="Arial"/>
                <w:sz w:val="16"/>
                <w:szCs w:val="16"/>
              </w:rPr>
              <w:t>0.08 (-0.01, 0.</w:t>
            </w:r>
            <w:r w:rsidR="00E54B89" w:rsidRPr="000D5CC4">
              <w:rPr>
                <w:rFonts w:ascii="Arial" w:hAnsi="Arial" w:cs="Arial"/>
                <w:sz w:val="16"/>
                <w:szCs w:val="16"/>
              </w:rPr>
              <w:t>20</w:t>
            </w:r>
            <w:r w:rsidRPr="000D5CC4">
              <w:rPr>
                <w:rFonts w:ascii="Arial" w:hAnsi="Arial" w:cs="Arial"/>
                <w:sz w:val="16"/>
                <w:szCs w:val="16"/>
              </w:rPr>
              <w:t>)</w:t>
            </w:r>
          </w:p>
        </w:tc>
        <w:tc>
          <w:tcPr>
            <w:tcW w:w="1620" w:type="dxa"/>
          </w:tcPr>
          <w:p w14:paraId="481015FA" w14:textId="6E70B86A" w:rsidR="00E21852" w:rsidRPr="000D5CC4" w:rsidRDefault="00E54B89" w:rsidP="00E21852">
            <w:pPr>
              <w:rPr>
                <w:rFonts w:ascii="Arial" w:hAnsi="Arial" w:cs="Arial"/>
                <w:b/>
                <w:bCs/>
                <w:sz w:val="16"/>
                <w:szCs w:val="16"/>
              </w:rPr>
            </w:pPr>
            <w:r w:rsidRPr="000D5CC4">
              <w:rPr>
                <w:rFonts w:ascii="Arial" w:hAnsi="Arial" w:cs="Arial"/>
                <w:b/>
                <w:bCs/>
                <w:sz w:val="16"/>
                <w:szCs w:val="16"/>
              </w:rPr>
              <w:t>3.34 (0.86, 5.82) **</w:t>
            </w:r>
          </w:p>
        </w:tc>
        <w:tc>
          <w:tcPr>
            <w:tcW w:w="1747" w:type="dxa"/>
          </w:tcPr>
          <w:p w14:paraId="7EE9D6C5" w14:textId="6DAC2514" w:rsidR="00E21852" w:rsidRPr="000D5CC4" w:rsidRDefault="00E54B89" w:rsidP="00E21852">
            <w:pPr>
              <w:rPr>
                <w:rFonts w:ascii="Arial" w:hAnsi="Arial" w:cs="Arial"/>
                <w:b/>
                <w:bCs/>
                <w:sz w:val="16"/>
                <w:szCs w:val="16"/>
              </w:rPr>
            </w:pPr>
            <w:r w:rsidRPr="000D5CC4">
              <w:rPr>
                <w:rFonts w:ascii="Arial" w:hAnsi="Arial" w:cs="Arial"/>
                <w:b/>
                <w:bCs/>
                <w:sz w:val="16"/>
                <w:szCs w:val="16"/>
              </w:rPr>
              <w:t>0.05 (0.01, 0.09) *</w:t>
            </w:r>
          </w:p>
        </w:tc>
      </w:tr>
      <w:tr w:rsidR="00E21852" w:rsidRPr="000D5CC4" w14:paraId="5955C7D8" w14:textId="6BE14005" w:rsidTr="00DD7764">
        <w:trPr>
          <w:trHeight w:val="23"/>
        </w:trPr>
        <w:tc>
          <w:tcPr>
            <w:tcW w:w="2959" w:type="dxa"/>
          </w:tcPr>
          <w:p w14:paraId="122FA06D" w14:textId="32A00378" w:rsidR="00E21852" w:rsidRPr="000D5CC4" w:rsidRDefault="00E21852" w:rsidP="00E21852">
            <w:pPr>
              <w:ind w:left="160"/>
              <w:rPr>
                <w:rFonts w:ascii="Arial" w:hAnsi="Arial" w:cs="Arial"/>
                <w:sz w:val="16"/>
                <w:szCs w:val="16"/>
              </w:rPr>
            </w:pPr>
            <w:r w:rsidRPr="000D5CC4">
              <w:rPr>
                <w:rFonts w:ascii="Arial" w:hAnsi="Arial" w:cs="Arial"/>
                <w:sz w:val="16"/>
                <w:szCs w:val="16"/>
              </w:rPr>
              <w:t>Live births (linear) x menopause status</w:t>
            </w:r>
          </w:p>
        </w:tc>
        <w:tc>
          <w:tcPr>
            <w:tcW w:w="1625" w:type="dxa"/>
          </w:tcPr>
          <w:p w14:paraId="482A25B4" w14:textId="7E13470A" w:rsidR="00E21852" w:rsidRPr="000D5CC4" w:rsidRDefault="00CC0E59" w:rsidP="00E21852">
            <w:pPr>
              <w:rPr>
                <w:rFonts w:ascii="Arial" w:hAnsi="Arial" w:cs="Arial"/>
                <w:sz w:val="16"/>
                <w:szCs w:val="16"/>
              </w:rPr>
            </w:pPr>
            <w:r w:rsidRPr="000D5CC4">
              <w:rPr>
                <w:rFonts w:ascii="Arial" w:hAnsi="Arial" w:cs="Arial"/>
                <w:sz w:val="16"/>
                <w:szCs w:val="16"/>
              </w:rPr>
              <w:t>-0.</w:t>
            </w:r>
            <w:r w:rsidR="00E54B89" w:rsidRPr="000D5CC4">
              <w:rPr>
                <w:rFonts w:ascii="Arial" w:hAnsi="Arial" w:cs="Arial"/>
                <w:sz w:val="16"/>
                <w:szCs w:val="16"/>
              </w:rPr>
              <w:t>70</w:t>
            </w:r>
            <w:r w:rsidRPr="000D5CC4">
              <w:rPr>
                <w:rFonts w:ascii="Arial" w:hAnsi="Arial" w:cs="Arial"/>
                <w:sz w:val="16"/>
                <w:szCs w:val="16"/>
              </w:rPr>
              <w:t xml:space="preserve"> (-1.</w:t>
            </w:r>
            <w:r w:rsidR="00E54B89" w:rsidRPr="000D5CC4">
              <w:rPr>
                <w:rFonts w:ascii="Arial" w:hAnsi="Arial" w:cs="Arial"/>
                <w:sz w:val="16"/>
                <w:szCs w:val="16"/>
              </w:rPr>
              <w:t>38</w:t>
            </w:r>
            <w:r w:rsidRPr="000D5CC4">
              <w:rPr>
                <w:rFonts w:ascii="Arial" w:hAnsi="Arial" w:cs="Arial"/>
                <w:sz w:val="16"/>
                <w:szCs w:val="16"/>
              </w:rPr>
              <w:t>, -0.</w:t>
            </w:r>
            <w:r w:rsidR="00E54B89" w:rsidRPr="000D5CC4">
              <w:rPr>
                <w:rFonts w:ascii="Arial" w:hAnsi="Arial" w:cs="Arial"/>
                <w:sz w:val="16"/>
                <w:szCs w:val="16"/>
              </w:rPr>
              <w:t>03</w:t>
            </w:r>
            <w:r w:rsidRPr="000D5CC4">
              <w:rPr>
                <w:rFonts w:ascii="Arial" w:hAnsi="Arial" w:cs="Arial"/>
                <w:sz w:val="16"/>
                <w:szCs w:val="16"/>
              </w:rPr>
              <w:t>) *</w:t>
            </w:r>
          </w:p>
        </w:tc>
        <w:tc>
          <w:tcPr>
            <w:tcW w:w="1981" w:type="dxa"/>
          </w:tcPr>
          <w:p w14:paraId="13F53566" w14:textId="431FB9F0" w:rsidR="00E21852" w:rsidRPr="000D5CC4" w:rsidRDefault="00CC0E59" w:rsidP="00E21852">
            <w:pPr>
              <w:rPr>
                <w:rFonts w:ascii="Arial" w:hAnsi="Arial" w:cs="Arial"/>
                <w:b/>
                <w:bCs/>
                <w:sz w:val="16"/>
                <w:szCs w:val="16"/>
              </w:rPr>
            </w:pPr>
            <w:r w:rsidRPr="000D5CC4">
              <w:rPr>
                <w:rFonts w:ascii="Arial" w:hAnsi="Arial" w:cs="Arial"/>
                <w:b/>
                <w:bCs/>
                <w:sz w:val="16"/>
                <w:szCs w:val="16"/>
              </w:rPr>
              <w:t>-0.0</w:t>
            </w:r>
            <w:r w:rsidR="00E54B89" w:rsidRPr="000D5CC4">
              <w:rPr>
                <w:rFonts w:ascii="Arial" w:hAnsi="Arial" w:cs="Arial"/>
                <w:b/>
                <w:bCs/>
                <w:sz w:val="16"/>
                <w:szCs w:val="16"/>
              </w:rPr>
              <w:t>7</w:t>
            </w:r>
            <w:r w:rsidRPr="000D5CC4">
              <w:rPr>
                <w:rFonts w:ascii="Arial" w:hAnsi="Arial" w:cs="Arial"/>
                <w:b/>
                <w:bCs/>
                <w:sz w:val="16"/>
                <w:szCs w:val="16"/>
              </w:rPr>
              <w:t xml:space="preserve"> (-0.1</w:t>
            </w:r>
            <w:r w:rsidR="00E54B89" w:rsidRPr="000D5CC4">
              <w:rPr>
                <w:rFonts w:ascii="Arial" w:hAnsi="Arial" w:cs="Arial"/>
                <w:b/>
                <w:bCs/>
                <w:sz w:val="16"/>
                <w:szCs w:val="16"/>
              </w:rPr>
              <w:t>2</w:t>
            </w:r>
            <w:r w:rsidRPr="000D5CC4">
              <w:rPr>
                <w:rFonts w:ascii="Arial" w:hAnsi="Arial" w:cs="Arial"/>
                <w:b/>
                <w:bCs/>
                <w:sz w:val="16"/>
                <w:szCs w:val="16"/>
              </w:rPr>
              <w:t>, -0.02) **</w:t>
            </w:r>
          </w:p>
        </w:tc>
        <w:tc>
          <w:tcPr>
            <w:tcW w:w="1620" w:type="dxa"/>
          </w:tcPr>
          <w:p w14:paraId="410E36B6" w14:textId="4AFA1EB5" w:rsidR="00E21852" w:rsidRPr="000D5CC4" w:rsidRDefault="00E54B89" w:rsidP="00E21852">
            <w:pPr>
              <w:rPr>
                <w:rFonts w:ascii="Arial" w:hAnsi="Arial" w:cs="Arial"/>
                <w:sz w:val="16"/>
                <w:szCs w:val="16"/>
              </w:rPr>
            </w:pPr>
            <w:r w:rsidRPr="000D5CC4">
              <w:rPr>
                <w:rFonts w:ascii="Arial" w:hAnsi="Arial" w:cs="Arial"/>
                <w:sz w:val="16"/>
                <w:szCs w:val="16"/>
              </w:rPr>
              <w:t>-0.57 (-1.86, 0.72)</w:t>
            </w:r>
          </w:p>
        </w:tc>
        <w:tc>
          <w:tcPr>
            <w:tcW w:w="1747" w:type="dxa"/>
          </w:tcPr>
          <w:p w14:paraId="3B61F4C8" w14:textId="451D06BF" w:rsidR="00E21852" w:rsidRPr="000D5CC4" w:rsidRDefault="00E54B89" w:rsidP="00E21852">
            <w:pPr>
              <w:rPr>
                <w:rFonts w:ascii="Arial" w:hAnsi="Arial" w:cs="Arial"/>
                <w:sz w:val="16"/>
                <w:szCs w:val="16"/>
              </w:rPr>
            </w:pPr>
            <w:r w:rsidRPr="000D5CC4">
              <w:rPr>
                <w:rFonts w:ascii="Arial" w:hAnsi="Arial" w:cs="Arial"/>
                <w:sz w:val="16"/>
                <w:szCs w:val="16"/>
              </w:rPr>
              <w:t>-0.02 (-0.03, 0.002)</w:t>
            </w:r>
          </w:p>
        </w:tc>
      </w:tr>
      <w:tr w:rsidR="00E21852" w:rsidRPr="000D5CC4" w14:paraId="2F7D3C79" w14:textId="37F864F6" w:rsidTr="0069035A">
        <w:trPr>
          <w:trHeight w:val="23"/>
        </w:trPr>
        <w:tc>
          <w:tcPr>
            <w:tcW w:w="2959" w:type="dxa"/>
            <w:tcBorders>
              <w:bottom w:val="single" w:sz="4" w:space="0" w:color="auto"/>
            </w:tcBorders>
          </w:tcPr>
          <w:p w14:paraId="4AE0A09B" w14:textId="3FB1D6B4" w:rsidR="00E21852" w:rsidRPr="000D5CC4" w:rsidRDefault="00E21852" w:rsidP="00E21852">
            <w:pPr>
              <w:ind w:left="160"/>
              <w:rPr>
                <w:rFonts w:ascii="Arial" w:hAnsi="Arial" w:cs="Arial"/>
                <w:sz w:val="16"/>
                <w:szCs w:val="16"/>
              </w:rPr>
            </w:pPr>
            <w:r w:rsidRPr="000D5CC4">
              <w:rPr>
                <w:rFonts w:ascii="Arial" w:hAnsi="Arial" w:cs="Arial"/>
                <w:sz w:val="16"/>
                <w:szCs w:val="16"/>
              </w:rPr>
              <w:t>Live births (quadratic) x menopause status</w:t>
            </w:r>
          </w:p>
        </w:tc>
        <w:tc>
          <w:tcPr>
            <w:tcW w:w="1625" w:type="dxa"/>
            <w:tcBorders>
              <w:bottom w:val="single" w:sz="4" w:space="0" w:color="auto"/>
            </w:tcBorders>
          </w:tcPr>
          <w:p w14:paraId="267E2CCE" w14:textId="5944F968" w:rsidR="00E21852" w:rsidRPr="000D5CC4" w:rsidRDefault="00CC0E59" w:rsidP="00E21852">
            <w:pPr>
              <w:rPr>
                <w:rFonts w:ascii="Arial" w:hAnsi="Arial" w:cs="Arial"/>
                <w:sz w:val="16"/>
                <w:szCs w:val="16"/>
              </w:rPr>
            </w:pPr>
            <w:r w:rsidRPr="000D5CC4">
              <w:rPr>
                <w:rFonts w:ascii="Arial" w:hAnsi="Arial" w:cs="Arial"/>
                <w:sz w:val="16"/>
                <w:szCs w:val="16"/>
              </w:rPr>
              <w:t>0.1</w:t>
            </w:r>
            <w:r w:rsidR="00E54B89" w:rsidRPr="000D5CC4">
              <w:rPr>
                <w:rFonts w:ascii="Arial" w:hAnsi="Arial" w:cs="Arial"/>
                <w:sz w:val="16"/>
                <w:szCs w:val="16"/>
              </w:rPr>
              <w:t>0</w:t>
            </w:r>
            <w:r w:rsidRPr="000D5CC4">
              <w:rPr>
                <w:rFonts w:ascii="Arial" w:hAnsi="Arial" w:cs="Arial"/>
                <w:sz w:val="16"/>
                <w:szCs w:val="16"/>
              </w:rPr>
              <w:t xml:space="preserve"> (-0.0</w:t>
            </w:r>
            <w:r w:rsidR="00E54B89" w:rsidRPr="000D5CC4">
              <w:rPr>
                <w:rFonts w:ascii="Arial" w:hAnsi="Arial" w:cs="Arial"/>
                <w:sz w:val="16"/>
                <w:szCs w:val="16"/>
              </w:rPr>
              <w:t>3</w:t>
            </w:r>
            <w:r w:rsidRPr="000D5CC4">
              <w:rPr>
                <w:rFonts w:ascii="Arial" w:hAnsi="Arial" w:cs="Arial"/>
                <w:sz w:val="16"/>
                <w:szCs w:val="16"/>
              </w:rPr>
              <w:t>, 0.2</w:t>
            </w:r>
            <w:r w:rsidR="00E54B89" w:rsidRPr="000D5CC4">
              <w:rPr>
                <w:rFonts w:ascii="Arial" w:hAnsi="Arial" w:cs="Arial"/>
                <w:sz w:val="16"/>
                <w:szCs w:val="16"/>
              </w:rPr>
              <w:t>1</w:t>
            </w:r>
            <w:r w:rsidRPr="000D5CC4">
              <w:rPr>
                <w:rFonts w:ascii="Arial" w:hAnsi="Arial" w:cs="Arial"/>
                <w:sz w:val="16"/>
                <w:szCs w:val="16"/>
              </w:rPr>
              <w:t>)</w:t>
            </w:r>
          </w:p>
        </w:tc>
        <w:tc>
          <w:tcPr>
            <w:tcW w:w="1981" w:type="dxa"/>
            <w:tcBorders>
              <w:bottom w:val="single" w:sz="4" w:space="0" w:color="auto"/>
            </w:tcBorders>
          </w:tcPr>
          <w:p w14:paraId="5189B426" w14:textId="12F241F5" w:rsidR="00E21852" w:rsidRPr="000D5CC4" w:rsidRDefault="00CC0E59" w:rsidP="00E21852">
            <w:pPr>
              <w:rPr>
                <w:rFonts w:ascii="Arial" w:hAnsi="Arial" w:cs="Arial"/>
                <w:b/>
                <w:bCs/>
                <w:sz w:val="16"/>
                <w:szCs w:val="16"/>
              </w:rPr>
            </w:pPr>
            <w:r w:rsidRPr="000D5CC4">
              <w:rPr>
                <w:rFonts w:ascii="Arial" w:hAnsi="Arial" w:cs="Arial"/>
                <w:b/>
                <w:bCs/>
                <w:sz w:val="16"/>
                <w:szCs w:val="16"/>
              </w:rPr>
              <w:t>0.0</w:t>
            </w:r>
            <w:r w:rsidR="00E54B89" w:rsidRPr="000D5CC4">
              <w:rPr>
                <w:rFonts w:ascii="Arial" w:hAnsi="Arial" w:cs="Arial"/>
                <w:b/>
                <w:bCs/>
                <w:sz w:val="16"/>
                <w:szCs w:val="16"/>
              </w:rPr>
              <w:t>1</w:t>
            </w:r>
            <w:r w:rsidRPr="000D5CC4">
              <w:rPr>
                <w:rFonts w:ascii="Arial" w:hAnsi="Arial" w:cs="Arial"/>
                <w:b/>
                <w:bCs/>
                <w:sz w:val="16"/>
                <w:szCs w:val="16"/>
              </w:rPr>
              <w:t xml:space="preserve"> (0.0</w:t>
            </w:r>
            <w:r w:rsidR="00E54B89" w:rsidRPr="000D5CC4">
              <w:rPr>
                <w:rFonts w:ascii="Arial" w:hAnsi="Arial" w:cs="Arial"/>
                <w:b/>
                <w:bCs/>
                <w:sz w:val="16"/>
                <w:szCs w:val="16"/>
              </w:rPr>
              <w:t>04</w:t>
            </w:r>
            <w:r w:rsidRPr="000D5CC4">
              <w:rPr>
                <w:rFonts w:ascii="Arial" w:hAnsi="Arial" w:cs="Arial"/>
                <w:b/>
                <w:bCs/>
                <w:sz w:val="16"/>
                <w:szCs w:val="16"/>
              </w:rPr>
              <w:t>, 0.0</w:t>
            </w:r>
            <w:r w:rsidR="00E54B89" w:rsidRPr="000D5CC4">
              <w:rPr>
                <w:rFonts w:ascii="Arial" w:hAnsi="Arial" w:cs="Arial"/>
                <w:b/>
                <w:bCs/>
                <w:sz w:val="16"/>
                <w:szCs w:val="16"/>
              </w:rPr>
              <w:t>2</w:t>
            </w:r>
            <w:r w:rsidRPr="000D5CC4">
              <w:rPr>
                <w:rFonts w:ascii="Arial" w:hAnsi="Arial" w:cs="Arial"/>
                <w:b/>
                <w:bCs/>
                <w:sz w:val="16"/>
                <w:szCs w:val="16"/>
              </w:rPr>
              <w:t>) **</w:t>
            </w:r>
          </w:p>
        </w:tc>
        <w:tc>
          <w:tcPr>
            <w:tcW w:w="1620" w:type="dxa"/>
            <w:tcBorders>
              <w:bottom w:val="single" w:sz="4" w:space="0" w:color="auto"/>
            </w:tcBorders>
          </w:tcPr>
          <w:p w14:paraId="2AD1036D" w14:textId="0B77AFFA" w:rsidR="00E21852" w:rsidRPr="000D5CC4" w:rsidRDefault="00E54B89" w:rsidP="00E21852">
            <w:pPr>
              <w:rPr>
                <w:rFonts w:ascii="Arial" w:hAnsi="Arial" w:cs="Arial"/>
                <w:sz w:val="16"/>
                <w:szCs w:val="16"/>
              </w:rPr>
            </w:pPr>
            <w:r w:rsidRPr="000D5CC4">
              <w:rPr>
                <w:rFonts w:ascii="Arial" w:hAnsi="Arial" w:cs="Arial"/>
                <w:sz w:val="16"/>
                <w:szCs w:val="16"/>
              </w:rPr>
              <w:t>0.15 (-0.08, 0.38)</w:t>
            </w:r>
          </w:p>
        </w:tc>
        <w:tc>
          <w:tcPr>
            <w:tcW w:w="1747" w:type="dxa"/>
            <w:tcBorders>
              <w:bottom w:val="single" w:sz="4" w:space="0" w:color="auto"/>
            </w:tcBorders>
          </w:tcPr>
          <w:p w14:paraId="4F461612" w14:textId="530D69C9" w:rsidR="00E21852" w:rsidRPr="000D5CC4" w:rsidRDefault="00E54B89" w:rsidP="00E21852">
            <w:pPr>
              <w:rPr>
                <w:rFonts w:ascii="Arial" w:hAnsi="Arial" w:cs="Arial"/>
                <w:sz w:val="16"/>
                <w:szCs w:val="16"/>
              </w:rPr>
            </w:pPr>
            <w:r w:rsidRPr="000D5CC4">
              <w:rPr>
                <w:rFonts w:ascii="Arial" w:hAnsi="Arial" w:cs="Arial"/>
                <w:sz w:val="16"/>
                <w:szCs w:val="16"/>
              </w:rPr>
              <w:t>0.002 (-0.002, 0.01)</w:t>
            </w:r>
          </w:p>
        </w:tc>
      </w:tr>
      <w:tr w:rsidR="00E21852" w:rsidRPr="000D5CC4" w14:paraId="070FA824" w14:textId="4EC98F2C" w:rsidTr="0069035A">
        <w:trPr>
          <w:trHeight w:val="23"/>
        </w:trPr>
        <w:tc>
          <w:tcPr>
            <w:tcW w:w="9932" w:type="dxa"/>
            <w:gridSpan w:val="5"/>
            <w:tcBorders>
              <w:top w:val="single" w:sz="4" w:space="0" w:color="auto"/>
              <w:bottom w:val="single" w:sz="4" w:space="0" w:color="auto"/>
            </w:tcBorders>
          </w:tcPr>
          <w:p w14:paraId="258674A3" w14:textId="7723DF72" w:rsidR="00E21852" w:rsidRPr="000D5CC4" w:rsidRDefault="00E21852" w:rsidP="00E21852">
            <w:pPr>
              <w:rPr>
                <w:rFonts w:ascii="Arial" w:hAnsi="Arial" w:cs="Arial"/>
                <w:sz w:val="16"/>
                <w:szCs w:val="16"/>
              </w:rPr>
            </w:pPr>
            <w:r w:rsidRPr="000D5CC4">
              <w:rPr>
                <w:rFonts w:ascii="Arial" w:hAnsi="Arial" w:cs="Arial"/>
                <w:b/>
                <w:bCs/>
                <w:sz w:val="16"/>
                <w:szCs w:val="16"/>
              </w:rPr>
              <w:t>Sensitivity analysis 2 (n = 3,587)</w:t>
            </w:r>
          </w:p>
        </w:tc>
      </w:tr>
      <w:tr w:rsidR="00E21852" w:rsidRPr="000D5CC4" w14:paraId="33FAAAD9" w14:textId="3235490A" w:rsidTr="0069035A">
        <w:trPr>
          <w:trHeight w:val="23"/>
        </w:trPr>
        <w:tc>
          <w:tcPr>
            <w:tcW w:w="2959" w:type="dxa"/>
            <w:tcBorders>
              <w:top w:val="single" w:sz="4" w:space="0" w:color="auto"/>
            </w:tcBorders>
          </w:tcPr>
          <w:p w14:paraId="7EB214A3" w14:textId="098C2629" w:rsidR="00E21852" w:rsidRPr="000D5CC4" w:rsidRDefault="00E21852" w:rsidP="00E21852">
            <w:pPr>
              <w:ind w:left="160"/>
              <w:rPr>
                <w:rFonts w:ascii="Arial" w:hAnsi="Arial" w:cs="Arial"/>
                <w:sz w:val="16"/>
                <w:szCs w:val="16"/>
              </w:rPr>
            </w:pPr>
            <w:r w:rsidRPr="000D5CC4">
              <w:rPr>
                <w:rFonts w:ascii="Arial" w:hAnsi="Arial" w:cs="Arial"/>
                <w:sz w:val="16"/>
                <w:szCs w:val="16"/>
              </w:rPr>
              <w:t>Live births (linear)</w:t>
            </w:r>
          </w:p>
        </w:tc>
        <w:tc>
          <w:tcPr>
            <w:tcW w:w="1625" w:type="dxa"/>
            <w:tcBorders>
              <w:top w:val="single" w:sz="4" w:space="0" w:color="auto"/>
            </w:tcBorders>
          </w:tcPr>
          <w:p w14:paraId="10CEADD3" w14:textId="2CE827E3" w:rsidR="00E21852" w:rsidRPr="000D5CC4" w:rsidRDefault="007A1C53" w:rsidP="00E21852">
            <w:pPr>
              <w:rPr>
                <w:rFonts w:ascii="Arial" w:hAnsi="Arial" w:cs="Arial"/>
                <w:sz w:val="16"/>
                <w:szCs w:val="16"/>
              </w:rPr>
            </w:pPr>
            <w:r w:rsidRPr="000D5CC4">
              <w:rPr>
                <w:rFonts w:ascii="Arial" w:hAnsi="Arial" w:cs="Arial"/>
                <w:sz w:val="16"/>
                <w:szCs w:val="16"/>
              </w:rPr>
              <w:t>-0.01 (-1.13, 1.11)</w:t>
            </w:r>
          </w:p>
        </w:tc>
        <w:tc>
          <w:tcPr>
            <w:tcW w:w="1981" w:type="dxa"/>
            <w:tcBorders>
              <w:top w:val="single" w:sz="4" w:space="0" w:color="auto"/>
            </w:tcBorders>
          </w:tcPr>
          <w:p w14:paraId="63EF2DD3" w14:textId="01CD5A9C" w:rsidR="00E21852" w:rsidRPr="000D5CC4" w:rsidRDefault="007A1C53" w:rsidP="00E21852">
            <w:pPr>
              <w:rPr>
                <w:rFonts w:ascii="Arial" w:hAnsi="Arial" w:cs="Arial"/>
                <w:sz w:val="16"/>
                <w:szCs w:val="16"/>
              </w:rPr>
            </w:pPr>
            <w:r w:rsidRPr="000D5CC4">
              <w:rPr>
                <w:rFonts w:ascii="Arial" w:hAnsi="Arial" w:cs="Arial"/>
                <w:sz w:val="16"/>
                <w:szCs w:val="16"/>
              </w:rPr>
              <w:t>0.04 (-0.07, 0.14)</w:t>
            </w:r>
          </w:p>
        </w:tc>
        <w:tc>
          <w:tcPr>
            <w:tcW w:w="1620" w:type="dxa"/>
            <w:tcBorders>
              <w:top w:val="single" w:sz="4" w:space="0" w:color="auto"/>
            </w:tcBorders>
          </w:tcPr>
          <w:p w14:paraId="69BDDE01" w14:textId="00B21F13" w:rsidR="00E21852" w:rsidRPr="000D5CC4" w:rsidRDefault="007A1C53" w:rsidP="00E21852">
            <w:pPr>
              <w:rPr>
                <w:rFonts w:ascii="Arial" w:hAnsi="Arial" w:cs="Arial"/>
                <w:sz w:val="16"/>
                <w:szCs w:val="16"/>
              </w:rPr>
            </w:pPr>
            <w:r w:rsidRPr="000D5CC4">
              <w:rPr>
                <w:rFonts w:ascii="Arial" w:hAnsi="Arial" w:cs="Arial"/>
                <w:sz w:val="16"/>
                <w:szCs w:val="16"/>
              </w:rPr>
              <w:t>-2.13 (-4.09, -0.18) *</w:t>
            </w:r>
          </w:p>
        </w:tc>
        <w:tc>
          <w:tcPr>
            <w:tcW w:w="1747" w:type="dxa"/>
            <w:tcBorders>
              <w:top w:val="single" w:sz="4" w:space="0" w:color="auto"/>
            </w:tcBorders>
          </w:tcPr>
          <w:p w14:paraId="413FC479" w14:textId="6DE665A3" w:rsidR="00E21852" w:rsidRPr="000D5CC4" w:rsidRDefault="007A1C53" w:rsidP="00E21852">
            <w:pPr>
              <w:rPr>
                <w:rFonts w:ascii="Arial" w:hAnsi="Arial" w:cs="Arial"/>
                <w:sz w:val="16"/>
                <w:szCs w:val="16"/>
              </w:rPr>
            </w:pPr>
            <w:r w:rsidRPr="000D5CC4">
              <w:rPr>
                <w:rFonts w:ascii="Arial" w:hAnsi="Arial" w:cs="Arial"/>
                <w:sz w:val="16"/>
                <w:szCs w:val="16"/>
              </w:rPr>
              <w:t>-0.03 (-0.06, -0.01) *</w:t>
            </w:r>
          </w:p>
        </w:tc>
      </w:tr>
      <w:tr w:rsidR="00E21852" w:rsidRPr="000D5CC4" w14:paraId="4297F716" w14:textId="46612681" w:rsidTr="00DD7764">
        <w:trPr>
          <w:trHeight w:val="23"/>
        </w:trPr>
        <w:tc>
          <w:tcPr>
            <w:tcW w:w="2959" w:type="dxa"/>
          </w:tcPr>
          <w:p w14:paraId="3279228C" w14:textId="60A0A47F" w:rsidR="00E21852" w:rsidRPr="000D5CC4" w:rsidRDefault="00E21852" w:rsidP="00E21852">
            <w:pPr>
              <w:ind w:left="160"/>
              <w:rPr>
                <w:rFonts w:ascii="Arial" w:hAnsi="Arial" w:cs="Arial"/>
                <w:sz w:val="16"/>
                <w:szCs w:val="16"/>
              </w:rPr>
            </w:pPr>
            <w:r w:rsidRPr="000D5CC4">
              <w:rPr>
                <w:rFonts w:ascii="Arial" w:hAnsi="Arial" w:cs="Arial"/>
                <w:sz w:val="16"/>
                <w:szCs w:val="16"/>
              </w:rPr>
              <w:t>Live births (quadratic)</w:t>
            </w:r>
          </w:p>
        </w:tc>
        <w:tc>
          <w:tcPr>
            <w:tcW w:w="1625" w:type="dxa"/>
          </w:tcPr>
          <w:p w14:paraId="6C2F14EC" w14:textId="680F5E22" w:rsidR="00E21852" w:rsidRPr="000D5CC4" w:rsidRDefault="007A1C53" w:rsidP="00E21852">
            <w:pPr>
              <w:rPr>
                <w:rFonts w:ascii="Arial" w:hAnsi="Arial" w:cs="Arial"/>
                <w:sz w:val="16"/>
                <w:szCs w:val="16"/>
              </w:rPr>
            </w:pPr>
            <w:r w:rsidRPr="000D5CC4">
              <w:rPr>
                <w:rFonts w:ascii="Arial" w:hAnsi="Arial" w:cs="Arial"/>
                <w:sz w:val="16"/>
                <w:szCs w:val="16"/>
              </w:rPr>
              <w:t>-0.01 (-0.20, 0.18)</w:t>
            </w:r>
          </w:p>
        </w:tc>
        <w:tc>
          <w:tcPr>
            <w:tcW w:w="1981" w:type="dxa"/>
          </w:tcPr>
          <w:p w14:paraId="6542872F" w14:textId="30CEAB47" w:rsidR="00E21852" w:rsidRPr="000D5CC4" w:rsidRDefault="007A1C53" w:rsidP="00E21852">
            <w:pPr>
              <w:rPr>
                <w:rFonts w:ascii="Arial" w:hAnsi="Arial" w:cs="Arial"/>
                <w:sz w:val="16"/>
                <w:szCs w:val="16"/>
              </w:rPr>
            </w:pPr>
            <w:r w:rsidRPr="000D5CC4">
              <w:rPr>
                <w:rFonts w:ascii="Arial" w:hAnsi="Arial" w:cs="Arial"/>
                <w:sz w:val="16"/>
                <w:szCs w:val="16"/>
              </w:rPr>
              <w:t>-0.01 (-0.03, 0.004)</w:t>
            </w:r>
          </w:p>
        </w:tc>
        <w:tc>
          <w:tcPr>
            <w:tcW w:w="1620" w:type="dxa"/>
          </w:tcPr>
          <w:p w14:paraId="4449142E" w14:textId="52FA8C05" w:rsidR="00E21852" w:rsidRPr="000D5CC4" w:rsidRDefault="007A1C53" w:rsidP="00E21852">
            <w:pPr>
              <w:rPr>
                <w:rFonts w:ascii="Arial" w:hAnsi="Arial" w:cs="Arial"/>
                <w:sz w:val="16"/>
                <w:szCs w:val="16"/>
              </w:rPr>
            </w:pPr>
            <w:r w:rsidRPr="000D5CC4">
              <w:rPr>
                <w:rFonts w:ascii="Arial" w:hAnsi="Arial" w:cs="Arial"/>
                <w:sz w:val="16"/>
                <w:szCs w:val="16"/>
              </w:rPr>
              <w:t>0.26 (-0.07, 0.58)</w:t>
            </w:r>
          </w:p>
        </w:tc>
        <w:tc>
          <w:tcPr>
            <w:tcW w:w="1747" w:type="dxa"/>
          </w:tcPr>
          <w:p w14:paraId="180F06D2" w14:textId="26AA7A49" w:rsidR="00E21852" w:rsidRPr="000D5CC4" w:rsidRDefault="007A1C53" w:rsidP="00E21852">
            <w:pPr>
              <w:rPr>
                <w:rFonts w:ascii="Arial" w:hAnsi="Arial" w:cs="Arial"/>
                <w:sz w:val="16"/>
                <w:szCs w:val="16"/>
              </w:rPr>
            </w:pPr>
            <w:r w:rsidRPr="000D5CC4">
              <w:rPr>
                <w:rFonts w:ascii="Arial" w:hAnsi="Arial" w:cs="Arial"/>
                <w:sz w:val="16"/>
                <w:szCs w:val="16"/>
              </w:rPr>
              <w:t>0.004 (-0.0001, 0.001)</w:t>
            </w:r>
          </w:p>
        </w:tc>
      </w:tr>
      <w:tr w:rsidR="00E21852" w:rsidRPr="000D5CC4" w14:paraId="69ADE0DA" w14:textId="1385659B" w:rsidTr="00DD7764">
        <w:trPr>
          <w:trHeight w:val="23"/>
        </w:trPr>
        <w:tc>
          <w:tcPr>
            <w:tcW w:w="2959" w:type="dxa"/>
          </w:tcPr>
          <w:p w14:paraId="5AEEE0AE" w14:textId="4554EF39" w:rsidR="00E21852" w:rsidRPr="000D5CC4" w:rsidRDefault="00E21852" w:rsidP="00E21852">
            <w:pPr>
              <w:ind w:left="160"/>
              <w:rPr>
                <w:rFonts w:ascii="Arial" w:hAnsi="Arial" w:cs="Arial"/>
                <w:sz w:val="16"/>
                <w:szCs w:val="16"/>
              </w:rPr>
            </w:pPr>
            <w:r w:rsidRPr="000D5CC4">
              <w:rPr>
                <w:rFonts w:ascii="Arial" w:hAnsi="Arial" w:cs="Arial"/>
                <w:sz w:val="16"/>
                <w:szCs w:val="16"/>
              </w:rPr>
              <w:t>Years since last live birth</w:t>
            </w:r>
          </w:p>
        </w:tc>
        <w:tc>
          <w:tcPr>
            <w:tcW w:w="1625" w:type="dxa"/>
          </w:tcPr>
          <w:p w14:paraId="192E5D50" w14:textId="555D9136" w:rsidR="00E21852" w:rsidRPr="000D5CC4" w:rsidRDefault="007A1C53" w:rsidP="00E21852">
            <w:pPr>
              <w:rPr>
                <w:rFonts w:ascii="Arial" w:hAnsi="Arial" w:cs="Arial"/>
                <w:sz w:val="16"/>
                <w:szCs w:val="16"/>
              </w:rPr>
            </w:pPr>
            <w:r w:rsidRPr="000D5CC4">
              <w:rPr>
                <w:rFonts w:ascii="Arial" w:hAnsi="Arial" w:cs="Arial"/>
                <w:sz w:val="16"/>
                <w:szCs w:val="16"/>
              </w:rPr>
              <w:t>0.01 (-0.08, 0.09)</w:t>
            </w:r>
          </w:p>
        </w:tc>
        <w:tc>
          <w:tcPr>
            <w:tcW w:w="1981" w:type="dxa"/>
          </w:tcPr>
          <w:p w14:paraId="22BE8155" w14:textId="42C6173C" w:rsidR="00E21852" w:rsidRPr="000D5CC4" w:rsidRDefault="007A1C53" w:rsidP="00E21852">
            <w:pPr>
              <w:rPr>
                <w:rFonts w:ascii="Arial" w:hAnsi="Arial" w:cs="Arial"/>
                <w:sz w:val="16"/>
                <w:szCs w:val="16"/>
              </w:rPr>
            </w:pPr>
            <w:r w:rsidRPr="000D5CC4">
              <w:rPr>
                <w:rFonts w:ascii="Arial" w:hAnsi="Arial" w:cs="Arial"/>
                <w:sz w:val="16"/>
                <w:szCs w:val="16"/>
              </w:rPr>
              <w:t>-0.01 (-0.02, 0.003)</w:t>
            </w:r>
          </w:p>
        </w:tc>
        <w:tc>
          <w:tcPr>
            <w:tcW w:w="1620" w:type="dxa"/>
          </w:tcPr>
          <w:p w14:paraId="0174675C" w14:textId="59C095D9" w:rsidR="00E21852" w:rsidRPr="000D5CC4" w:rsidRDefault="007A1C53" w:rsidP="00E21852">
            <w:pPr>
              <w:rPr>
                <w:rFonts w:ascii="Arial" w:hAnsi="Arial" w:cs="Arial"/>
                <w:sz w:val="16"/>
                <w:szCs w:val="16"/>
              </w:rPr>
            </w:pPr>
            <w:r w:rsidRPr="000D5CC4">
              <w:rPr>
                <w:rFonts w:ascii="Arial" w:hAnsi="Arial" w:cs="Arial"/>
                <w:sz w:val="16"/>
                <w:szCs w:val="16"/>
              </w:rPr>
              <w:t>-0.06 (-0.28, 0.16)</w:t>
            </w:r>
          </w:p>
        </w:tc>
        <w:tc>
          <w:tcPr>
            <w:tcW w:w="1747" w:type="dxa"/>
          </w:tcPr>
          <w:p w14:paraId="7F97B170" w14:textId="78928CB2" w:rsidR="00E21852" w:rsidRPr="000D5CC4" w:rsidRDefault="007A1C53" w:rsidP="00E21852">
            <w:pPr>
              <w:rPr>
                <w:rFonts w:ascii="Arial" w:hAnsi="Arial" w:cs="Arial"/>
                <w:sz w:val="16"/>
                <w:szCs w:val="16"/>
              </w:rPr>
            </w:pPr>
            <w:r w:rsidRPr="000D5CC4">
              <w:rPr>
                <w:rFonts w:ascii="Arial" w:hAnsi="Arial" w:cs="Arial"/>
                <w:sz w:val="16"/>
                <w:szCs w:val="16"/>
              </w:rPr>
              <w:t>-0.001 (-0.004, 0.002)</w:t>
            </w:r>
          </w:p>
        </w:tc>
      </w:tr>
      <w:tr w:rsidR="00E21852" w:rsidRPr="000D5CC4" w14:paraId="510BEAE7" w14:textId="797F167C" w:rsidTr="00E33A0F">
        <w:trPr>
          <w:trHeight w:val="23"/>
        </w:trPr>
        <w:tc>
          <w:tcPr>
            <w:tcW w:w="2959" w:type="dxa"/>
          </w:tcPr>
          <w:p w14:paraId="4E980062" w14:textId="25E2F338" w:rsidR="00E21852" w:rsidRPr="000D5CC4" w:rsidRDefault="00E21852" w:rsidP="00E21852">
            <w:pPr>
              <w:ind w:left="160"/>
              <w:rPr>
                <w:rFonts w:ascii="Arial" w:hAnsi="Arial" w:cs="Arial"/>
                <w:sz w:val="16"/>
                <w:szCs w:val="16"/>
              </w:rPr>
            </w:pPr>
            <w:r w:rsidRPr="000D5CC4">
              <w:rPr>
                <w:rFonts w:ascii="Arial" w:hAnsi="Arial" w:cs="Arial"/>
                <w:sz w:val="16"/>
                <w:szCs w:val="16"/>
              </w:rPr>
              <w:t>Live births (linear) x years since last live birth</w:t>
            </w:r>
          </w:p>
        </w:tc>
        <w:tc>
          <w:tcPr>
            <w:tcW w:w="1625" w:type="dxa"/>
          </w:tcPr>
          <w:p w14:paraId="38539834" w14:textId="19B81991" w:rsidR="00E21852" w:rsidRPr="000D5CC4" w:rsidRDefault="007A1C53" w:rsidP="00E21852">
            <w:pPr>
              <w:rPr>
                <w:rFonts w:ascii="Arial" w:hAnsi="Arial" w:cs="Arial"/>
                <w:sz w:val="16"/>
                <w:szCs w:val="16"/>
              </w:rPr>
            </w:pPr>
            <w:r w:rsidRPr="000D5CC4">
              <w:rPr>
                <w:rFonts w:ascii="Arial" w:hAnsi="Arial" w:cs="Arial"/>
                <w:sz w:val="16"/>
                <w:szCs w:val="16"/>
              </w:rPr>
              <w:t>0.02 (-0.05, 0.09)</w:t>
            </w:r>
          </w:p>
        </w:tc>
        <w:tc>
          <w:tcPr>
            <w:tcW w:w="1981" w:type="dxa"/>
          </w:tcPr>
          <w:p w14:paraId="7A02CC3E" w14:textId="30C7EFA9" w:rsidR="00E21852" w:rsidRPr="000D5CC4" w:rsidRDefault="007A1C53" w:rsidP="00E21852">
            <w:pPr>
              <w:rPr>
                <w:rFonts w:ascii="Arial" w:hAnsi="Arial" w:cs="Arial"/>
                <w:sz w:val="16"/>
                <w:szCs w:val="16"/>
              </w:rPr>
            </w:pPr>
            <w:r w:rsidRPr="000D5CC4">
              <w:rPr>
                <w:rFonts w:ascii="Arial" w:hAnsi="Arial" w:cs="Arial"/>
                <w:sz w:val="16"/>
                <w:szCs w:val="16"/>
              </w:rPr>
              <w:t>0.004 (-0.001. 0.01)</w:t>
            </w:r>
          </w:p>
        </w:tc>
        <w:tc>
          <w:tcPr>
            <w:tcW w:w="1620" w:type="dxa"/>
          </w:tcPr>
          <w:p w14:paraId="5862600E" w14:textId="06B2FD7D" w:rsidR="00E21852" w:rsidRPr="000D5CC4" w:rsidRDefault="007A1C53" w:rsidP="00E21852">
            <w:pPr>
              <w:rPr>
                <w:rFonts w:ascii="Arial" w:hAnsi="Arial" w:cs="Arial"/>
                <w:sz w:val="16"/>
                <w:szCs w:val="16"/>
              </w:rPr>
            </w:pPr>
            <w:r w:rsidRPr="000D5CC4">
              <w:rPr>
                <w:rFonts w:ascii="Arial" w:hAnsi="Arial" w:cs="Arial"/>
                <w:sz w:val="16"/>
                <w:szCs w:val="16"/>
              </w:rPr>
              <w:t>0.10 (-0.04, 0.23)</w:t>
            </w:r>
          </w:p>
        </w:tc>
        <w:tc>
          <w:tcPr>
            <w:tcW w:w="1747" w:type="dxa"/>
          </w:tcPr>
          <w:p w14:paraId="1B8E9C8B" w14:textId="644271B7" w:rsidR="00E21852" w:rsidRPr="000D5CC4" w:rsidRDefault="003D5ACF" w:rsidP="00E21852">
            <w:pPr>
              <w:rPr>
                <w:rFonts w:ascii="Arial" w:hAnsi="Arial" w:cs="Arial"/>
                <w:sz w:val="16"/>
                <w:szCs w:val="16"/>
              </w:rPr>
            </w:pPr>
            <w:r w:rsidRPr="000D5CC4">
              <w:rPr>
                <w:rFonts w:ascii="Arial" w:hAnsi="Arial" w:cs="Arial"/>
                <w:sz w:val="16"/>
                <w:szCs w:val="16"/>
              </w:rPr>
              <w:t>0.001</w:t>
            </w:r>
            <w:r w:rsidR="007A1C53" w:rsidRPr="000D5CC4">
              <w:rPr>
                <w:rFonts w:ascii="Arial" w:hAnsi="Arial" w:cs="Arial"/>
                <w:sz w:val="16"/>
                <w:szCs w:val="16"/>
              </w:rPr>
              <w:t xml:space="preserve"> (-0.001, 0.003)</w:t>
            </w:r>
          </w:p>
        </w:tc>
      </w:tr>
      <w:tr w:rsidR="00E21852" w:rsidRPr="000D5CC4" w14:paraId="1E1DE87A" w14:textId="49183FF6" w:rsidTr="00E33A0F">
        <w:trPr>
          <w:trHeight w:val="23"/>
        </w:trPr>
        <w:tc>
          <w:tcPr>
            <w:tcW w:w="2959" w:type="dxa"/>
          </w:tcPr>
          <w:p w14:paraId="513F7662" w14:textId="40D76CAA" w:rsidR="00E21852" w:rsidRPr="000D5CC4" w:rsidRDefault="00E21852" w:rsidP="00E21852">
            <w:pPr>
              <w:ind w:left="160"/>
              <w:rPr>
                <w:rFonts w:ascii="Arial" w:hAnsi="Arial" w:cs="Arial"/>
                <w:sz w:val="16"/>
                <w:szCs w:val="16"/>
              </w:rPr>
            </w:pPr>
            <w:r w:rsidRPr="000D5CC4">
              <w:rPr>
                <w:rFonts w:ascii="Arial" w:hAnsi="Arial" w:cs="Arial"/>
                <w:sz w:val="16"/>
                <w:szCs w:val="16"/>
              </w:rPr>
              <w:t>Live births (quadratic) x years since last live birth</w:t>
            </w:r>
          </w:p>
        </w:tc>
        <w:tc>
          <w:tcPr>
            <w:tcW w:w="1625" w:type="dxa"/>
          </w:tcPr>
          <w:p w14:paraId="0AAD7EF9" w14:textId="33E8C1ED" w:rsidR="00E21852" w:rsidRPr="000D5CC4" w:rsidRDefault="007A1C53" w:rsidP="00E21852">
            <w:pPr>
              <w:rPr>
                <w:rFonts w:ascii="Arial" w:hAnsi="Arial" w:cs="Arial"/>
                <w:sz w:val="16"/>
                <w:szCs w:val="16"/>
              </w:rPr>
            </w:pPr>
            <w:r w:rsidRPr="000D5CC4">
              <w:rPr>
                <w:rFonts w:ascii="Arial" w:hAnsi="Arial" w:cs="Arial"/>
                <w:sz w:val="16"/>
                <w:szCs w:val="16"/>
              </w:rPr>
              <w:t>-0.003 (-0.01, 0.01)</w:t>
            </w:r>
          </w:p>
        </w:tc>
        <w:tc>
          <w:tcPr>
            <w:tcW w:w="1981" w:type="dxa"/>
          </w:tcPr>
          <w:p w14:paraId="3CECC31D" w14:textId="2BDA5863" w:rsidR="00E21852" w:rsidRPr="000D5CC4" w:rsidRDefault="007A1C53" w:rsidP="00E21852">
            <w:pPr>
              <w:rPr>
                <w:rFonts w:ascii="Arial" w:hAnsi="Arial" w:cs="Arial"/>
                <w:sz w:val="16"/>
                <w:szCs w:val="16"/>
              </w:rPr>
            </w:pPr>
            <w:r w:rsidRPr="000D5CC4">
              <w:rPr>
                <w:rFonts w:ascii="Arial" w:hAnsi="Arial" w:cs="Arial"/>
                <w:sz w:val="16"/>
                <w:szCs w:val="16"/>
              </w:rPr>
              <w:t>-0.0001 (-0.001, 0.0001)</w:t>
            </w:r>
          </w:p>
        </w:tc>
        <w:tc>
          <w:tcPr>
            <w:tcW w:w="1620" w:type="dxa"/>
          </w:tcPr>
          <w:p w14:paraId="62061343" w14:textId="25538C08" w:rsidR="00E21852" w:rsidRPr="000D5CC4" w:rsidRDefault="007A1C53" w:rsidP="00E21852">
            <w:pPr>
              <w:rPr>
                <w:rFonts w:ascii="Arial" w:hAnsi="Arial" w:cs="Arial"/>
                <w:sz w:val="16"/>
                <w:szCs w:val="16"/>
              </w:rPr>
            </w:pPr>
            <w:r w:rsidRPr="000D5CC4">
              <w:rPr>
                <w:rFonts w:ascii="Arial" w:hAnsi="Arial" w:cs="Arial"/>
                <w:sz w:val="16"/>
                <w:szCs w:val="16"/>
              </w:rPr>
              <w:t>-0.02 (-0.04, 0.01)</w:t>
            </w:r>
          </w:p>
        </w:tc>
        <w:tc>
          <w:tcPr>
            <w:tcW w:w="1747" w:type="dxa"/>
          </w:tcPr>
          <w:p w14:paraId="425A9470" w14:textId="15987BB0" w:rsidR="00E21852" w:rsidRPr="000D5CC4" w:rsidRDefault="003D5ACF" w:rsidP="00E21852">
            <w:pPr>
              <w:rPr>
                <w:rFonts w:ascii="Arial" w:hAnsi="Arial" w:cs="Arial"/>
                <w:sz w:val="16"/>
                <w:szCs w:val="16"/>
              </w:rPr>
            </w:pPr>
            <w:r w:rsidRPr="000D5CC4">
              <w:rPr>
                <w:rFonts w:ascii="Arial" w:hAnsi="Arial" w:cs="Arial"/>
                <w:sz w:val="16"/>
                <w:szCs w:val="16"/>
              </w:rPr>
              <w:t>-0.0002 (-0.0004, 0.0001)</w:t>
            </w:r>
          </w:p>
        </w:tc>
      </w:tr>
      <w:tr w:rsidR="00E33A0F" w:rsidRPr="000D5CC4" w14:paraId="7B9B0701" w14:textId="27FD5EE3" w:rsidTr="0069035A">
        <w:trPr>
          <w:trHeight w:val="23"/>
        </w:trPr>
        <w:tc>
          <w:tcPr>
            <w:tcW w:w="9932" w:type="dxa"/>
            <w:gridSpan w:val="5"/>
            <w:tcBorders>
              <w:top w:val="single" w:sz="4" w:space="0" w:color="auto"/>
              <w:bottom w:val="single" w:sz="4" w:space="0" w:color="auto"/>
            </w:tcBorders>
          </w:tcPr>
          <w:p w14:paraId="3E2DE7E8" w14:textId="6C78BF68" w:rsidR="00E33A0F" w:rsidRPr="000D5CC4" w:rsidRDefault="00E33A0F" w:rsidP="00E33A0F">
            <w:pPr>
              <w:rPr>
                <w:rFonts w:ascii="Arial" w:hAnsi="Arial" w:cs="Arial"/>
                <w:sz w:val="16"/>
                <w:szCs w:val="16"/>
              </w:rPr>
            </w:pPr>
            <w:r w:rsidRPr="000D5CC4">
              <w:rPr>
                <w:rFonts w:ascii="Arial" w:hAnsi="Arial" w:cs="Arial"/>
                <w:b/>
                <w:bCs/>
                <w:sz w:val="16"/>
                <w:szCs w:val="16"/>
              </w:rPr>
              <w:t>Sensitivity analysis 3 (n = 107)</w:t>
            </w:r>
          </w:p>
        </w:tc>
      </w:tr>
      <w:tr w:rsidR="00E33A0F" w:rsidRPr="000D5CC4" w14:paraId="63753C2E" w14:textId="02268707" w:rsidTr="0069035A">
        <w:trPr>
          <w:trHeight w:val="23"/>
        </w:trPr>
        <w:tc>
          <w:tcPr>
            <w:tcW w:w="2959" w:type="dxa"/>
            <w:tcBorders>
              <w:top w:val="single" w:sz="4" w:space="0" w:color="auto"/>
            </w:tcBorders>
          </w:tcPr>
          <w:p w14:paraId="0568BC22" w14:textId="52A74631" w:rsidR="00E33A0F" w:rsidRPr="000D5CC4" w:rsidRDefault="00E33A0F" w:rsidP="00E33A0F">
            <w:pPr>
              <w:ind w:left="160"/>
              <w:rPr>
                <w:rFonts w:ascii="Arial" w:hAnsi="Arial" w:cs="Arial"/>
                <w:sz w:val="16"/>
                <w:szCs w:val="16"/>
              </w:rPr>
            </w:pPr>
            <w:r w:rsidRPr="000D5CC4">
              <w:rPr>
                <w:rFonts w:ascii="Arial" w:hAnsi="Arial" w:cs="Arial"/>
                <w:sz w:val="16"/>
                <w:szCs w:val="16"/>
              </w:rPr>
              <w:t>Live births (linear)</w:t>
            </w:r>
          </w:p>
        </w:tc>
        <w:tc>
          <w:tcPr>
            <w:tcW w:w="1625" w:type="dxa"/>
            <w:tcBorders>
              <w:top w:val="single" w:sz="4" w:space="0" w:color="auto"/>
            </w:tcBorders>
          </w:tcPr>
          <w:p w14:paraId="1E06271D" w14:textId="13A84793" w:rsidR="00E33A0F" w:rsidRPr="000D5CC4" w:rsidRDefault="00E33A0F" w:rsidP="00E33A0F">
            <w:pPr>
              <w:rPr>
                <w:rFonts w:ascii="Arial" w:hAnsi="Arial" w:cs="Arial"/>
                <w:sz w:val="16"/>
                <w:szCs w:val="16"/>
              </w:rPr>
            </w:pPr>
            <w:r w:rsidRPr="000D5CC4">
              <w:rPr>
                <w:rFonts w:ascii="Arial" w:hAnsi="Arial" w:cs="Arial"/>
                <w:sz w:val="16"/>
                <w:szCs w:val="16"/>
              </w:rPr>
              <w:t>-6.63 (-13.19, -0.07) *</w:t>
            </w:r>
          </w:p>
        </w:tc>
        <w:tc>
          <w:tcPr>
            <w:tcW w:w="1981" w:type="dxa"/>
            <w:tcBorders>
              <w:top w:val="single" w:sz="4" w:space="0" w:color="auto"/>
            </w:tcBorders>
          </w:tcPr>
          <w:p w14:paraId="6D17574D" w14:textId="75B4CD5A" w:rsidR="00E33A0F" w:rsidRPr="000D5CC4" w:rsidRDefault="00E33A0F" w:rsidP="00E33A0F">
            <w:pPr>
              <w:rPr>
                <w:rFonts w:ascii="Arial" w:hAnsi="Arial" w:cs="Arial"/>
                <w:sz w:val="16"/>
                <w:szCs w:val="16"/>
              </w:rPr>
            </w:pPr>
            <w:r w:rsidRPr="000D5CC4">
              <w:rPr>
                <w:rFonts w:ascii="Arial" w:hAnsi="Arial" w:cs="Arial"/>
                <w:sz w:val="16"/>
                <w:szCs w:val="16"/>
              </w:rPr>
              <w:t>0.25 (-0.39, 0.90)</w:t>
            </w:r>
          </w:p>
        </w:tc>
        <w:tc>
          <w:tcPr>
            <w:tcW w:w="1620" w:type="dxa"/>
            <w:tcBorders>
              <w:top w:val="single" w:sz="4" w:space="0" w:color="auto"/>
            </w:tcBorders>
          </w:tcPr>
          <w:p w14:paraId="337D2806" w14:textId="3B3921CB" w:rsidR="00E33A0F" w:rsidRPr="000D5CC4" w:rsidRDefault="00E33A0F" w:rsidP="00E33A0F">
            <w:pPr>
              <w:rPr>
                <w:rFonts w:ascii="Arial" w:hAnsi="Arial" w:cs="Arial"/>
                <w:sz w:val="16"/>
                <w:szCs w:val="16"/>
              </w:rPr>
            </w:pPr>
            <w:r w:rsidRPr="000D5CC4">
              <w:rPr>
                <w:rFonts w:ascii="Arial" w:hAnsi="Arial" w:cs="Arial"/>
                <w:sz w:val="16"/>
                <w:szCs w:val="16"/>
              </w:rPr>
              <w:t>-2.70 (-14.83, 9.43)</w:t>
            </w:r>
          </w:p>
        </w:tc>
        <w:tc>
          <w:tcPr>
            <w:tcW w:w="1747" w:type="dxa"/>
            <w:tcBorders>
              <w:top w:val="single" w:sz="4" w:space="0" w:color="auto"/>
            </w:tcBorders>
          </w:tcPr>
          <w:p w14:paraId="1B16BF8F" w14:textId="24880667" w:rsidR="00E33A0F" w:rsidRPr="000D5CC4" w:rsidRDefault="00E33A0F" w:rsidP="00E33A0F">
            <w:pPr>
              <w:rPr>
                <w:rFonts w:ascii="Arial" w:hAnsi="Arial" w:cs="Arial"/>
                <w:sz w:val="16"/>
                <w:szCs w:val="16"/>
              </w:rPr>
            </w:pPr>
            <w:r w:rsidRPr="000D5CC4">
              <w:rPr>
                <w:rFonts w:ascii="Arial" w:hAnsi="Arial" w:cs="Arial"/>
                <w:sz w:val="16"/>
                <w:szCs w:val="16"/>
              </w:rPr>
              <w:t>-0.06 (-0.21, 0.08)</w:t>
            </w:r>
          </w:p>
        </w:tc>
      </w:tr>
      <w:tr w:rsidR="00E33A0F" w:rsidRPr="000D5CC4" w14:paraId="1B1C027E" w14:textId="52BF8447" w:rsidTr="00DD7764">
        <w:trPr>
          <w:trHeight w:val="23"/>
        </w:trPr>
        <w:tc>
          <w:tcPr>
            <w:tcW w:w="2959" w:type="dxa"/>
          </w:tcPr>
          <w:p w14:paraId="23928DEC" w14:textId="763CB657" w:rsidR="00E33A0F" w:rsidRPr="000D5CC4" w:rsidRDefault="00E33A0F" w:rsidP="00E33A0F">
            <w:pPr>
              <w:ind w:left="160"/>
              <w:rPr>
                <w:rFonts w:ascii="Arial" w:hAnsi="Arial" w:cs="Arial"/>
                <w:sz w:val="16"/>
                <w:szCs w:val="16"/>
              </w:rPr>
            </w:pPr>
            <w:r w:rsidRPr="000D5CC4">
              <w:rPr>
                <w:rFonts w:ascii="Arial" w:hAnsi="Arial" w:cs="Arial"/>
                <w:sz w:val="16"/>
                <w:szCs w:val="16"/>
              </w:rPr>
              <w:t>Live births (quadratic)</w:t>
            </w:r>
          </w:p>
        </w:tc>
        <w:tc>
          <w:tcPr>
            <w:tcW w:w="1625" w:type="dxa"/>
          </w:tcPr>
          <w:p w14:paraId="485B6F13" w14:textId="24F0F1FD" w:rsidR="00E33A0F" w:rsidRPr="000D5CC4" w:rsidRDefault="00E33A0F" w:rsidP="00E33A0F">
            <w:pPr>
              <w:rPr>
                <w:rFonts w:ascii="Arial" w:hAnsi="Arial" w:cs="Arial"/>
                <w:sz w:val="16"/>
                <w:szCs w:val="16"/>
              </w:rPr>
            </w:pPr>
            <w:r w:rsidRPr="000D5CC4">
              <w:rPr>
                <w:rFonts w:ascii="Arial" w:hAnsi="Arial" w:cs="Arial"/>
                <w:sz w:val="16"/>
                <w:szCs w:val="16"/>
              </w:rPr>
              <w:t>1.15 (0.14, 2.17) *</w:t>
            </w:r>
          </w:p>
        </w:tc>
        <w:tc>
          <w:tcPr>
            <w:tcW w:w="1981" w:type="dxa"/>
          </w:tcPr>
          <w:p w14:paraId="76C10BA8" w14:textId="5E0DA4BF" w:rsidR="00E33A0F" w:rsidRPr="000D5CC4" w:rsidRDefault="00E33A0F" w:rsidP="00E33A0F">
            <w:pPr>
              <w:rPr>
                <w:rFonts w:ascii="Arial" w:hAnsi="Arial" w:cs="Arial"/>
                <w:sz w:val="16"/>
                <w:szCs w:val="16"/>
              </w:rPr>
            </w:pPr>
            <w:r w:rsidRPr="000D5CC4">
              <w:rPr>
                <w:rFonts w:ascii="Arial" w:hAnsi="Arial" w:cs="Arial"/>
                <w:sz w:val="16"/>
                <w:szCs w:val="16"/>
              </w:rPr>
              <w:t>-0.02 (-0.12, 0.08)</w:t>
            </w:r>
          </w:p>
        </w:tc>
        <w:tc>
          <w:tcPr>
            <w:tcW w:w="1620" w:type="dxa"/>
          </w:tcPr>
          <w:p w14:paraId="66E9317A" w14:textId="1BC67929" w:rsidR="00E33A0F" w:rsidRPr="000D5CC4" w:rsidRDefault="00E33A0F" w:rsidP="00E33A0F">
            <w:pPr>
              <w:rPr>
                <w:rFonts w:ascii="Arial" w:hAnsi="Arial" w:cs="Arial"/>
                <w:sz w:val="16"/>
                <w:szCs w:val="16"/>
              </w:rPr>
            </w:pPr>
            <w:r w:rsidRPr="000D5CC4">
              <w:rPr>
                <w:rFonts w:ascii="Arial" w:hAnsi="Arial" w:cs="Arial"/>
                <w:sz w:val="16"/>
                <w:szCs w:val="16"/>
              </w:rPr>
              <w:t>0.66 (-1.49, 2.82)</w:t>
            </w:r>
          </w:p>
        </w:tc>
        <w:tc>
          <w:tcPr>
            <w:tcW w:w="1747" w:type="dxa"/>
          </w:tcPr>
          <w:p w14:paraId="18427289" w14:textId="514A89BF" w:rsidR="00E33A0F" w:rsidRPr="000D5CC4" w:rsidRDefault="00E33A0F" w:rsidP="00E33A0F">
            <w:pPr>
              <w:rPr>
                <w:rFonts w:ascii="Arial" w:hAnsi="Arial" w:cs="Arial"/>
                <w:sz w:val="16"/>
                <w:szCs w:val="16"/>
              </w:rPr>
            </w:pPr>
            <w:r w:rsidRPr="000D5CC4">
              <w:rPr>
                <w:rFonts w:ascii="Arial" w:hAnsi="Arial" w:cs="Arial"/>
                <w:sz w:val="16"/>
                <w:szCs w:val="16"/>
              </w:rPr>
              <w:t>0.02 (-0.01, 0.04)</w:t>
            </w:r>
          </w:p>
        </w:tc>
      </w:tr>
      <w:tr w:rsidR="00E33A0F" w:rsidRPr="000D5CC4" w14:paraId="67C7E7D2" w14:textId="4830A3F9" w:rsidTr="00DD7764">
        <w:trPr>
          <w:trHeight w:val="23"/>
        </w:trPr>
        <w:tc>
          <w:tcPr>
            <w:tcW w:w="2959" w:type="dxa"/>
          </w:tcPr>
          <w:p w14:paraId="1C986834" w14:textId="61594D86" w:rsidR="00E33A0F" w:rsidRPr="000D5CC4" w:rsidRDefault="00E33A0F" w:rsidP="00E33A0F">
            <w:pPr>
              <w:ind w:left="160"/>
              <w:rPr>
                <w:rFonts w:ascii="Arial" w:hAnsi="Arial" w:cs="Arial"/>
                <w:sz w:val="16"/>
                <w:szCs w:val="16"/>
              </w:rPr>
            </w:pPr>
            <w:r w:rsidRPr="000D5CC4">
              <w:rPr>
                <w:rFonts w:ascii="Arial" w:hAnsi="Arial" w:cs="Arial"/>
                <w:sz w:val="16"/>
                <w:szCs w:val="16"/>
              </w:rPr>
              <w:t>Months since last live birth</w:t>
            </w:r>
          </w:p>
        </w:tc>
        <w:tc>
          <w:tcPr>
            <w:tcW w:w="1625" w:type="dxa"/>
          </w:tcPr>
          <w:p w14:paraId="1DE250DC" w14:textId="279B27D3" w:rsidR="00E33A0F" w:rsidRPr="000D5CC4" w:rsidRDefault="00E33A0F" w:rsidP="00E33A0F">
            <w:pPr>
              <w:rPr>
                <w:rFonts w:ascii="Arial" w:hAnsi="Arial" w:cs="Arial"/>
                <w:sz w:val="16"/>
                <w:szCs w:val="16"/>
              </w:rPr>
            </w:pPr>
            <w:r w:rsidRPr="000D5CC4">
              <w:rPr>
                <w:rFonts w:ascii="Arial" w:hAnsi="Arial" w:cs="Arial"/>
                <w:sz w:val="16"/>
                <w:szCs w:val="16"/>
              </w:rPr>
              <w:t>-1.07 (-1.81, -0.34) *</w:t>
            </w:r>
          </w:p>
        </w:tc>
        <w:tc>
          <w:tcPr>
            <w:tcW w:w="1981" w:type="dxa"/>
          </w:tcPr>
          <w:p w14:paraId="0E44C3B8" w14:textId="6E6AF36C" w:rsidR="00E33A0F" w:rsidRPr="000D5CC4" w:rsidRDefault="00E33A0F" w:rsidP="00E33A0F">
            <w:pPr>
              <w:rPr>
                <w:rFonts w:ascii="Arial" w:hAnsi="Arial" w:cs="Arial"/>
                <w:sz w:val="16"/>
                <w:szCs w:val="16"/>
              </w:rPr>
            </w:pPr>
            <w:r w:rsidRPr="000D5CC4">
              <w:rPr>
                <w:rFonts w:ascii="Arial" w:hAnsi="Arial" w:cs="Arial"/>
                <w:sz w:val="16"/>
                <w:szCs w:val="16"/>
              </w:rPr>
              <w:t>0.05 (-0.04, 0.14)</w:t>
            </w:r>
          </w:p>
        </w:tc>
        <w:tc>
          <w:tcPr>
            <w:tcW w:w="1620" w:type="dxa"/>
          </w:tcPr>
          <w:p w14:paraId="7F151B5E" w14:textId="38936C0B" w:rsidR="00E33A0F" w:rsidRPr="000D5CC4" w:rsidRDefault="00E33A0F" w:rsidP="00E33A0F">
            <w:pPr>
              <w:rPr>
                <w:rFonts w:ascii="Arial" w:hAnsi="Arial" w:cs="Arial"/>
                <w:sz w:val="16"/>
                <w:szCs w:val="16"/>
              </w:rPr>
            </w:pPr>
            <w:r w:rsidRPr="000D5CC4">
              <w:rPr>
                <w:rFonts w:ascii="Arial" w:hAnsi="Arial" w:cs="Arial"/>
                <w:sz w:val="16"/>
                <w:szCs w:val="16"/>
              </w:rPr>
              <w:t>-0.71 (-2.06, 0.65)</w:t>
            </w:r>
          </w:p>
        </w:tc>
        <w:tc>
          <w:tcPr>
            <w:tcW w:w="1747" w:type="dxa"/>
          </w:tcPr>
          <w:p w14:paraId="0D0F55C3" w14:textId="2DD277C9" w:rsidR="00E33A0F" w:rsidRPr="000D5CC4" w:rsidRDefault="00E33A0F" w:rsidP="00E33A0F">
            <w:pPr>
              <w:rPr>
                <w:rFonts w:ascii="Arial" w:hAnsi="Arial" w:cs="Arial"/>
                <w:sz w:val="16"/>
                <w:szCs w:val="16"/>
              </w:rPr>
            </w:pPr>
            <w:r w:rsidRPr="000D5CC4">
              <w:rPr>
                <w:rFonts w:ascii="Arial" w:hAnsi="Arial" w:cs="Arial"/>
                <w:sz w:val="16"/>
                <w:szCs w:val="16"/>
              </w:rPr>
              <w:t>-0.01 (-0.02, 0.01)</w:t>
            </w:r>
          </w:p>
        </w:tc>
      </w:tr>
      <w:tr w:rsidR="00E33A0F" w:rsidRPr="000D5CC4" w14:paraId="6DF6F276" w14:textId="77777777" w:rsidTr="000064E4">
        <w:trPr>
          <w:trHeight w:val="23"/>
        </w:trPr>
        <w:tc>
          <w:tcPr>
            <w:tcW w:w="2959" w:type="dxa"/>
          </w:tcPr>
          <w:p w14:paraId="2378E500" w14:textId="0135F869" w:rsidR="00E33A0F" w:rsidRPr="000D5CC4" w:rsidRDefault="00E33A0F" w:rsidP="00E33A0F">
            <w:pPr>
              <w:ind w:left="160"/>
              <w:rPr>
                <w:rFonts w:ascii="Arial" w:hAnsi="Arial" w:cs="Arial"/>
                <w:sz w:val="16"/>
                <w:szCs w:val="16"/>
              </w:rPr>
            </w:pPr>
            <w:r w:rsidRPr="000D5CC4">
              <w:rPr>
                <w:rFonts w:ascii="Arial" w:hAnsi="Arial" w:cs="Arial"/>
                <w:sz w:val="16"/>
                <w:szCs w:val="16"/>
              </w:rPr>
              <w:t>Live births (linear) x months since last live birth</w:t>
            </w:r>
          </w:p>
        </w:tc>
        <w:tc>
          <w:tcPr>
            <w:tcW w:w="1625" w:type="dxa"/>
          </w:tcPr>
          <w:p w14:paraId="6FF60810" w14:textId="0467B01A" w:rsidR="00E33A0F" w:rsidRPr="000D5CC4" w:rsidRDefault="00E33A0F" w:rsidP="00E33A0F">
            <w:pPr>
              <w:rPr>
                <w:rFonts w:ascii="Arial" w:hAnsi="Arial" w:cs="Arial"/>
                <w:sz w:val="16"/>
                <w:szCs w:val="16"/>
              </w:rPr>
            </w:pPr>
            <w:r w:rsidRPr="000D5CC4">
              <w:rPr>
                <w:rFonts w:ascii="Arial" w:hAnsi="Arial" w:cs="Arial"/>
                <w:sz w:val="16"/>
                <w:szCs w:val="16"/>
              </w:rPr>
              <w:t>0.60 (0.14, 1.05) *</w:t>
            </w:r>
          </w:p>
        </w:tc>
        <w:tc>
          <w:tcPr>
            <w:tcW w:w="1981" w:type="dxa"/>
          </w:tcPr>
          <w:p w14:paraId="4CA05090" w14:textId="7D6DC44B" w:rsidR="00E33A0F" w:rsidRPr="000D5CC4" w:rsidRDefault="00E33A0F" w:rsidP="00E33A0F">
            <w:pPr>
              <w:rPr>
                <w:rFonts w:ascii="Arial" w:hAnsi="Arial" w:cs="Arial"/>
                <w:sz w:val="16"/>
                <w:szCs w:val="16"/>
              </w:rPr>
            </w:pPr>
            <w:r w:rsidRPr="000D5CC4">
              <w:rPr>
                <w:rFonts w:ascii="Arial" w:hAnsi="Arial" w:cs="Arial"/>
                <w:sz w:val="16"/>
                <w:szCs w:val="16"/>
              </w:rPr>
              <w:t>-0.04 (-0.10, 0.02)</w:t>
            </w:r>
          </w:p>
        </w:tc>
        <w:tc>
          <w:tcPr>
            <w:tcW w:w="1620" w:type="dxa"/>
          </w:tcPr>
          <w:p w14:paraId="3D3F7CCE" w14:textId="4EEE923A" w:rsidR="00E33A0F" w:rsidRPr="000D5CC4" w:rsidRDefault="00E33A0F" w:rsidP="00E33A0F">
            <w:pPr>
              <w:rPr>
                <w:rFonts w:ascii="Arial" w:hAnsi="Arial" w:cs="Arial"/>
                <w:sz w:val="16"/>
                <w:szCs w:val="16"/>
              </w:rPr>
            </w:pPr>
            <w:r w:rsidRPr="000D5CC4">
              <w:rPr>
                <w:rFonts w:ascii="Arial" w:hAnsi="Arial" w:cs="Arial"/>
                <w:sz w:val="16"/>
                <w:szCs w:val="16"/>
              </w:rPr>
              <w:t>0.23 (-0.72, 1.17)</w:t>
            </w:r>
          </w:p>
        </w:tc>
        <w:tc>
          <w:tcPr>
            <w:tcW w:w="1747" w:type="dxa"/>
          </w:tcPr>
          <w:p w14:paraId="47A3B22B" w14:textId="6D61AB85" w:rsidR="00E33A0F" w:rsidRPr="000D5CC4" w:rsidRDefault="00E33A0F" w:rsidP="00E33A0F">
            <w:pPr>
              <w:rPr>
                <w:rFonts w:ascii="Arial" w:hAnsi="Arial" w:cs="Arial"/>
                <w:sz w:val="16"/>
                <w:szCs w:val="16"/>
              </w:rPr>
            </w:pPr>
            <w:r w:rsidRPr="000D5CC4">
              <w:rPr>
                <w:rFonts w:ascii="Arial" w:hAnsi="Arial" w:cs="Arial"/>
                <w:sz w:val="16"/>
                <w:szCs w:val="16"/>
              </w:rPr>
              <w:t>-0.001 (-0.01, 0.01)</w:t>
            </w:r>
          </w:p>
        </w:tc>
      </w:tr>
      <w:tr w:rsidR="00E33A0F" w:rsidRPr="000D5CC4" w14:paraId="528F579B" w14:textId="77777777" w:rsidTr="000064E4">
        <w:trPr>
          <w:trHeight w:val="23"/>
        </w:trPr>
        <w:tc>
          <w:tcPr>
            <w:tcW w:w="2959" w:type="dxa"/>
            <w:tcBorders>
              <w:bottom w:val="single" w:sz="4" w:space="0" w:color="auto"/>
            </w:tcBorders>
          </w:tcPr>
          <w:p w14:paraId="7A771B3D" w14:textId="45795219" w:rsidR="00E33A0F" w:rsidRPr="000D5CC4" w:rsidRDefault="00E33A0F" w:rsidP="00E33A0F">
            <w:pPr>
              <w:ind w:left="160"/>
              <w:rPr>
                <w:rFonts w:ascii="Arial" w:hAnsi="Arial" w:cs="Arial"/>
                <w:sz w:val="16"/>
                <w:szCs w:val="16"/>
              </w:rPr>
            </w:pPr>
            <w:r w:rsidRPr="000D5CC4">
              <w:rPr>
                <w:rFonts w:ascii="Arial" w:hAnsi="Arial" w:cs="Arial"/>
                <w:sz w:val="16"/>
                <w:szCs w:val="16"/>
              </w:rPr>
              <w:t>Live births (quadratic) x months since last live birth</w:t>
            </w:r>
          </w:p>
        </w:tc>
        <w:tc>
          <w:tcPr>
            <w:tcW w:w="1625" w:type="dxa"/>
            <w:tcBorders>
              <w:bottom w:val="single" w:sz="4" w:space="0" w:color="auto"/>
            </w:tcBorders>
          </w:tcPr>
          <w:p w14:paraId="465CF935" w14:textId="40CA1FCE" w:rsidR="00E33A0F" w:rsidRPr="000D5CC4" w:rsidRDefault="00E33A0F" w:rsidP="00E33A0F">
            <w:pPr>
              <w:rPr>
                <w:rFonts w:ascii="Arial" w:hAnsi="Arial" w:cs="Arial"/>
                <w:sz w:val="16"/>
                <w:szCs w:val="16"/>
              </w:rPr>
            </w:pPr>
            <w:r w:rsidRPr="000D5CC4">
              <w:rPr>
                <w:rFonts w:ascii="Arial" w:hAnsi="Arial" w:cs="Arial"/>
                <w:sz w:val="16"/>
                <w:szCs w:val="16"/>
              </w:rPr>
              <w:t>-0.09 (-0.15, -0.02) *</w:t>
            </w:r>
          </w:p>
        </w:tc>
        <w:tc>
          <w:tcPr>
            <w:tcW w:w="1981" w:type="dxa"/>
            <w:tcBorders>
              <w:bottom w:val="single" w:sz="4" w:space="0" w:color="auto"/>
            </w:tcBorders>
          </w:tcPr>
          <w:p w14:paraId="77D13E71" w14:textId="16A05C50" w:rsidR="00E33A0F" w:rsidRPr="000D5CC4" w:rsidRDefault="00E33A0F" w:rsidP="00E33A0F">
            <w:pPr>
              <w:rPr>
                <w:rFonts w:ascii="Arial" w:hAnsi="Arial" w:cs="Arial"/>
                <w:sz w:val="16"/>
                <w:szCs w:val="16"/>
              </w:rPr>
            </w:pPr>
            <w:r w:rsidRPr="000D5CC4">
              <w:rPr>
                <w:rFonts w:ascii="Arial" w:hAnsi="Arial" w:cs="Arial"/>
                <w:sz w:val="16"/>
                <w:szCs w:val="16"/>
              </w:rPr>
              <w:t>0.01 (-0.003, 0.014)</w:t>
            </w:r>
          </w:p>
        </w:tc>
        <w:tc>
          <w:tcPr>
            <w:tcW w:w="1620" w:type="dxa"/>
            <w:tcBorders>
              <w:bottom w:val="single" w:sz="4" w:space="0" w:color="auto"/>
            </w:tcBorders>
          </w:tcPr>
          <w:p w14:paraId="31556D3D" w14:textId="25385A74" w:rsidR="00E33A0F" w:rsidRPr="000D5CC4" w:rsidRDefault="00E33A0F" w:rsidP="00E33A0F">
            <w:pPr>
              <w:rPr>
                <w:rFonts w:ascii="Arial" w:hAnsi="Arial" w:cs="Arial"/>
                <w:sz w:val="16"/>
                <w:szCs w:val="16"/>
              </w:rPr>
            </w:pPr>
            <w:r w:rsidRPr="000D5CC4">
              <w:rPr>
                <w:rFonts w:ascii="Arial" w:hAnsi="Arial" w:cs="Arial"/>
                <w:sz w:val="16"/>
                <w:szCs w:val="16"/>
              </w:rPr>
              <w:t>-0.03 (-0.18, 0.11)</w:t>
            </w:r>
          </w:p>
        </w:tc>
        <w:tc>
          <w:tcPr>
            <w:tcW w:w="1747" w:type="dxa"/>
            <w:tcBorders>
              <w:bottom w:val="single" w:sz="4" w:space="0" w:color="auto"/>
            </w:tcBorders>
          </w:tcPr>
          <w:p w14:paraId="354C7E20" w14:textId="42EF944C" w:rsidR="00E33A0F" w:rsidRPr="000D5CC4" w:rsidRDefault="00E33A0F" w:rsidP="00E33A0F">
            <w:pPr>
              <w:rPr>
                <w:rFonts w:ascii="Arial" w:hAnsi="Arial" w:cs="Arial"/>
                <w:sz w:val="16"/>
                <w:szCs w:val="16"/>
              </w:rPr>
            </w:pPr>
            <w:r w:rsidRPr="000D5CC4">
              <w:rPr>
                <w:rFonts w:ascii="Arial" w:hAnsi="Arial" w:cs="Arial"/>
                <w:sz w:val="16"/>
                <w:szCs w:val="16"/>
              </w:rPr>
              <w:t>0.0003 (-0.001, 0.002)</w:t>
            </w:r>
          </w:p>
        </w:tc>
      </w:tr>
      <w:bookmarkEnd w:id="4"/>
    </w:tbl>
    <w:p w14:paraId="6CD14626" w14:textId="77777777" w:rsidR="00693C80" w:rsidRPr="00693C80" w:rsidRDefault="00693C80" w:rsidP="00693C80">
      <w:pPr>
        <w:shd w:val="clear" w:color="auto" w:fill="FFFFFF"/>
        <w:spacing w:line="480" w:lineRule="auto"/>
        <w:rPr>
          <w:b/>
          <w:bCs/>
        </w:rPr>
      </w:pPr>
    </w:p>
    <w:sectPr w:rsidR="00693C80" w:rsidRPr="00693C80">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lia Shirazi" w:date="2020-09-24T18:43:00Z" w:initials="TS">
    <w:p w14:paraId="7AC72BF0" w14:textId="2106582D" w:rsidR="00540C00" w:rsidRDefault="00540C00">
      <w:pPr>
        <w:pStyle w:val="CommentText"/>
      </w:pPr>
      <w:r>
        <w:rPr>
          <w:rStyle w:val="CommentReference"/>
        </w:rPr>
        <w:annotationRef/>
      </w:r>
      <w:r>
        <w:t>Waylon’s dissertation chapter</w:t>
      </w:r>
    </w:p>
  </w:comment>
  <w:comment w:id="1" w:author="Talia Shirazi" w:date="2020-09-30T12:44:00Z" w:initials="TS">
    <w:p w14:paraId="209A3257" w14:textId="6F6E7D13" w:rsidR="00540C00" w:rsidRDefault="00540C00">
      <w:pPr>
        <w:pStyle w:val="CommentText"/>
      </w:pPr>
      <w:r>
        <w:rPr>
          <w:rStyle w:val="CommentReference"/>
        </w:rPr>
        <w:annotationRef/>
      </w:r>
      <w:r>
        <w:t>Talia to make ESM</w:t>
      </w:r>
    </w:p>
  </w:comment>
  <w:comment w:id="2" w:author="Talia Shirazi" w:date="2020-09-24T16:37:00Z" w:initials="TS">
    <w:p w14:paraId="4DECCF22" w14:textId="28E955E9" w:rsidR="00540C00" w:rsidRDefault="00540C00">
      <w:pPr>
        <w:pStyle w:val="CommentText"/>
      </w:pPr>
      <w:r>
        <w:rPr>
          <w:rStyle w:val="CommentReference"/>
        </w:rPr>
        <w:annotationRef/>
      </w:r>
      <w:r>
        <w:t>Need to update</w:t>
      </w:r>
    </w:p>
  </w:comment>
  <w:comment w:id="3" w:author="Talia Shirazi" w:date="2020-09-30T11:27:00Z" w:initials="TS">
    <w:p w14:paraId="6E1187AF" w14:textId="276C2803" w:rsidR="00540C00" w:rsidRDefault="00540C00">
      <w:pPr>
        <w:pStyle w:val="CommentText"/>
      </w:pPr>
      <w:r>
        <w:rPr>
          <w:rStyle w:val="CommentReference"/>
        </w:rPr>
        <w:annotationRef/>
      </w:r>
      <w:r>
        <w:t>Talia to double check this weirdness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72BF0" w15:done="0"/>
  <w15:commentEx w15:paraId="209A3257" w15:done="0"/>
  <w15:commentEx w15:paraId="4DECCF22" w15:done="0"/>
  <w15:commentEx w15:paraId="6E118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6764" w16cex:dateUtc="2020-09-24T22:43:00Z"/>
  <w16cex:commentExtensible w16cex:durableId="231EFC28" w16cex:dateUtc="2020-09-30T16:44:00Z"/>
  <w16cex:commentExtensible w16cex:durableId="231749CC" w16cex:dateUtc="2020-09-24T20:37:00Z"/>
  <w16cex:commentExtensible w16cex:durableId="231EEA05" w16cex:dateUtc="2020-09-30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72BF0" w16cid:durableId="23176764"/>
  <w16cid:commentId w16cid:paraId="209A3257" w16cid:durableId="231EFC28"/>
  <w16cid:commentId w16cid:paraId="4DECCF22" w16cid:durableId="231749CC"/>
  <w16cid:commentId w16cid:paraId="6E1187AF" w16cid:durableId="231EE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B7F60" w14:textId="77777777" w:rsidR="00D06419" w:rsidRDefault="00D06419">
      <w:pPr>
        <w:spacing w:line="240" w:lineRule="auto"/>
      </w:pPr>
      <w:r>
        <w:separator/>
      </w:r>
    </w:p>
  </w:endnote>
  <w:endnote w:type="continuationSeparator" w:id="0">
    <w:p w14:paraId="6C72FB33" w14:textId="77777777" w:rsidR="00D06419" w:rsidRDefault="00D06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540C00" w:rsidRDefault="00540C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540C00" w:rsidRDefault="00540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30D3E" w14:textId="77777777" w:rsidR="00D06419" w:rsidRDefault="00D06419">
      <w:pPr>
        <w:spacing w:line="240" w:lineRule="auto"/>
      </w:pPr>
      <w:r>
        <w:separator/>
      </w:r>
    </w:p>
  </w:footnote>
  <w:footnote w:type="continuationSeparator" w:id="0">
    <w:p w14:paraId="61E0B055" w14:textId="77777777" w:rsidR="00D06419" w:rsidRDefault="00D06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540C00" w:rsidRDefault="00540C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540C00" w:rsidRDefault="00540C0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306B6"/>
    <w:rsid w:val="0005043F"/>
    <w:rsid w:val="00051983"/>
    <w:rsid w:val="000735DE"/>
    <w:rsid w:val="00093C28"/>
    <w:rsid w:val="000A073E"/>
    <w:rsid w:val="000D5CC4"/>
    <w:rsid w:val="0016249C"/>
    <w:rsid w:val="00163D8F"/>
    <w:rsid w:val="00176751"/>
    <w:rsid w:val="001D4FCD"/>
    <w:rsid w:val="00254B2C"/>
    <w:rsid w:val="002679A8"/>
    <w:rsid w:val="002732C1"/>
    <w:rsid w:val="002C57DC"/>
    <w:rsid w:val="002C760A"/>
    <w:rsid w:val="002D3166"/>
    <w:rsid w:val="00313AD3"/>
    <w:rsid w:val="00335A64"/>
    <w:rsid w:val="00343A24"/>
    <w:rsid w:val="003555C2"/>
    <w:rsid w:val="003A2854"/>
    <w:rsid w:val="003D5ACF"/>
    <w:rsid w:val="004F4AC4"/>
    <w:rsid w:val="00526AE0"/>
    <w:rsid w:val="00540C00"/>
    <w:rsid w:val="00572D4B"/>
    <w:rsid w:val="00595A1F"/>
    <w:rsid w:val="005C1705"/>
    <w:rsid w:val="00665177"/>
    <w:rsid w:val="0069035A"/>
    <w:rsid w:val="00693C80"/>
    <w:rsid w:val="006A2045"/>
    <w:rsid w:val="006E24C6"/>
    <w:rsid w:val="00722541"/>
    <w:rsid w:val="007466FC"/>
    <w:rsid w:val="00761E51"/>
    <w:rsid w:val="0076710C"/>
    <w:rsid w:val="007A1C53"/>
    <w:rsid w:val="007E7D29"/>
    <w:rsid w:val="007F26AC"/>
    <w:rsid w:val="008024FF"/>
    <w:rsid w:val="0080643C"/>
    <w:rsid w:val="008406FB"/>
    <w:rsid w:val="008547D1"/>
    <w:rsid w:val="008C7B42"/>
    <w:rsid w:val="008D43A2"/>
    <w:rsid w:val="008F3B46"/>
    <w:rsid w:val="009413C6"/>
    <w:rsid w:val="009A6DA9"/>
    <w:rsid w:val="009C60A8"/>
    <w:rsid w:val="009D2296"/>
    <w:rsid w:val="009D7E28"/>
    <w:rsid w:val="009E19FC"/>
    <w:rsid w:val="009F2482"/>
    <w:rsid w:val="00A61575"/>
    <w:rsid w:val="00A703EA"/>
    <w:rsid w:val="00AB7533"/>
    <w:rsid w:val="00AC6668"/>
    <w:rsid w:val="00B418E0"/>
    <w:rsid w:val="00B66627"/>
    <w:rsid w:val="00BD06AD"/>
    <w:rsid w:val="00C2335B"/>
    <w:rsid w:val="00C37D19"/>
    <w:rsid w:val="00C730D0"/>
    <w:rsid w:val="00C940BE"/>
    <w:rsid w:val="00CC0E59"/>
    <w:rsid w:val="00CD6A6B"/>
    <w:rsid w:val="00CD6C9B"/>
    <w:rsid w:val="00D0312E"/>
    <w:rsid w:val="00D06419"/>
    <w:rsid w:val="00D678E6"/>
    <w:rsid w:val="00D72B1F"/>
    <w:rsid w:val="00DD7764"/>
    <w:rsid w:val="00DE4B0E"/>
    <w:rsid w:val="00E145D9"/>
    <w:rsid w:val="00E21852"/>
    <w:rsid w:val="00E33A0F"/>
    <w:rsid w:val="00E54B89"/>
    <w:rsid w:val="00E714B5"/>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b2jft/" TargetMode="External"/><Relationship Id="rId18" Type="http://schemas.openxmlformats.org/officeDocument/2006/relationships/image" Target="media/image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osf.io/b2jf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3817-D38C-4732-9613-6050A521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34</Pages>
  <Words>42662</Words>
  <Characters>243176</Characters>
  <Application>Microsoft Office Word</Application>
  <DocSecurity>0</DocSecurity>
  <Lines>2026</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11</cp:revision>
  <dcterms:created xsi:type="dcterms:W3CDTF">2020-09-09T21:22:00Z</dcterms:created>
  <dcterms:modified xsi:type="dcterms:W3CDTF">2020-09-30T18:09:00Z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