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Extended.xml" ContentType="application/vnd.openxmlformats-officedocument.wordprocessingml.commentsExtended+xml"/>
  <Default Extension="pdf" ContentType="application/pdf"/>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3E12" w:rsidRPr="008B2188" w:rsidRDefault="00E63E12" w:rsidP="008B2188">
      <w:pPr>
        <w:pStyle w:val="Heading1"/>
        <w:rPr>
          <w:rFonts w:ascii="Times" w:hAnsi="Times" w:cs="Times New Roman"/>
          <w:b/>
          <w:color w:val="auto"/>
          <w:sz w:val="28"/>
          <w:szCs w:val="24"/>
        </w:rPr>
      </w:pPr>
      <w:bookmarkStart w:id="0" w:name="_GoBack"/>
      <w:bookmarkEnd w:id="0"/>
      <w:r w:rsidRPr="00EB55FD">
        <w:rPr>
          <w:rFonts w:ascii="Times" w:hAnsi="Times" w:cs="Times New Roman"/>
          <w:b/>
          <w:color w:val="auto"/>
          <w:sz w:val="28"/>
          <w:szCs w:val="24"/>
        </w:rPr>
        <w:t xml:space="preserve">Reproduction predicts shorter telomeres and epigenetic age acceleration among young adult women </w:t>
      </w:r>
    </w:p>
    <w:p w:rsidR="00E63E12" w:rsidRPr="00873E6C" w:rsidRDefault="00E63E12" w:rsidP="00E63E12">
      <w:pPr>
        <w:rPr>
          <w:rFonts w:ascii="Times" w:hAnsi="Times" w:cs="Times New Roman"/>
          <w:sz w:val="24"/>
          <w:szCs w:val="24"/>
          <w:vertAlign w:val="superscript"/>
        </w:rPr>
      </w:pPr>
      <w:bookmarkStart w:id="1" w:name="OLE_LINK4"/>
      <w:bookmarkStart w:id="2" w:name="OLE_LINK5"/>
      <w:bookmarkStart w:id="3" w:name="OLE_LINK6"/>
      <w:bookmarkStart w:id="4" w:name="OLE_LINK10"/>
      <w:bookmarkStart w:id="5" w:name="OLE_LINK11"/>
      <w:r w:rsidRPr="00873E6C">
        <w:rPr>
          <w:rFonts w:ascii="Times" w:hAnsi="Times" w:cs="Times New Roman"/>
          <w:sz w:val="24"/>
          <w:szCs w:val="24"/>
        </w:rPr>
        <w:t>Dan T.A. Eisenberg</w:t>
      </w:r>
      <w:r w:rsidRPr="00873E6C">
        <w:rPr>
          <w:rFonts w:ascii="Times" w:hAnsi="Times" w:cs="Times New Roman"/>
          <w:sz w:val="24"/>
          <w:szCs w:val="24"/>
          <w:vertAlign w:val="superscript"/>
        </w:rPr>
        <w:t>a</w:t>
      </w:r>
      <w:proofErr w:type="gramStart"/>
      <w:r w:rsidRPr="00873E6C">
        <w:rPr>
          <w:rFonts w:ascii="Times" w:hAnsi="Times" w:cs="Times New Roman"/>
          <w:sz w:val="24"/>
          <w:szCs w:val="24"/>
          <w:vertAlign w:val="superscript"/>
        </w:rPr>
        <w:t>,b,1</w:t>
      </w:r>
      <w:proofErr w:type="gramEnd"/>
      <w:r w:rsidRPr="00873E6C">
        <w:rPr>
          <w:rFonts w:ascii="Times" w:hAnsi="Times" w:cs="Times New Roman"/>
          <w:sz w:val="24"/>
          <w:szCs w:val="24"/>
          <w:vertAlign w:val="superscript"/>
        </w:rPr>
        <w:t>,*</w:t>
      </w:r>
      <w:r w:rsidRPr="00873E6C">
        <w:rPr>
          <w:rFonts w:ascii="Times" w:hAnsi="Times" w:cs="Times New Roman"/>
          <w:sz w:val="24"/>
          <w:szCs w:val="24"/>
        </w:rPr>
        <w:t xml:space="preserve">, </w:t>
      </w: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w:t>
      </w:r>
      <w:r w:rsidRPr="00873E6C">
        <w:rPr>
          <w:rFonts w:ascii="Times" w:hAnsi="Times" w:cs="Times New Roman"/>
          <w:sz w:val="24"/>
          <w:szCs w:val="24"/>
          <w:vertAlign w:val="superscript"/>
        </w:rPr>
        <w:t>c,1,*</w:t>
      </w:r>
      <w:r w:rsidRPr="00873E6C">
        <w:rPr>
          <w:rFonts w:ascii="Times" w:hAnsi="Times" w:cs="Times New Roman"/>
          <w:sz w:val="24"/>
          <w:szCs w:val="24"/>
        </w:rPr>
        <w:t xml:space="preserve">, M. Geoffrey </w:t>
      </w:r>
      <w:proofErr w:type="spellStart"/>
      <w:r w:rsidRPr="00873E6C">
        <w:rPr>
          <w:rFonts w:ascii="Times" w:hAnsi="Times" w:cs="Times New Roman"/>
          <w:sz w:val="24"/>
          <w:szCs w:val="24"/>
        </w:rPr>
        <w:t>Hayes</w:t>
      </w:r>
      <w:r w:rsidRPr="00873E6C">
        <w:rPr>
          <w:rFonts w:ascii="Times" w:hAnsi="Times" w:cs="Times New Roman"/>
          <w:sz w:val="24"/>
          <w:szCs w:val="24"/>
          <w:vertAlign w:val="superscript"/>
        </w:rPr>
        <w:t>d,e,f</w:t>
      </w:r>
      <w:proofErr w:type="spellEnd"/>
      <w:r w:rsidRPr="00873E6C">
        <w:rPr>
          <w:rFonts w:ascii="Times" w:hAnsi="Times" w:cs="Times New Roman"/>
          <w:sz w:val="24"/>
          <w:szCs w:val="24"/>
        </w:rPr>
        <w:t xml:space="preserve">, Nanette R. </w:t>
      </w:r>
      <w:proofErr w:type="spellStart"/>
      <w:r w:rsidRPr="00873E6C">
        <w:rPr>
          <w:rFonts w:ascii="Times" w:hAnsi="Times" w:cs="Times New Roman"/>
          <w:sz w:val="24"/>
          <w:szCs w:val="24"/>
        </w:rPr>
        <w:t>Lee</w:t>
      </w:r>
      <w:r w:rsidRPr="00873E6C">
        <w:rPr>
          <w:rFonts w:ascii="Times" w:hAnsi="Times" w:cs="Times New Roman"/>
          <w:sz w:val="24"/>
          <w:szCs w:val="24"/>
          <w:vertAlign w:val="superscript"/>
        </w:rPr>
        <w:t>g,h</w:t>
      </w:r>
      <w:proofErr w:type="spellEnd"/>
      <w:r w:rsidRPr="00873E6C">
        <w:rPr>
          <w:rFonts w:ascii="Times" w:hAnsi="Times" w:cs="Times New Roman"/>
          <w:sz w:val="24"/>
          <w:szCs w:val="24"/>
        </w:rPr>
        <w:t xml:space="preserve">, Thomas W. </w:t>
      </w:r>
      <w:proofErr w:type="spellStart"/>
      <w:r w:rsidRPr="00873E6C">
        <w:rPr>
          <w:rFonts w:ascii="Times" w:hAnsi="Times" w:cs="Times New Roman"/>
          <w:sz w:val="24"/>
          <w:szCs w:val="24"/>
        </w:rPr>
        <w:t>McDade</w:t>
      </w:r>
      <w:r w:rsidRPr="00873E6C">
        <w:rPr>
          <w:rFonts w:ascii="Times" w:hAnsi="Times" w:cs="Times New Roman"/>
          <w:sz w:val="24"/>
          <w:szCs w:val="24"/>
          <w:vertAlign w:val="superscript"/>
        </w:rPr>
        <w:t>c,i,j</w:t>
      </w:r>
      <w:proofErr w:type="spellEnd"/>
      <w:r w:rsidRPr="00873E6C">
        <w:rPr>
          <w:rFonts w:ascii="Times" w:hAnsi="Times" w:cs="Times New Roman"/>
          <w:sz w:val="24"/>
          <w:szCs w:val="24"/>
        </w:rPr>
        <w:t xml:space="preserve">, Meaghan J. </w:t>
      </w:r>
      <w:proofErr w:type="spellStart"/>
      <w:r w:rsidRPr="00873E6C">
        <w:rPr>
          <w:rFonts w:ascii="Times" w:hAnsi="Times" w:cs="Times New Roman"/>
          <w:sz w:val="24"/>
          <w:szCs w:val="24"/>
        </w:rPr>
        <w:t>Jones</w:t>
      </w:r>
      <w:r w:rsidRPr="00873E6C">
        <w:rPr>
          <w:rFonts w:ascii="Times" w:hAnsi="Times" w:cs="Times New Roman"/>
          <w:sz w:val="24"/>
          <w:szCs w:val="24"/>
          <w:vertAlign w:val="superscript"/>
        </w:rPr>
        <w:t>k</w:t>
      </w:r>
      <w:proofErr w:type="spellEnd"/>
      <w:r w:rsidRPr="00873E6C">
        <w:rPr>
          <w:rFonts w:ascii="Times" w:hAnsi="Times" w:cs="Times New Roman"/>
          <w:sz w:val="24"/>
          <w:szCs w:val="24"/>
        </w:rPr>
        <w:t xml:space="preserve">, Michael S. </w:t>
      </w:r>
      <w:proofErr w:type="spellStart"/>
      <w:r w:rsidRPr="00873E6C">
        <w:rPr>
          <w:rFonts w:ascii="Times" w:hAnsi="Times" w:cs="Times New Roman"/>
          <w:sz w:val="24"/>
          <w:szCs w:val="24"/>
        </w:rPr>
        <w:t>Kobor</w:t>
      </w:r>
      <w:r w:rsidRPr="00873E6C">
        <w:rPr>
          <w:rFonts w:ascii="Times" w:hAnsi="Times" w:cs="Times New Roman"/>
          <w:sz w:val="24"/>
          <w:szCs w:val="24"/>
          <w:vertAlign w:val="superscript"/>
        </w:rPr>
        <w:t>j,k</w:t>
      </w:r>
      <w:proofErr w:type="spellEnd"/>
      <w:r w:rsidRPr="00873E6C">
        <w:rPr>
          <w:rFonts w:ascii="Times" w:hAnsi="Times" w:cs="Times New Roman"/>
          <w:sz w:val="24"/>
          <w:szCs w:val="24"/>
        </w:rPr>
        <w:t xml:space="preserve">, Christopher W. </w:t>
      </w:r>
      <w:proofErr w:type="spellStart"/>
      <w:r w:rsidRPr="00873E6C">
        <w:rPr>
          <w:rFonts w:ascii="Times" w:hAnsi="Times" w:cs="Times New Roman"/>
          <w:sz w:val="24"/>
          <w:szCs w:val="24"/>
        </w:rPr>
        <w:t>Kuzawa</w:t>
      </w:r>
      <w:r w:rsidRPr="00873E6C">
        <w:rPr>
          <w:rFonts w:ascii="Times" w:hAnsi="Times" w:cs="Times New Roman"/>
          <w:sz w:val="24"/>
          <w:szCs w:val="24"/>
          <w:vertAlign w:val="superscript"/>
        </w:rPr>
        <w:t>c,i</w:t>
      </w:r>
      <w:proofErr w:type="spellEnd"/>
    </w:p>
    <w:p w:rsidR="00E63E12" w:rsidRPr="00EB55FD" w:rsidRDefault="00E63E12" w:rsidP="00E63E12">
      <w:pPr>
        <w:rPr>
          <w:rFonts w:ascii="Times" w:hAnsi="Times" w:cs="Times New Roman"/>
          <w:szCs w:val="24"/>
          <w:vertAlign w:val="superscript"/>
        </w:rPr>
      </w:pPr>
      <w:proofErr w:type="spellStart"/>
      <w:proofErr w:type="gramStart"/>
      <w:r w:rsidRPr="00EB55FD">
        <w:rPr>
          <w:rFonts w:ascii="Times" w:hAnsi="Times" w:cs="Times New Roman"/>
          <w:szCs w:val="24"/>
          <w:vertAlign w:val="superscript"/>
        </w:rPr>
        <w:t>a</w:t>
      </w:r>
      <w:r w:rsidRPr="00EB55FD">
        <w:rPr>
          <w:rFonts w:ascii="Times" w:hAnsi="Times" w:cs="Helvetica"/>
          <w:szCs w:val="14"/>
        </w:rPr>
        <w:t>Department</w:t>
      </w:r>
      <w:proofErr w:type="spellEnd"/>
      <w:proofErr w:type="gramEnd"/>
      <w:r w:rsidRPr="00EB55FD">
        <w:rPr>
          <w:rFonts w:ascii="Times" w:hAnsi="Times" w:cs="Helvetica"/>
          <w:szCs w:val="14"/>
        </w:rPr>
        <w:t xml:space="preserve"> of Anthropology, University of Washington, Seattle, WA 98195; </w:t>
      </w:r>
      <w:proofErr w:type="spellStart"/>
      <w:r w:rsidRPr="00EB55FD">
        <w:rPr>
          <w:rFonts w:ascii="Times" w:hAnsi="Times" w:cs="Times New Roman"/>
          <w:szCs w:val="24"/>
          <w:vertAlign w:val="superscript"/>
        </w:rPr>
        <w:t>b</w:t>
      </w:r>
      <w:r w:rsidRPr="00EB55FD">
        <w:rPr>
          <w:rFonts w:ascii="Times" w:hAnsi="Times" w:cs="Helvetica"/>
          <w:szCs w:val="14"/>
        </w:rPr>
        <w:t>Center</w:t>
      </w:r>
      <w:proofErr w:type="spellEnd"/>
      <w:r w:rsidRPr="00EB55FD">
        <w:rPr>
          <w:rFonts w:ascii="Times" w:hAnsi="Times" w:cs="Helvetica"/>
          <w:szCs w:val="14"/>
        </w:rPr>
        <w:t xml:space="preserve"> for Studies in Demography and Ecology, University of Washington, Seattle, WA 98195; </w:t>
      </w:r>
      <w:proofErr w:type="spellStart"/>
      <w:r w:rsidRPr="00EB55FD">
        <w:rPr>
          <w:rFonts w:ascii="Times" w:hAnsi="Times" w:cs="Times New Roman"/>
          <w:szCs w:val="24"/>
          <w:vertAlign w:val="superscript"/>
        </w:rPr>
        <w:t>c</w:t>
      </w:r>
      <w:r w:rsidRPr="00EB55FD">
        <w:rPr>
          <w:rFonts w:ascii="Times" w:hAnsi="Times" w:cs="Helvetica"/>
          <w:szCs w:val="14"/>
        </w:rPr>
        <w:t>Department</w:t>
      </w:r>
      <w:proofErr w:type="spellEnd"/>
      <w:r w:rsidRPr="00EB55FD">
        <w:rPr>
          <w:rFonts w:ascii="Times" w:hAnsi="Times" w:cs="Helvetica"/>
          <w:szCs w:val="14"/>
        </w:rPr>
        <w:t xml:space="preserve"> of Anthropology, Northwestern University, Evanston, IL 60208; </w:t>
      </w:r>
      <w:proofErr w:type="spellStart"/>
      <w:r w:rsidRPr="00EB55FD">
        <w:rPr>
          <w:rFonts w:ascii="Times" w:hAnsi="Times" w:cs="Times New Roman"/>
          <w:szCs w:val="24"/>
          <w:vertAlign w:val="superscript"/>
        </w:rPr>
        <w:t>d</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e</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f</w:t>
      </w:r>
      <w:r w:rsidRPr="00EB55FD">
        <w:rPr>
          <w:rFonts w:ascii="Times" w:hAnsi="Times" w:cs="Helvetica"/>
          <w:szCs w:val="14"/>
        </w:rPr>
        <w:t>Center</w:t>
      </w:r>
      <w:proofErr w:type="spellEnd"/>
      <w:r w:rsidRPr="00EB55FD">
        <w:rPr>
          <w:rFonts w:ascii="Times" w:hAnsi="Times" w:cs="Helvetica"/>
          <w:szCs w:val="14"/>
        </w:rPr>
        <w:t xml:space="preserve"> for Genetic Medicine, Northwestern University Feinberg School of Medicine, Chicago, IL 60611; </w:t>
      </w:r>
      <w:proofErr w:type="spellStart"/>
      <w:r w:rsidRPr="00EB55FD">
        <w:rPr>
          <w:rFonts w:ascii="Times" w:hAnsi="Times" w:cs="Times New Roman"/>
          <w:szCs w:val="24"/>
          <w:vertAlign w:val="superscript"/>
        </w:rPr>
        <w:t>g</w:t>
      </w:r>
      <w:r w:rsidRPr="00EB55FD">
        <w:rPr>
          <w:rFonts w:ascii="Times" w:hAnsi="Times" w:cs="Helvetica"/>
          <w:szCs w:val="14"/>
        </w:rPr>
        <w:t>Office</w:t>
      </w:r>
      <w:proofErr w:type="spellEnd"/>
      <w:r w:rsidRPr="00EB55FD">
        <w:rPr>
          <w:rFonts w:ascii="Times" w:hAnsi="Times" w:cs="Helvetica"/>
          <w:szCs w:val="14"/>
        </w:rPr>
        <w:t xml:space="preserve"> of Population Studies Foundation Inc., Cebu City, Philippines; </w:t>
      </w:r>
      <w:proofErr w:type="spellStart"/>
      <w:r w:rsidRPr="00EB55FD">
        <w:rPr>
          <w:rFonts w:ascii="Times" w:hAnsi="Times" w:cs="Times New Roman"/>
          <w:szCs w:val="24"/>
          <w:vertAlign w:val="superscript"/>
        </w:rPr>
        <w:t>h</w:t>
      </w:r>
      <w:r w:rsidRPr="00EB55FD">
        <w:rPr>
          <w:rFonts w:ascii="Times" w:hAnsi="Times" w:cs="Helvetica"/>
          <w:szCs w:val="14"/>
        </w:rPr>
        <w:t>Department</w:t>
      </w:r>
      <w:proofErr w:type="spellEnd"/>
      <w:r w:rsidRPr="00EB55FD">
        <w:rPr>
          <w:rFonts w:ascii="Times" w:hAnsi="Times" w:cs="Helvetica"/>
          <w:szCs w:val="14"/>
        </w:rPr>
        <w:t xml:space="preserve"> of Anthropology, Sociology, and History, University of San Carlos, Cebu City, Philippines; </w:t>
      </w:r>
      <w:proofErr w:type="spellStart"/>
      <w:r w:rsidRPr="00EB55FD">
        <w:rPr>
          <w:rFonts w:ascii="Times" w:hAnsi="Times" w:cs="Times New Roman"/>
          <w:szCs w:val="24"/>
          <w:vertAlign w:val="superscript"/>
        </w:rPr>
        <w:t>i</w:t>
      </w:r>
      <w:r w:rsidRPr="00EB55FD">
        <w:rPr>
          <w:rFonts w:ascii="Times" w:hAnsi="Times" w:cs="Helvetica"/>
          <w:szCs w:val="14"/>
        </w:rPr>
        <w:t>Institute</w:t>
      </w:r>
      <w:proofErr w:type="spellEnd"/>
      <w:r w:rsidRPr="00EB55FD">
        <w:rPr>
          <w:rFonts w:ascii="Times" w:hAnsi="Times" w:cs="Helvetica"/>
          <w:szCs w:val="14"/>
        </w:rPr>
        <w:t xml:space="preserve"> for Policy Research, Northwestern University, Evanston, IL 60208; </w:t>
      </w:r>
      <w:proofErr w:type="spellStart"/>
      <w:r w:rsidRPr="00EB55FD">
        <w:rPr>
          <w:rFonts w:ascii="Times" w:hAnsi="Times" w:cs="Times New Roman"/>
          <w:szCs w:val="24"/>
          <w:vertAlign w:val="superscript"/>
        </w:rPr>
        <w:t>j</w:t>
      </w:r>
      <w:r w:rsidRPr="00EB55FD">
        <w:rPr>
          <w:rFonts w:ascii="Times" w:hAnsi="Times" w:cs="Helvetica"/>
          <w:szCs w:val="14"/>
        </w:rPr>
        <w:t>Child</w:t>
      </w:r>
      <w:proofErr w:type="spellEnd"/>
      <w:r w:rsidRPr="00EB55FD">
        <w:rPr>
          <w:rFonts w:ascii="Times" w:hAnsi="Times" w:cs="Helvetica"/>
          <w:szCs w:val="14"/>
        </w:rPr>
        <w:t xml:space="preserve"> and Brain Development Program, Canadian Institute for Advanced Research, Toronto, ON, Canada, M5G 1Z8; </w:t>
      </w:r>
      <w:proofErr w:type="spellStart"/>
      <w:r w:rsidRPr="00EB55FD">
        <w:rPr>
          <w:rFonts w:ascii="Times" w:hAnsi="Times" w:cs="Times New Roman"/>
          <w:szCs w:val="24"/>
          <w:vertAlign w:val="superscript"/>
        </w:rPr>
        <w:t>k</w:t>
      </w:r>
      <w:r w:rsidRPr="00EB55FD">
        <w:rPr>
          <w:rFonts w:ascii="Times" w:hAnsi="Times" w:cs="Helvetica"/>
          <w:szCs w:val="14"/>
        </w:rPr>
        <w:t>BC</w:t>
      </w:r>
      <w:proofErr w:type="spellEnd"/>
      <w:r w:rsidRPr="00EB55FD">
        <w:rPr>
          <w:rFonts w:ascii="Times" w:hAnsi="Times" w:cs="Helvetica"/>
          <w:szCs w:val="14"/>
        </w:rPr>
        <w:t xml:space="preserve"> Children’s Hospital Research Institute, University of British Columbia, Vancouver, BC, Canada,V5Z 4H4</w:t>
      </w:r>
    </w:p>
    <w:p w:rsidR="00E63E12" w:rsidRPr="00873E6C" w:rsidRDefault="00E63E12" w:rsidP="00E63E12">
      <w:pPr>
        <w:rPr>
          <w:rFonts w:ascii="Times" w:hAnsi="Times" w:cs="Times New Roman"/>
          <w:sz w:val="24"/>
          <w:szCs w:val="24"/>
        </w:rPr>
      </w:pPr>
    </w:p>
    <w:bookmarkEnd w:id="1"/>
    <w:bookmarkEnd w:id="2"/>
    <w:bookmarkEnd w:id="3"/>
    <w:bookmarkEnd w:id="4"/>
    <w:bookmarkEnd w:id="5"/>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1</w:t>
      </w:r>
      <w:r w:rsidRPr="00873E6C">
        <w:rPr>
          <w:rFonts w:ascii="Times" w:hAnsi="Times" w:cs="Times New Roman"/>
          <w:sz w:val="24"/>
          <w:szCs w:val="24"/>
        </w:rPr>
        <w:t xml:space="preserve">D.T.A.E. </w:t>
      </w:r>
      <w:proofErr w:type="gramStart"/>
      <w:r w:rsidRPr="00873E6C">
        <w:rPr>
          <w:rFonts w:ascii="Times" w:hAnsi="Times" w:cs="Times New Roman"/>
          <w:sz w:val="24"/>
          <w:szCs w:val="24"/>
        </w:rPr>
        <w:t>and</w:t>
      </w:r>
      <w:proofErr w:type="gramEnd"/>
      <w:r w:rsidRPr="00873E6C">
        <w:rPr>
          <w:rFonts w:ascii="Times" w:hAnsi="Times" w:cs="Times New Roman"/>
          <w:sz w:val="24"/>
          <w:szCs w:val="24"/>
        </w:rPr>
        <w:t xml:space="preserve"> C.P.R. contributed equally to this work</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w:t>
      </w:r>
      <w:r w:rsidRPr="00873E6C">
        <w:rPr>
          <w:rFonts w:ascii="Times" w:hAnsi="Times" w:cs="Times New Roman"/>
          <w:sz w:val="24"/>
          <w:szCs w:val="24"/>
        </w:rPr>
        <w:t xml:space="preserve">To whom </w:t>
      </w:r>
      <w:proofErr w:type="spellStart"/>
      <w:r w:rsidRPr="00873E6C">
        <w:rPr>
          <w:rFonts w:ascii="Times" w:hAnsi="Times" w:cs="Times New Roman"/>
          <w:sz w:val="24"/>
          <w:szCs w:val="24"/>
        </w:rPr>
        <w:t>correspondance</w:t>
      </w:r>
      <w:proofErr w:type="spellEnd"/>
      <w:r w:rsidRPr="00873E6C">
        <w:rPr>
          <w:rFonts w:ascii="Times" w:hAnsi="Times" w:cs="Times New Roman"/>
          <w:sz w:val="24"/>
          <w:szCs w:val="24"/>
        </w:rPr>
        <w:t xml:space="preserve"> should be addressed: D.T.A.E: Department of Anthropology, University of Washington, Campus Box 353100, Seattle, WA 98195. 206-221-9056. </w:t>
      </w:r>
      <w:hyperlink r:id="rId8" w:history="1">
        <w:r w:rsidRPr="00873E6C">
          <w:rPr>
            <w:rStyle w:val="Hyperlink"/>
            <w:rFonts w:ascii="Times" w:hAnsi="Times" w:cs="Times New Roman"/>
            <w:color w:val="auto"/>
            <w:sz w:val="24"/>
            <w:szCs w:val="24"/>
          </w:rPr>
          <w:t>dtae@dtae.net</w:t>
        </w:r>
      </w:hyperlink>
      <w:r w:rsidRPr="00873E6C">
        <w:rPr>
          <w:rFonts w:ascii="Times" w:hAnsi="Times" w:cs="Times New Roman"/>
          <w:sz w:val="24"/>
          <w:szCs w:val="24"/>
        </w:rPr>
        <w:t xml:space="preserve">; </w:t>
      </w:r>
      <w:proofErr w:type="gramStart"/>
      <w:r w:rsidRPr="00873E6C">
        <w:rPr>
          <w:rFonts w:ascii="Times" w:hAnsi="Times" w:cs="Times New Roman"/>
          <w:sz w:val="24"/>
          <w:szCs w:val="24"/>
        </w:rPr>
        <w:t>C.P.R.:</w:t>
      </w:r>
      <w:proofErr w:type="gramEnd"/>
      <w:r w:rsidRPr="00873E6C">
        <w:rPr>
          <w:rFonts w:ascii="Times" w:hAnsi="Times" w:cs="Times New Roman"/>
          <w:sz w:val="24"/>
          <w:szCs w:val="24"/>
        </w:rPr>
        <w:t xml:space="preserve"> Department of Anthropology, Northwestern University, 1810 </w:t>
      </w:r>
      <w:proofErr w:type="spellStart"/>
      <w:r w:rsidRPr="00873E6C">
        <w:rPr>
          <w:rFonts w:ascii="Times" w:hAnsi="Times" w:cs="Times New Roman"/>
          <w:sz w:val="24"/>
          <w:szCs w:val="24"/>
        </w:rPr>
        <w:t>Hinman</w:t>
      </w:r>
      <w:proofErr w:type="spellEnd"/>
      <w:r w:rsidRPr="00873E6C">
        <w:rPr>
          <w:rFonts w:ascii="Times" w:hAnsi="Times" w:cs="Times New Roman"/>
          <w:sz w:val="24"/>
          <w:szCs w:val="24"/>
        </w:rPr>
        <w:t xml:space="preserve"> Avenue, Evanston, IL 60201. 847-467-6965. </w:t>
      </w:r>
      <w:hyperlink r:id="rId9" w:history="1">
        <w:r w:rsidRPr="00873E6C">
          <w:rPr>
            <w:rStyle w:val="Hyperlink"/>
            <w:rFonts w:ascii="Times" w:hAnsi="Times" w:cs="Times New Roman"/>
            <w:color w:val="auto"/>
            <w:sz w:val="24"/>
            <w:szCs w:val="24"/>
          </w:rPr>
          <w:t>CPR@u.northwestern.edu</w:t>
        </w:r>
      </w:hyperlink>
      <w:r w:rsidRPr="00873E6C">
        <w:rPr>
          <w:rFonts w:ascii="Times" w:hAnsi="Times" w:cs="Times New Roman"/>
          <w:sz w:val="24"/>
          <w:szCs w:val="24"/>
        </w:rPr>
        <w:t xml:space="preserve"> </w:t>
      </w:r>
    </w:p>
    <w:p w:rsidR="00E63E12" w:rsidRDefault="00E63E12" w:rsidP="00E63E12">
      <w:pPr>
        <w:widowControl w:val="0"/>
        <w:spacing w:after="0" w:line="240" w:lineRule="auto"/>
        <w:rPr>
          <w:rFonts w:ascii="Times" w:hAnsi="Times" w:cs="Times New Roman"/>
          <w:b/>
          <w:sz w:val="24"/>
          <w:szCs w:val="24"/>
        </w:rPr>
      </w:pPr>
    </w:p>
    <w:p w:rsidR="00E63E12" w:rsidRPr="00D912CE" w:rsidRDefault="00E63E12" w:rsidP="00E63E1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Pr>
          <w:rFonts w:ascii="Times" w:hAnsi="Times" w:cs="Times New Roman"/>
          <w:sz w:val="24"/>
          <w:szCs w:val="24"/>
        </w:rPr>
        <w:t>Scientific Reports</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b/>
          <w:sz w:val="24"/>
          <w:szCs w:val="24"/>
        </w:rPr>
        <w:t xml:space="preserve">Keywords: </w:t>
      </w:r>
      <w:r w:rsidRPr="00873E6C">
        <w:rPr>
          <w:rFonts w:ascii="Times" w:hAnsi="Times" w:cs="Times New Roman"/>
          <w:sz w:val="24"/>
          <w:szCs w:val="24"/>
        </w:rPr>
        <w:t>Telomere length, epigenetic age, costs of reproduction, disposable soma theory, human evolution</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u w:val="single"/>
        </w:rPr>
        <w:t xml:space="preserve">ORCID </w:t>
      </w:r>
      <w:proofErr w:type="spellStart"/>
      <w:r w:rsidRPr="00873E6C">
        <w:rPr>
          <w:rFonts w:ascii="Times" w:hAnsi="Times" w:cs="Times New Roman"/>
          <w:sz w:val="24"/>
          <w:szCs w:val="24"/>
          <w:u w:val="single"/>
        </w:rPr>
        <w:t>iDs</w:t>
      </w:r>
      <w:proofErr w:type="spellEnd"/>
      <w:r w:rsidRPr="00873E6C">
        <w:rPr>
          <w:rFonts w:ascii="Times" w:hAnsi="Times" w:cs="Times New Roman"/>
          <w:sz w:val="24"/>
          <w:szCs w:val="24"/>
          <w:u w:val="single"/>
        </w:rPr>
        <w:t>:</w:t>
      </w:r>
    </w:p>
    <w:p w:rsidR="00E63E12" w:rsidRPr="00873E6C" w:rsidRDefault="00E63E12" w:rsidP="00E63E12">
      <w:pPr>
        <w:widowControl w:val="0"/>
        <w:spacing w:after="0" w:line="240" w:lineRule="auto"/>
        <w:rPr>
          <w:rFonts w:ascii="Times" w:hAnsi="Times" w:cs="Times New Roman"/>
          <w:sz w:val="24"/>
          <w:szCs w:val="24"/>
          <w:vertAlign w:val="superscript"/>
        </w:rPr>
      </w:pPr>
      <w:r w:rsidRPr="00873E6C">
        <w:rPr>
          <w:rFonts w:ascii="Times" w:hAnsi="Times" w:cs="Times New Roman"/>
          <w:sz w:val="24"/>
          <w:szCs w:val="24"/>
        </w:rPr>
        <w:t>Dan T.A. Eisenberg: orcid.org/0000-0003-0812-1862</w:t>
      </w:r>
    </w:p>
    <w:p w:rsidR="00E63E12" w:rsidRPr="00873E6C" w:rsidRDefault="00E63E12" w:rsidP="00E63E12">
      <w:pPr>
        <w:widowControl w:val="0"/>
        <w:spacing w:after="0" w:line="240" w:lineRule="auto"/>
        <w:rPr>
          <w:rFonts w:ascii="Times" w:hAnsi="Times" w:cs="Times New Roman"/>
          <w:sz w:val="24"/>
          <w:szCs w:val="24"/>
        </w:rPr>
      </w:pP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 orcid.org/0000-0002-0550-7949</w:t>
      </w: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rPr>
        <w:t>Meaghan J Jones: orcid.org/0000-0003-1593-997X</w:t>
      </w:r>
    </w:p>
    <w:p w:rsidR="00E63E12" w:rsidRPr="008B2188" w:rsidRDefault="00E63E12" w:rsidP="008B2188">
      <w:pPr>
        <w:rPr>
          <w:rFonts w:ascii="Times" w:eastAsiaTheme="majorEastAsia" w:hAnsi="Times" w:cs="Times New Roman"/>
          <w:b/>
          <w:sz w:val="24"/>
          <w:szCs w:val="24"/>
        </w:rPr>
      </w:pPr>
      <w:r w:rsidRPr="00873E6C">
        <w:rPr>
          <w:rFonts w:ascii="Times" w:hAnsi="Times" w:cs="Times New Roman"/>
          <w:b/>
          <w:sz w:val="24"/>
          <w:szCs w:val="24"/>
        </w:rPr>
        <w:br w:type="page"/>
        <w:t>Abstract</w:t>
      </w:r>
    </w:p>
    <w:p w:rsidR="00E63E12" w:rsidRPr="002071E9" w:rsidRDefault="00DC6A24" w:rsidP="002071E9">
      <w:pPr>
        <w:widowControl w:val="0"/>
        <w:spacing w:after="0" w:line="240" w:lineRule="auto"/>
        <w:rPr>
          <w:rFonts w:ascii="Times" w:hAnsi="Times" w:cs="Times New Roman"/>
          <w:sz w:val="24"/>
          <w:szCs w:val="24"/>
        </w:rPr>
      </w:pPr>
      <w:r>
        <w:rPr>
          <w:rFonts w:ascii="Times" w:hAnsi="Times" w:cs="Times New Roman"/>
          <w:sz w:val="24"/>
          <w:szCs w:val="24"/>
        </w:rPr>
        <w:t>Evolutionary th</w:t>
      </w:r>
      <w:r w:rsidR="00E81A24">
        <w:rPr>
          <w:rFonts w:ascii="Times" w:hAnsi="Times" w:cs="Times New Roman"/>
          <w:sz w:val="24"/>
          <w:szCs w:val="24"/>
        </w:rPr>
        <w:t xml:space="preserve">eory predicts that energy </w:t>
      </w:r>
      <w:r w:rsidR="0066600D">
        <w:rPr>
          <w:rFonts w:ascii="Times" w:hAnsi="Times" w:cs="Times New Roman"/>
          <w:sz w:val="24"/>
          <w:szCs w:val="24"/>
        </w:rPr>
        <w:t>invested into</w:t>
      </w:r>
      <w:r w:rsidR="00E81A24">
        <w:rPr>
          <w:rFonts w:ascii="Times" w:hAnsi="Times" w:cs="Times New Roman"/>
          <w:sz w:val="24"/>
          <w:szCs w:val="24"/>
        </w:rPr>
        <w:t xml:space="preserve"> reproduction comes at the expense of</w:t>
      </w:r>
      <w:r>
        <w:rPr>
          <w:rFonts w:ascii="Times" w:hAnsi="Times" w:cs="Times New Roman"/>
          <w:sz w:val="24"/>
          <w:szCs w:val="24"/>
        </w:rPr>
        <w:t xml:space="preserve"> somatic maintenance</w:t>
      </w:r>
      <w:r w:rsidR="0066600D">
        <w:rPr>
          <w:rFonts w:ascii="Times" w:hAnsi="Times" w:cs="Times New Roman"/>
          <w:sz w:val="24"/>
          <w:szCs w:val="24"/>
        </w:rPr>
        <w:t>, thereby accelerating aging</w:t>
      </w:r>
      <w:r w:rsidR="00E81A24">
        <w:rPr>
          <w:rFonts w:ascii="Times" w:hAnsi="Times" w:cs="Times New Roman"/>
          <w:sz w:val="24"/>
          <w:szCs w:val="24"/>
        </w:rPr>
        <w:t>.</w:t>
      </w:r>
      <w:r w:rsidR="0066600D">
        <w:rPr>
          <w:rFonts w:ascii="Times" w:hAnsi="Times" w:cs="Times New Roman"/>
          <w:sz w:val="24"/>
          <w:szCs w:val="24"/>
        </w:rPr>
        <w:t xml:space="preserve"> </w:t>
      </w:r>
      <w:r w:rsidR="00A6272F">
        <w:rPr>
          <w:rFonts w:ascii="Times" w:hAnsi="Times" w:cs="Times New Roman"/>
          <w:sz w:val="24"/>
          <w:szCs w:val="24"/>
        </w:rPr>
        <w:t xml:space="preserve">Despite </w:t>
      </w:r>
      <w:r w:rsidR="00A02BF9">
        <w:rPr>
          <w:rFonts w:ascii="Times" w:hAnsi="Times" w:cs="Times New Roman"/>
          <w:sz w:val="24"/>
          <w:szCs w:val="24"/>
        </w:rPr>
        <w:t xml:space="preserve">support from </w:t>
      </w:r>
      <w:r w:rsidR="00A6272F">
        <w:rPr>
          <w:rFonts w:ascii="Times" w:hAnsi="Times" w:cs="Times New Roman"/>
          <w:sz w:val="24"/>
          <w:szCs w:val="24"/>
        </w:rPr>
        <w:t xml:space="preserve">studies in human and non-human animals, </w:t>
      </w:r>
      <w:r w:rsidR="00A6272F" w:rsidRPr="00A6272F">
        <w:rPr>
          <w:rFonts w:ascii="Times" w:hAnsi="Times" w:cs="Times New Roman"/>
          <w:sz w:val="24"/>
          <w:szCs w:val="24"/>
        </w:rPr>
        <w:t>mechanisms linking costs of reproduction (</w:t>
      </w:r>
      <w:proofErr w:type="spellStart"/>
      <w:r w:rsidR="00A6272F" w:rsidRPr="00A6272F">
        <w:rPr>
          <w:rFonts w:ascii="Times" w:hAnsi="Times" w:cs="Times New Roman"/>
          <w:sz w:val="24"/>
          <w:szCs w:val="24"/>
        </w:rPr>
        <w:t>C</w:t>
      </w:r>
      <w:r w:rsidR="00A6272F">
        <w:rPr>
          <w:rFonts w:ascii="Times" w:hAnsi="Times" w:cs="Times New Roman"/>
          <w:sz w:val="24"/>
          <w:szCs w:val="24"/>
        </w:rPr>
        <w:t>oR</w:t>
      </w:r>
      <w:proofErr w:type="spellEnd"/>
      <w:r w:rsidR="00A6272F">
        <w:rPr>
          <w:rFonts w:ascii="Times" w:hAnsi="Times" w:cs="Times New Roman"/>
          <w:sz w:val="24"/>
          <w:szCs w:val="24"/>
        </w:rPr>
        <w:t>) to senescence remain</w:t>
      </w:r>
      <w:r w:rsidR="00C209AD">
        <w:rPr>
          <w:rFonts w:ascii="Times" w:hAnsi="Times" w:cs="Times New Roman"/>
          <w:sz w:val="24"/>
          <w:szCs w:val="24"/>
        </w:rPr>
        <w:t>s</w:t>
      </w:r>
      <w:r w:rsidR="00A6272F">
        <w:rPr>
          <w:rFonts w:ascii="Times" w:hAnsi="Times" w:cs="Times New Roman"/>
          <w:sz w:val="24"/>
          <w:szCs w:val="24"/>
        </w:rPr>
        <w:t xml:space="preserve"> </w:t>
      </w:r>
      <w:r w:rsidR="00C209AD">
        <w:rPr>
          <w:rFonts w:ascii="Times" w:hAnsi="Times" w:cs="Times New Roman"/>
          <w:sz w:val="24"/>
          <w:szCs w:val="24"/>
        </w:rPr>
        <w:t>scarce</w:t>
      </w:r>
      <w:r w:rsidR="00A6272F" w:rsidRPr="00A6272F">
        <w:rPr>
          <w:rFonts w:ascii="Times" w:hAnsi="Times" w:cs="Times New Roman"/>
          <w:sz w:val="24"/>
          <w:szCs w:val="24"/>
        </w:rPr>
        <w:t>.</w:t>
      </w:r>
      <w:r w:rsidR="00A6272F">
        <w:rPr>
          <w:rFonts w:ascii="Times" w:hAnsi="Times" w:cs="Times New Roman"/>
          <w:sz w:val="24"/>
          <w:szCs w:val="24"/>
        </w:rPr>
        <w:t xml:space="preserve"> Pregnancy </w:t>
      </w:r>
      <w:r w:rsidR="00EB55FD" w:rsidRPr="00EB55FD">
        <w:rPr>
          <w:rFonts w:ascii="Times" w:hAnsi="Times" w:cs="Times New Roman"/>
          <w:sz w:val="24"/>
          <w:szCs w:val="24"/>
        </w:rPr>
        <w:t xml:space="preserve">entails </w:t>
      </w:r>
      <w:r w:rsidR="00A6272F">
        <w:rPr>
          <w:rFonts w:ascii="Times" w:hAnsi="Times" w:cs="Times New Roman"/>
          <w:sz w:val="24"/>
          <w:szCs w:val="24"/>
        </w:rPr>
        <w:t>ma</w:t>
      </w:r>
      <w:r w:rsidR="00F44B33">
        <w:rPr>
          <w:rFonts w:ascii="Times" w:hAnsi="Times" w:cs="Times New Roman"/>
          <w:sz w:val="24"/>
          <w:szCs w:val="24"/>
        </w:rPr>
        <w:t>ssive</w:t>
      </w:r>
      <w:r w:rsidR="00A6272F">
        <w:rPr>
          <w:rFonts w:ascii="Times" w:hAnsi="Times" w:cs="Times New Roman"/>
          <w:sz w:val="24"/>
          <w:szCs w:val="24"/>
        </w:rPr>
        <w:t xml:space="preserve"> </w:t>
      </w:r>
      <w:r w:rsidR="00EB55FD" w:rsidRPr="00EB55FD">
        <w:rPr>
          <w:rFonts w:ascii="Times" w:hAnsi="Times" w:cs="Times New Roman"/>
          <w:sz w:val="24"/>
          <w:szCs w:val="24"/>
        </w:rPr>
        <w:t xml:space="preserve">physiological and immunological </w:t>
      </w:r>
      <w:r w:rsidR="00A6272F">
        <w:rPr>
          <w:rFonts w:ascii="Times" w:hAnsi="Times" w:cs="Times New Roman"/>
          <w:sz w:val="24"/>
          <w:szCs w:val="24"/>
        </w:rPr>
        <w:t>shifts</w:t>
      </w:r>
      <w:r w:rsidR="00EB55FD" w:rsidRPr="00EB55FD">
        <w:rPr>
          <w:rFonts w:ascii="Times" w:hAnsi="Times" w:cs="Times New Roman"/>
          <w:sz w:val="24"/>
          <w:szCs w:val="24"/>
        </w:rPr>
        <w:t xml:space="preserve"> </w:t>
      </w:r>
      <w:r w:rsidR="00A6272F">
        <w:rPr>
          <w:rFonts w:ascii="Times" w:hAnsi="Times" w:cs="Times New Roman"/>
          <w:sz w:val="24"/>
          <w:szCs w:val="24"/>
        </w:rPr>
        <w:t>capable of accelerating aging through</w:t>
      </w:r>
      <w:r w:rsidR="00EB55FD" w:rsidRPr="00EB55FD">
        <w:rPr>
          <w:rFonts w:ascii="Times" w:hAnsi="Times" w:cs="Times New Roman"/>
          <w:sz w:val="24"/>
          <w:szCs w:val="24"/>
        </w:rPr>
        <w:t xml:space="preserve"> mitotic or non-mitotic </w:t>
      </w:r>
      <w:r w:rsidR="00F44B33">
        <w:rPr>
          <w:rFonts w:ascii="Times" w:hAnsi="Times" w:cs="Times New Roman"/>
          <w:sz w:val="24"/>
          <w:szCs w:val="24"/>
        </w:rPr>
        <w:t xml:space="preserve">cellular </w:t>
      </w:r>
      <w:r w:rsidR="00A6272F">
        <w:rPr>
          <w:rFonts w:ascii="Times" w:hAnsi="Times" w:cs="Times New Roman"/>
          <w:sz w:val="24"/>
          <w:szCs w:val="24"/>
        </w:rPr>
        <w:t xml:space="preserve">pathways </w:t>
      </w:r>
      <w:r w:rsidR="00EB55FD" w:rsidRPr="00EB55FD">
        <w:rPr>
          <w:rFonts w:ascii="Times" w:hAnsi="Times" w:cs="Times New Roman"/>
          <w:sz w:val="24"/>
          <w:szCs w:val="24"/>
        </w:rPr>
        <w:t xml:space="preserve">- or both. Telomeres are repetitive DNA </w:t>
      </w:r>
      <w:r w:rsidR="00F44B33">
        <w:rPr>
          <w:rFonts w:ascii="Times" w:hAnsi="Times" w:cs="Times New Roman"/>
          <w:sz w:val="24"/>
          <w:szCs w:val="24"/>
        </w:rPr>
        <w:t xml:space="preserve">sequences </w:t>
      </w:r>
      <w:r w:rsidR="00EB55FD" w:rsidRPr="00EB55FD">
        <w:rPr>
          <w:rFonts w:ascii="Times" w:hAnsi="Times" w:cs="Times New Roman"/>
          <w:sz w:val="24"/>
          <w:szCs w:val="24"/>
        </w:rPr>
        <w:t>that cap chromosomes and shorten with cell replication, and telomere length (TL) provides an index of mitotic age. DNA-</w:t>
      </w:r>
      <w:proofErr w:type="spellStart"/>
      <w:r w:rsidR="00EB55FD" w:rsidRPr="00EB55FD">
        <w:rPr>
          <w:rFonts w:ascii="Times" w:hAnsi="Times" w:cs="Times New Roman"/>
          <w:sz w:val="24"/>
          <w:szCs w:val="24"/>
        </w:rPr>
        <w:t>methylation</w:t>
      </w:r>
      <w:proofErr w:type="spellEnd"/>
      <w:r w:rsidR="00EB55FD" w:rsidRPr="00EB55FD">
        <w:rPr>
          <w:rFonts w:ascii="Times" w:hAnsi="Times" w:cs="Times New Roman"/>
          <w:sz w:val="24"/>
          <w:szCs w:val="24"/>
        </w:rPr>
        <w:t xml:space="preserve"> age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is marker of non-mitotic cellular aging correlated with chronological age</w:t>
      </w:r>
      <w:r w:rsidR="00C209AD">
        <w:rPr>
          <w:rFonts w:ascii="Times" w:hAnsi="Times" w:cs="Times New Roman"/>
          <w:sz w:val="24"/>
          <w:szCs w:val="24"/>
        </w:rPr>
        <w:t>,</w:t>
      </w:r>
      <w:r w:rsidR="00F44B33">
        <w:rPr>
          <w:rFonts w:ascii="Times" w:hAnsi="Times" w:cs="Times New Roman"/>
          <w:sz w:val="24"/>
          <w:szCs w:val="24"/>
        </w:rPr>
        <w:t xml:space="preserve"> but </w:t>
      </w:r>
      <w:r w:rsidR="008B2188">
        <w:rPr>
          <w:rFonts w:ascii="Times" w:hAnsi="Times" w:cs="Times New Roman"/>
          <w:sz w:val="24"/>
          <w:szCs w:val="24"/>
        </w:rPr>
        <w:t xml:space="preserve">is </w:t>
      </w:r>
      <w:r w:rsidR="00EB55FD" w:rsidRPr="00EB55FD">
        <w:rPr>
          <w:rFonts w:ascii="Times" w:hAnsi="Times" w:cs="Times New Roman"/>
          <w:sz w:val="24"/>
          <w:szCs w:val="24"/>
        </w:rPr>
        <w:t xml:space="preserve">accelerated in response to </w:t>
      </w:r>
      <w:r w:rsidR="00F44B33">
        <w:rPr>
          <w:rFonts w:ascii="Times" w:hAnsi="Times" w:cs="Times New Roman"/>
          <w:sz w:val="24"/>
          <w:szCs w:val="24"/>
        </w:rPr>
        <w:t>physiological and immunological</w:t>
      </w:r>
      <w:r w:rsidR="00EB55FD" w:rsidRPr="00EB55FD">
        <w:rPr>
          <w:rFonts w:ascii="Times" w:hAnsi="Times" w:cs="Times New Roman"/>
          <w:sz w:val="24"/>
          <w:szCs w:val="24"/>
        </w:rPr>
        <w:t xml:space="preserve"> stress. </w:t>
      </w:r>
      <w:r w:rsidR="00F44B33">
        <w:rPr>
          <w:rFonts w:ascii="Times" w:hAnsi="Times" w:cs="Times New Roman"/>
          <w:sz w:val="24"/>
          <w:szCs w:val="24"/>
        </w:rPr>
        <w:t>S</w:t>
      </w:r>
      <w:r w:rsidR="00EB55FD" w:rsidRPr="00EB55FD">
        <w:rPr>
          <w:rFonts w:ascii="Times" w:hAnsi="Times" w:cs="Times New Roman"/>
          <w:sz w:val="24"/>
          <w:szCs w:val="24"/>
        </w:rPr>
        <w:t xml:space="preserve">horter TL and accelerated </w:t>
      </w:r>
      <w:proofErr w:type="spellStart"/>
      <w:r w:rsidR="00EB55FD" w:rsidRPr="00EB55FD">
        <w:rPr>
          <w:rFonts w:ascii="Times" w:hAnsi="Times" w:cs="Times New Roman"/>
          <w:sz w:val="24"/>
          <w:szCs w:val="24"/>
        </w:rPr>
        <w:t>DNAmAge</w:t>
      </w:r>
      <w:proofErr w:type="spellEnd"/>
      <w:r w:rsidR="00F44B33">
        <w:rPr>
          <w:rFonts w:ascii="Times" w:hAnsi="Times" w:cs="Times New Roman"/>
          <w:sz w:val="24"/>
          <w:szCs w:val="24"/>
        </w:rPr>
        <w:t xml:space="preserve"> both</w:t>
      </w:r>
      <w:r w:rsidR="00EB55FD" w:rsidRPr="00EB55FD">
        <w:rPr>
          <w:rFonts w:ascii="Times" w:hAnsi="Times" w:cs="Times New Roman"/>
          <w:sz w:val="24"/>
          <w:szCs w:val="24"/>
        </w:rPr>
        <w:t xml:space="preserve"> predict age-related morbidity and mortality. To elucidate mechanisms underpinning </w:t>
      </w:r>
      <w:proofErr w:type="spellStart"/>
      <w:r w:rsidR="00EB55FD" w:rsidRPr="00EB55FD">
        <w:rPr>
          <w:rFonts w:ascii="Times" w:hAnsi="Times" w:cs="Times New Roman"/>
          <w:sz w:val="24"/>
          <w:szCs w:val="24"/>
        </w:rPr>
        <w:t>CoR</w:t>
      </w:r>
      <w:proofErr w:type="spellEnd"/>
      <w:r w:rsidR="00EB55FD" w:rsidRPr="00EB55FD">
        <w:rPr>
          <w:rFonts w:ascii="Times" w:hAnsi="Times" w:cs="Times New Roman"/>
          <w:sz w:val="24"/>
          <w:szCs w:val="24"/>
        </w:rPr>
        <w:t xml:space="preserve">, we examined the relationship between parity, TL (n=821), and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xml:space="preserve"> (n=397) in young (20-22 year-old) Filipino women. TL </w:t>
      </w:r>
      <w:r w:rsidR="00C209AD">
        <w:rPr>
          <w:rFonts w:ascii="Times" w:hAnsi="Times" w:cs="Times New Roman"/>
          <w:sz w:val="24"/>
          <w:szCs w:val="24"/>
        </w:rPr>
        <w:t>decreased</w:t>
      </w:r>
      <w:r w:rsidR="00EB55FD" w:rsidRPr="00EB55FD">
        <w:rPr>
          <w:rFonts w:ascii="Times" w:hAnsi="Times" w:cs="Times New Roman"/>
          <w:sz w:val="24"/>
          <w:szCs w:val="24"/>
        </w:rPr>
        <w:t xml:space="preserve"> (p=0.016) and </w:t>
      </w:r>
      <w:proofErr w:type="spellStart"/>
      <w:r w:rsidR="00EB55FD" w:rsidRPr="00EB55FD">
        <w:rPr>
          <w:rFonts w:ascii="Times" w:hAnsi="Times" w:cs="Times New Roman"/>
          <w:sz w:val="24"/>
          <w:szCs w:val="24"/>
        </w:rPr>
        <w:t>DNAmA</w:t>
      </w:r>
      <w:r w:rsidR="00C209AD">
        <w:rPr>
          <w:rFonts w:ascii="Times" w:hAnsi="Times" w:cs="Times New Roman"/>
          <w:sz w:val="24"/>
          <w:szCs w:val="24"/>
        </w:rPr>
        <w:t>ge</w:t>
      </w:r>
      <w:proofErr w:type="spellEnd"/>
      <w:r w:rsidR="00C209AD">
        <w:rPr>
          <w:rFonts w:ascii="Times" w:hAnsi="Times" w:cs="Times New Roman"/>
          <w:sz w:val="24"/>
          <w:szCs w:val="24"/>
        </w:rPr>
        <w:t xml:space="preserve"> increased (p=0.011) with parity</w:t>
      </w:r>
      <w:r w:rsidR="00EB55FD" w:rsidRPr="00EB55FD">
        <w:rPr>
          <w:rFonts w:ascii="Times" w:hAnsi="Times" w:cs="Times New Roman"/>
          <w:sz w:val="24"/>
          <w:szCs w:val="24"/>
        </w:rPr>
        <w:t xml:space="preserve">, an effect that was not contingent upon resource availability. Neither biomarker predicted subsequent fertility, supporting a causal effect of parity on aging (p&gt;0.4 for both). </w:t>
      </w:r>
      <w:r w:rsidR="008B2188">
        <w:rPr>
          <w:rFonts w:ascii="Times" w:hAnsi="Times" w:cs="Times New Roman"/>
          <w:sz w:val="24"/>
          <w:szCs w:val="24"/>
        </w:rPr>
        <w:t xml:space="preserve">Consistent with prior work, </w:t>
      </w:r>
      <w:r w:rsidR="00EB55FD" w:rsidRPr="00EB55FD">
        <w:rPr>
          <w:rFonts w:ascii="Times" w:hAnsi="Times" w:cs="Times New Roman"/>
          <w:sz w:val="24"/>
          <w:szCs w:val="24"/>
        </w:rPr>
        <w:t>T</w:t>
      </w:r>
      <w:r w:rsidR="008B2188">
        <w:rPr>
          <w:rFonts w:ascii="Times" w:hAnsi="Times" w:cs="Times New Roman"/>
          <w:sz w:val="24"/>
          <w:szCs w:val="24"/>
        </w:rPr>
        <w:t xml:space="preserve">L and </w:t>
      </w:r>
      <w:proofErr w:type="spellStart"/>
      <w:r w:rsidR="008B2188">
        <w:rPr>
          <w:rFonts w:ascii="Times" w:hAnsi="Times" w:cs="Times New Roman"/>
          <w:sz w:val="24"/>
          <w:szCs w:val="24"/>
        </w:rPr>
        <w:t>DNAmAge</w:t>
      </w:r>
      <w:proofErr w:type="spellEnd"/>
      <w:r w:rsidR="008B2188">
        <w:rPr>
          <w:rFonts w:ascii="Times" w:hAnsi="Times" w:cs="Times New Roman"/>
          <w:sz w:val="24"/>
          <w:szCs w:val="24"/>
        </w:rPr>
        <w:t xml:space="preserve"> were uncorrelated, but</w:t>
      </w:r>
      <w:r w:rsidR="00EB55FD" w:rsidRPr="00EB55FD">
        <w:rPr>
          <w:rFonts w:ascii="Times" w:hAnsi="Times" w:cs="Times New Roman"/>
          <w:sz w:val="24"/>
          <w:szCs w:val="24"/>
        </w:rPr>
        <w:t xml:space="preserve"> appear to represent distinct aspects of senescence, both exhibiting patterns of premature aging with reproduction among these young </w:t>
      </w:r>
      <w:proofErr w:type="gramStart"/>
      <w:r w:rsidR="00EB55FD" w:rsidRPr="00EB55FD">
        <w:rPr>
          <w:rFonts w:ascii="Times" w:hAnsi="Times" w:cs="Times New Roman"/>
          <w:sz w:val="24"/>
          <w:szCs w:val="24"/>
        </w:rPr>
        <w:t>women</w:t>
      </w:r>
      <w:proofErr w:type="gramEnd"/>
      <w:r w:rsidR="00EB55FD" w:rsidRPr="00EB55FD">
        <w:rPr>
          <w:rFonts w:ascii="Times" w:hAnsi="Times" w:cs="Times New Roman"/>
          <w:sz w:val="24"/>
          <w:szCs w:val="24"/>
        </w:rPr>
        <w:t>.</w:t>
      </w:r>
      <w:r w:rsidR="00E63E12" w:rsidRPr="00873E6C">
        <w:rPr>
          <w:rFonts w:ascii="Times" w:hAnsi="Times" w:cs="Times New Roman"/>
          <w:b/>
          <w:sz w:val="24"/>
          <w:szCs w:val="24"/>
        </w:rPr>
        <w:br w:type="page"/>
        <w:t>Introduction</w:t>
      </w:r>
    </w:p>
    <w:p w:rsidR="00EA4A04" w:rsidRDefault="00E63E12" w:rsidP="00EA4A04">
      <w:pPr>
        <w:spacing w:after="120"/>
        <w:rPr>
          <w:rFonts w:ascii="Times" w:hAnsi="Times" w:cs="Times New Roman"/>
          <w:sz w:val="24"/>
          <w:szCs w:val="24"/>
        </w:rPr>
      </w:pPr>
      <w:r w:rsidRPr="00873E6C">
        <w:rPr>
          <w:rFonts w:ascii="Times" w:hAnsi="Times" w:cs="Times New Roman"/>
          <w:sz w:val="24"/>
          <w:szCs w:val="24"/>
        </w:rPr>
        <w:t xml:space="preserve">Evolutionary theory predicts that energy expenditure in the form of reproductive effort comes at the expense of somatic maintenance and lifespan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{"citationID":"8slVyJ4f","properties":{"formattedCitation":"(1)","plainCitation":"(1)"},"citationItems":[{"id":451,"uris":["http://zotero.org/users/451958/items/ZGIF4TVI"],"uri":["http://zotero.org/users/451958/items/ZGIF4TVI"],"itemData":{"id":451,"type":"book","title":"The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w:t>
      </w:r>
      <w:r w:rsidR="00272D04" w:rsidRPr="00873E6C">
        <w:rPr>
          <w:rFonts w:ascii="Times" w:hAnsi="Times" w:cs="Times New Roman"/>
          <w:sz w:val="24"/>
          <w:szCs w:val="24"/>
        </w:rPr>
        <w:fldChar w:fldCharType="end"/>
      </w:r>
      <w:r w:rsidRPr="00873E6C">
        <w:rPr>
          <w:rFonts w:ascii="Times" w:hAnsi="Times" w:cs="Times New Roman"/>
          <w:sz w:val="24"/>
          <w:szCs w:val="24"/>
        </w:rPr>
        <w:t>. Because resources are finite and selection favor</w:t>
      </w:r>
      <w:r w:rsidR="002071E9">
        <w:rPr>
          <w:rFonts w:ascii="Times" w:hAnsi="Times" w:cs="Times New Roman"/>
          <w:sz w:val="24"/>
          <w:szCs w:val="24"/>
        </w:rPr>
        <w:t>s</w:t>
      </w:r>
      <w:r w:rsidRPr="00873E6C">
        <w:rPr>
          <w:rFonts w:ascii="Times" w:hAnsi="Times" w:cs="Times New Roman"/>
          <w:sz w:val="24"/>
          <w:szCs w:val="24"/>
        </w:rPr>
        <w:t xml:space="preserve"> early life fecundity over late life functional decline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d532t6upk","properties":{"formattedCitation":"(2)","plainCitation":"(2)"},"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reproduction </w:t>
      </w:r>
      <w:r w:rsidR="002071E9">
        <w:rPr>
          <w:rFonts w:ascii="Times" w:hAnsi="Times" w:cs="Times New Roman"/>
          <w:sz w:val="24"/>
          <w:szCs w:val="24"/>
        </w:rPr>
        <w:t>is expected to</w:t>
      </w:r>
      <w:r w:rsidRPr="00873E6C">
        <w:rPr>
          <w:rFonts w:ascii="Times" w:hAnsi="Times" w:cs="Times New Roman"/>
          <w:sz w:val="24"/>
          <w:szCs w:val="24"/>
        </w:rPr>
        <w:t xml:space="preserve"> carry a ‘cost’ </w:t>
      </w:r>
      <w:r w:rsidR="002071E9">
        <w:rPr>
          <w:rFonts w:ascii="Times" w:hAnsi="Times" w:cs="Times New Roman"/>
          <w:sz w:val="24"/>
          <w:szCs w:val="24"/>
        </w:rPr>
        <w:t>in the form of functional decline</w:t>
      </w:r>
      <w:r w:rsidRPr="00873E6C">
        <w:rPr>
          <w:rFonts w:ascii="Times" w:hAnsi="Times" w:cs="Times New Roman"/>
          <w:sz w:val="24"/>
          <w:szCs w:val="24"/>
        </w:rPr>
        <w:t xml:space="preserve"> and mortality risk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lm18h0mou","properties":{"formattedCitation":"(3)","plainCitation":"(3)"},"citationItems":[{"id":8215,"uris":["http://zotero.org/users/451958/items/K5NTHKCT"],"uri":["http://zotero.org/users/451958/items/K5NTHKCT"],"itemData":{"id":8215,"type":"article-journal","title":"Evolution of ageing","container-title":"Nature","page":"301-304","volume":"270","issue":"5635","author":[{"family":"Kirkwood","given":"T. B. L."}],"issued":{"date-parts":[["1977"]]}}}],"schema":"https://github.com/citation-style-language/schema/raw/master/csl-citation.json"}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2071E9">
        <w:rPr>
          <w:rFonts w:ascii="Times" w:hAnsi="Times" w:cs="Times New Roman"/>
          <w:sz w:val="24"/>
          <w:szCs w:val="24"/>
        </w:rPr>
        <w:t xml:space="preserve">Direct </w:t>
      </w:r>
      <w:r w:rsidRPr="00873E6C">
        <w:rPr>
          <w:rFonts w:ascii="Times" w:hAnsi="Times" w:cs="Times New Roman"/>
          <w:sz w:val="24"/>
          <w:szCs w:val="24"/>
        </w:rPr>
        <w:t>‘costs of reproduction’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have been demonstrated among animal models, whereby reproduction hastens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{"citationID":"JZedzpfM","properties":{"formattedCitation":"(4, 5)","plainCitation":"(4, 5)"},"citationItems":[{"id":7514,"uris":["http://zotero.org/users/451958/items/TCE76RZG"],"uri":["http://zotero.org/users/451958/items/TCE76RZG"],"itemData":{"id":7514,"type":"article-journal","title":"The Effects of Temperature and of Egg-Laying on the Longevity of Drosophila Subobscura","container-title":"Journal of Experimental Biology","page":"832-842","volume":"35","issue":"4","source":"jeb.biologists.org","abstract":"1. The adult life span of Drosophila subobscura has been measured at temperatures varying from 20° to 33° C. A sharp increase in the slope of the curve of log survival time against temperature occurs at temperatures above 31° C.\n2. Changes which occur in individuals at 33° C. or above are reversible, at least in part, at 20° C.; but changes occurring at 30·5° C. are irreversible in the sense that the total survival time at 30·5° C. is not increased by intervening periods at 20° C.\n3. Exposure of young adult flies to 30·5° C. for a period of about half their expectation of life at that temperature significantly increases the further expectation of life of females at 20° C. but does not alter the expectation of life of males. Such exposure causes a partial regression of the ovaries of females, a permanent change in their behaviour and a reduction in their rate of egg-laying; exposure does not alter the behaviour or seriously reduce the fertility of males.\n4. ‘Ovariless’ females and virgin females live for significantly longer than do normal mated females. The expectation of life of ‘ovariless’ females at 20° C. is not altered by exposure to 30·5° C. It is concluded that egg-laying accelerates the ageing of females at 20° C., and that the prolongation of life of females exposed to 30·5° C. is due to the reduction in the rate at which such females subsequently lay eggs.","ISSN":"0022-0949, 1477-9145","language":"en","author":[{"family":"Maynard Smith","given":"J."}],"issued":{"date-parts":[["1958",12,1]]}}},{"id":8248,"uris":["http://zotero.org/users/451958/items/BLJXMR2P"],"uri":["http://zotero.org/users/451958/items/BLJXMR2P"],"itemData":{"id":8248,"type":"article-journal","title":"Costs of reproduction: an evaluation of the empirical evidence","container-title":"Oikos","page":"257-267","volume":"44","issue":"2","author":[{"family":"Reznick","given":"D."}],"issued":{"date-parts":[["1985"]]}}}],"schema":"https://github.com/citation-style-language/schema/raw/master/csl-citation.json"}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(4, 5)</w:t>
      </w:r>
      <w:r w:rsidR="00272D04" w:rsidRPr="00873E6C">
        <w:rPr>
          <w:rFonts w:ascii="Times" w:hAnsi="Times" w:cs="Times New Roman"/>
          <w:sz w:val="24"/>
          <w:szCs w:val="24"/>
        </w:rPr>
        <w:fldChar w:fldCharType="end"/>
      </w:r>
      <w:r w:rsidR="002071E9">
        <w:rPr>
          <w:rFonts w:ascii="Times" w:hAnsi="Times" w:cs="Times New Roman"/>
          <w:sz w:val="24"/>
          <w:szCs w:val="24"/>
        </w:rPr>
        <w:t>. C</w:t>
      </w:r>
      <w:r w:rsidRPr="00873E6C">
        <w:rPr>
          <w:rFonts w:ascii="Times" w:hAnsi="Times" w:cs="Times New Roman"/>
          <w:sz w:val="24"/>
          <w:szCs w:val="24"/>
        </w:rPr>
        <w:t xml:space="preserve">onversely, selection for late life fecundity results in lifespan extension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{"citationID":"ajdkpclm0f","properties":{"formattedCitation":"(6, 7)","plainCitation":"(6, 7)"},"citationItems":[{"id":8171,"uris":["http://zotero.org/users/451958/items/FTFAFSQL"],"uri":["http://zotero.org/users/451958/items/FTFAFSQL"],"itemData":{"id":8171,"type":"article-journal","title":"Genetic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(6, 7)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In humans, </w:t>
      </w:r>
      <w:proofErr w:type="spellStart"/>
      <w:r w:rsidR="00EA4A04">
        <w:rPr>
          <w:rFonts w:ascii="Times" w:hAnsi="Times" w:cs="Times New Roman"/>
          <w:sz w:val="24"/>
          <w:szCs w:val="24"/>
        </w:rPr>
        <w:t>CoR</w:t>
      </w:r>
      <w:proofErr w:type="spellEnd"/>
      <w:r w:rsidR="00EA4A04">
        <w:rPr>
          <w:rFonts w:ascii="Times" w:hAnsi="Times" w:cs="Times New Roman"/>
          <w:sz w:val="24"/>
          <w:szCs w:val="24"/>
        </w:rPr>
        <w:t xml:space="preserve"> is predominantly studied through the use of historical datasets. This research suggests that increased reproductive effort</w:t>
      </w:r>
      <w:r w:rsidRPr="00873E6C">
        <w:rPr>
          <w:rFonts w:ascii="Times" w:hAnsi="Times" w:cs="Times New Roman"/>
          <w:sz w:val="24"/>
          <w:szCs w:val="24"/>
        </w:rPr>
        <w:t xml:space="preserve"> is</w:t>
      </w:r>
      <w:r w:rsidR="00EA4A04">
        <w:rPr>
          <w:rFonts w:ascii="Times" w:hAnsi="Times" w:cs="Times New Roman"/>
          <w:sz w:val="24"/>
          <w:szCs w:val="24"/>
        </w:rPr>
        <w:t xml:space="preserve"> often</w:t>
      </w:r>
      <w:r w:rsidRPr="00873E6C">
        <w:rPr>
          <w:rFonts w:ascii="Times" w:hAnsi="Times" w:cs="Times New Roman"/>
          <w:sz w:val="24"/>
          <w:szCs w:val="24"/>
        </w:rPr>
        <w:t xml:space="preserve"> a</w:t>
      </w:r>
      <w:r w:rsidR="00EA4A04">
        <w:rPr>
          <w:rFonts w:ascii="Times" w:hAnsi="Times" w:cs="Times New Roman"/>
          <w:sz w:val="24"/>
          <w:szCs w:val="24"/>
        </w:rPr>
        <w:t>ssociated with a shortening of lifespan</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{"citationID":"5XfV0wG6","properties":{"unsorted":true,"formattedCitation":"{\\rtf (8\\uc0\\u8211{}12, but see 13)}","plainCitation":"(8–12, but see 13)"},"citationItems":[{"id":6684,"uris":["http://zotero.org/users/451958/items/TZ2H7NB7"],"uri":["http://zotero.org/users/451958/items/TZ2H7NB7"],"itemData":{"id":6684,"type":"article-journal","title":"Human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(8–12, but see 13)</w:t>
      </w:r>
      <w:r w:rsidR="00272D04" w:rsidRPr="00873E6C">
        <w:rPr>
          <w:rFonts w:ascii="Times" w:hAnsi="Times" w:cs="Times New Roman"/>
          <w:sz w:val="24"/>
          <w:szCs w:val="24"/>
        </w:rPr>
        <w:fldChar w:fldCharType="end"/>
      </w:r>
      <w:r w:rsidR="00EA4A04">
        <w:rPr>
          <w:rFonts w:ascii="Times" w:hAnsi="Times" w:cs="Times New Roman"/>
          <w:sz w:val="24"/>
          <w:szCs w:val="24"/>
        </w:rPr>
        <w:t xml:space="preserve">, and </w:t>
      </w:r>
      <w:r w:rsidRPr="00873E6C">
        <w:rPr>
          <w:rFonts w:ascii="Times" w:hAnsi="Times" w:cs="Times New Roman"/>
          <w:sz w:val="24"/>
          <w:szCs w:val="24"/>
        </w:rPr>
        <w:t xml:space="preserve">that these costs are more evident among individuals with limited resources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{"citationID":"PkKhdr7q","properties":{"formattedCitation":"{\\rtf (14\\uc0\\u8211{}16)}","plainCitation":"(14–16)"},"citationItems":[{"id":8263,"uris":["http://zotero.org/users/451958/items/HLDEVAT2"],"uri":["http://zotero.org/users/451958/items/HLDEVAT2"],"itemData":{"id":8263,"type":"article-journal","title":"Fertility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However, historical datasets are limited to mortality a</w:t>
      </w:r>
    </w:p>
    <w:p w:rsidR="00EA4A04" w:rsidRDefault="00EA4A04" w:rsidP="00EA4A04">
      <w:pPr>
        <w:spacing w:after="120"/>
        <w:rPr>
          <w:rFonts w:ascii="Times" w:hAnsi="Times" w:cs="Times New Roman"/>
          <w:sz w:val="24"/>
          <w:szCs w:val="24"/>
        </w:rPr>
      </w:pPr>
    </w:p>
    <w:p w:rsidR="00EA4A04" w:rsidRDefault="00EA4A04" w:rsidP="00EA4A04">
      <w:pPr>
        <w:spacing w:after="120"/>
        <w:rPr>
          <w:rFonts w:ascii="Times" w:hAnsi="Times" w:cs="Times New Roman"/>
          <w:sz w:val="24"/>
          <w:szCs w:val="24"/>
        </w:rPr>
      </w:pPr>
    </w:p>
    <w:p w:rsidR="00E63E12" w:rsidRPr="00873E6C" w:rsidRDefault="00E63E12" w:rsidP="00EA4A04">
      <w:pPr>
        <w:spacing w:after="120"/>
        <w:rPr>
          <w:rFonts w:ascii="Times" w:hAnsi="Times" w:cs="Times New Roman"/>
          <w:sz w:val="24"/>
          <w:szCs w:val="24"/>
        </w:rPr>
      </w:pPr>
      <w:r w:rsidRPr="00873E6C">
        <w:rPr>
          <w:rFonts w:ascii="Times" w:hAnsi="Times" w:cs="Times New Roman"/>
          <w:sz w:val="24"/>
          <w:szCs w:val="24"/>
        </w:rPr>
        <w:t>However, past studies primarily use mortality as an endpoint, and have generally not addressed underlying biological pathways by which reproduction might influence survival. A deeper understanding of these pathways may allow us to better understand the evolutionary constraints surrounding reproduction and possibly to mitigate negative health effects of reproduction.</w:t>
      </w:r>
    </w:p>
    <w:p w:rsidR="00E63E12" w:rsidRPr="00873E6C" w:rsidRDefault="00E63E12" w:rsidP="00E63E12">
      <w:pPr>
        <w:spacing w:after="120"/>
        <w:rPr>
          <w:rFonts w:ascii="Times" w:hAnsi="Times" w:cs="Times New Roman"/>
          <w:sz w:val="24"/>
          <w:szCs w:val="24"/>
        </w:rPr>
      </w:pPr>
      <w:r w:rsidRPr="00873E6C">
        <w:rPr>
          <w:rFonts w:ascii="Times" w:hAnsi="Times" w:cs="Times New Roman"/>
          <w:sz w:val="24"/>
          <w:szCs w:val="24"/>
        </w:rPr>
        <w:t xml:space="preserve">Here we test for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in humans using two recently described markers of aging: telomere length (TL) and epigenetic age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Telomeres are non-coding DNA sequences that cap chromosomes, and are required for cell division and survival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{"citationID":"amkf6j50so","properties":{"formattedCitation":"(17, 18)","plainCitation":"(17, 18)"},"citationItems":[{"id":8160,"uris":["http://zotero.org/users/451958/items/J77GGQTY"],"uri":["http://zotero.org/users/451958/items/J77GGQTY"],"itemData":{"id":8160,"type":"article-journal","title":"A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(17, 18)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Telomere length shortens with cell division and chronological age, placing a limit on the number of cell divisions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{"citationID":"HmnPTj3V","properties":{"formattedCitation":"{\\rtf (19\\uc0\\u8211{}21)}","plainCitation":"(19–21)"},"citationItems":[{"id":8243,"uris":["http://zotero.org/users/451958/items/6G2ZPASU"],"uri":["http://zotero.org/users/451958/items/6G2ZPASU"],"itemData":{"id":8243,"type":"article-journal","title":"Principle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(19–21)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Shorter TL, controlling for age, in turn predicts higher morbidity and mortality rates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{"citationID":"lNHuMEB1","properties":{"formattedCitation":"{\\rtf (22\\uc0\\u8211{}25)}","plainCitation":"(22–25)"},"citationItems":[{"id":8164,"uris":["http://zotero.org/users/451958/items/5RMZ6K9V"],"uri":["http://zotero.org/users/451958/items/5RMZ6K9V"],"itemData":{"id":8164,"type":"article-journal","title":"Association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(22–25)</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p>
    <w:p w:rsidR="00E63E12" w:rsidRPr="00873E6C" w:rsidRDefault="00E63E12" w:rsidP="00E63E12">
      <w:pPr>
        <w:spacing w:after="120"/>
        <w:rPr>
          <w:rFonts w:ascii="Times" w:hAnsi="Times" w:cs="Times New Roman"/>
          <w:sz w:val="24"/>
          <w:szCs w:val="24"/>
        </w:rPr>
      </w:pP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an emerging measure of aging based on </w:t>
      </w:r>
      <w:proofErr w:type="spellStart"/>
      <w:r w:rsidRPr="00873E6C">
        <w:rPr>
          <w:rFonts w:ascii="Times" w:hAnsi="Times" w:cs="Times New Roman"/>
          <w:sz w:val="24"/>
          <w:szCs w:val="24"/>
        </w:rPr>
        <w:t>methylation</w:t>
      </w:r>
      <w:proofErr w:type="spellEnd"/>
      <w:r w:rsidRPr="00873E6C">
        <w:rPr>
          <w:rFonts w:ascii="Times" w:hAnsi="Times" w:cs="Times New Roman"/>
          <w:sz w:val="24"/>
          <w:szCs w:val="24"/>
        </w:rPr>
        <w:t xml:space="preserve"> levels at cytosine-guanine dyads (</w:t>
      </w:r>
      <w:proofErr w:type="spellStart"/>
      <w:r w:rsidRPr="00873E6C">
        <w:rPr>
          <w:rFonts w:ascii="Times" w:hAnsi="Times" w:cs="Times New Roman"/>
          <w:sz w:val="24"/>
          <w:szCs w:val="24"/>
        </w:rPr>
        <w:t>CpGs</w:t>
      </w:r>
      <w:proofErr w:type="spellEnd"/>
      <w:r w:rsidRPr="00873E6C">
        <w:rPr>
          <w:rFonts w:ascii="Times" w:hAnsi="Times" w:cs="Times New Roman"/>
          <w:sz w:val="24"/>
          <w:szCs w:val="24"/>
        </w:rPr>
        <w:t xml:space="preserve">) that are strongly correlated with chronological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v15rs0la8","properties":{"formattedCitation":"(26)","plainCitation":"(26)"},"citationItems":[{"id":5856,"uris":["http://zotero.org/users/451958/items/FTFABHWP"],"uri":["http://zotero.org/users/451958/items/FTFABHWP"],"itemData":{"id":5856,"type":"article-journal","title":"DNA methylation and healthy human aging","container-title":"Aging Cell","page":"924-932","volume":"14","issue":"6","source":"Wiley Online Library","abstract":"The process of aging results in a host of changes at the cellular and molecular levels, which include senescence, telomere shortening, and changes in gene expression. Epigenetic patterns also change over the lifespan, suggesting that epigenetic changes may constitute an important component of the aging process. The epigenetic mark that has been most highly studied is DNA methylation, the presence of methyl groups at CpG dinucleotides. These dinucleotides are often located near gene promoters and associate with gene expression levels. Early studies indicated that global levels of DNA methylation increase over the first few years of life and then decrease beginning in late adulthood. Recently, with the advent of microarray and next-generation sequencing technologies, increases in variability of DNA methylation with age have been observed, and a number of site-specific patterns have been identified. It has also been shown that certain CpG sites are highly associated with age, to the extent that prediction models using a small number of these sites can accurately predict the chronological age of the donor. Together, these observations point to the existence of two phenomena that both contribute to age-related DNA methylation changes: epigenetic drift and the epigenetic clock. In this review, we focus on healthy human aging throughout the lifetime and discuss the dynamics of DNA methylation as well as how interactions between the genome, environment, and the epigenome influence aging rates. We also discuss the impact of determining ‘epigenetic age’ for human health and outline some important caveats to existing and future studies.","DOI":"10.1111/acel.12349","ISSN":"1474-9726","journalAbbreviation":"Aging Cell","language":"en","author":[{"family":"Jones","given":"Meaghan J."},{"family":"Goodman","given":"Sarah J."},{"family":"Kobor","given":"Michael S."}],"issued":{"date-parts":[["2015",12,1]]}}}],"schema":"https://github.com/citation-style-language/schema/raw/master/csl-citation.json"}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most widely studied measure relies on variation in </w:t>
      </w:r>
      <w:proofErr w:type="spellStart"/>
      <w:r w:rsidRPr="00873E6C">
        <w:rPr>
          <w:rFonts w:ascii="Times" w:hAnsi="Times" w:cs="Times New Roman"/>
          <w:sz w:val="24"/>
          <w:szCs w:val="24"/>
        </w:rPr>
        <w:t>DNAm</w:t>
      </w:r>
      <w:proofErr w:type="spellEnd"/>
      <w:r w:rsidRPr="00873E6C">
        <w:rPr>
          <w:rFonts w:ascii="Times" w:hAnsi="Times" w:cs="Times New Roman"/>
          <w:sz w:val="24"/>
          <w:szCs w:val="24"/>
        </w:rPr>
        <w:t xml:space="preserve"> at 353 distinct </w:t>
      </w:r>
      <w:proofErr w:type="spellStart"/>
      <w:r w:rsidRPr="00873E6C">
        <w:rPr>
          <w:rFonts w:ascii="Times" w:hAnsi="Times" w:cs="Times New Roman"/>
          <w:sz w:val="24"/>
          <w:szCs w:val="24"/>
        </w:rPr>
        <w:t>CpG</w:t>
      </w:r>
      <w:proofErr w:type="spellEnd"/>
      <w:r w:rsidRPr="00873E6C">
        <w:rPr>
          <w:rFonts w:ascii="Times" w:hAnsi="Times" w:cs="Times New Roman"/>
          <w:sz w:val="24"/>
          <w:szCs w:val="24"/>
        </w:rPr>
        <w:t xml:space="preserve"> sites, and has the benefit of being broadly applicable across tissue types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njdnruvd","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Individuals with accelerated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relative to chronological age exhibit increased mortality rate independent of a host of associated risk factors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{"citationID":"Wflw3GMw","properties":{"formattedCitation":"{\\rtf (28\\uc0\\u8211{}30)}","plainCitation":"(28–30)"},"citationItems":[{"id":6457,"uris":["http://zotero.org/users/451958/items/432J9BMT"],"uri":["http://zotero.org/users/451958/items/432J9BMT"],"itemData":{"id":6457,"type":"article-journal","title":"DNA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year longitudinal study of the 86 oldest</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old twins (mean age of 86.1 at follow</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year increase in the DNAm age vs. chronological age. Furthermore, the intrapair twin analysis revealed a more</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than</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double mortality risk for the DNAm oldest twin compared to the co</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twin and a ‘dose–response pattern’ with the odds of dying first increasing 3.2 (1.05–10.1) times per 5</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year DNAm age difference within twin pairs, thus showing a stronger association of DNAm age with mortality in the oldest</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(28–30)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including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{"citationID":"56WY1F2Y","properties":{"formattedCitation":"(31, 32)","plainCitation":"(31, 32)"},"citationItems":[{"id":7319,"uris":["http://zotero.org/users/451958/items/7BPIFNAV"],"uri":["http://zotero.org/users/451958/items/7BPIFNAV"],"itemData":{"id":7319,"type":"article-journal","title":"Epigenetic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(31, 32)</w:t>
      </w:r>
      <w:r w:rsidR="00272D04" w:rsidRPr="00873E6C">
        <w:rPr>
          <w:rFonts w:ascii="Times" w:hAnsi="Times" w:cs="Times New Roman"/>
          <w:sz w:val="24"/>
          <w:szCs w:val="24"/>
        </w:rPr>
        <w:fldChar w:fldCharType="end"/>
      </w:r>
      <w:r w:rsidRPr="00873E6C">
        <w:rPr>
          <w:rFonts w:ascii="Times" w:hAnsi="Times" w:cs="Times New Roman"/>
        </w:rPr>
        <w:t>.</w:t>
      </w:r>
      <w:r w:rsidRPr="00873E6C">
        <w:rPr>
          <w:rFonts w:ascii="Times" w:hAnsi="Times" w:cs="Times New Roman"/>
          <w:sz w:val="24"/>
          <w:szCs w:val="24"/>
        </w:rPr>
        <w:t xml:space="preserve"> Although the relationship between chronological age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not well understood, it has been suggested that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represents a measure of non-mitotic cellular aging distinct from both </w:t>
      </w:r>
      <w:proofErr w:type="spellStart"/>
      <w:r w:rsidRPr="00873E6C">
        <w:rPr>
          <w:rFonts w:ascii="Times" w:hAnsi="Times" w:cs="Times New Roman"/>
          <w:sz w:val="24"/>
          <w:szCs w:val="24"/>
        </w:rPr>
        <w:t>replicative</w:t>
      </w:r>
      <w:proofErr w:type="spellEnd"/>
      <w:r w:rsidRPr="00873E6C">
        <w:rPr>
          <w:rFonts w:ascii="Times" w:hAnsi="Times" w:cs="Times New Roman"/>
          <w:sz w:val="24"/>
          <w:szCs w:val="24"/>
        </w:rPr>
        <w:t xml:space="preserve"> and DNA damage response aging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{"citationID":"a2lig0vrelp","properties":{"formattedCitation":"(27, 31)","plainCitation":"(27, 31)"},"citationItems":[{"id":6478,"uris":["http://zotero.org/users/451958/items/PPBB3633"],"uri":["http://zotero.org/users/451958/items/PPBB3633"],"itemData":{"id":6478,"type":"article-journal","title":"DNA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(27, 31)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However,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are heritable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{"citationID":"yRJ73sQ6","properties":{"formattedCitation":"{\\rtf (28, 33\\uc0\\u8211{}35)}","plainCitation":"(28, 33–35)"},"citationItems":[{"id":6457,"uris":["http://zotero.org/users/451958/items/432J9BMT"],"uri":["http://zotero.org/users/451958/items/432J9BMT"],"itemData":{"id":6457,"type":"article-journal","title":"DNA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J"}],"issued":{"date-parts":[["2015"]]}},"label":"page"},{"id":6487,"uris":["http://zotero.org/users/451958/items/I67IS8H5"],"uri":["http://zotero.org/users/451958/items/I67IS8H5"],"itemData":{"id":6487,"type":"article-journal","title":"Decreased epigenetic age of PBMCs from Italian semi-supercentenarians and their offspring","container-title":"Aging (Albany NY)","page":"1159","volume":"7","issue":"12","source":"Google Scholar","author":[{"family":"Horvath","given":"Steve"},{"family":"Pirazzini","given":"Chiara"},{"family":"Bacalini","given":"Maria Giulia"},{"family":"Gentilini","given":"Davide"},{"family":"Di Blasio","given":"Anna Maria"},{"family":"Delledonne","given":"Massimo"},{"family":"Mari","given":"Daniela"},{"family":"Arosio","given":"Beatrice"},{"family":"Monti","given":"Daniela"},{"family":"Passarino","given":"Giuseppe"},{"literal":"others"}],"issued":{"date-parts":[["2015"]]}},"label":"page"},{"id":8285,"uris":["http://zotero.org/users/451958/items/KQDZCS8G"],"uri":["http://zotero.org/users/451958/items/KQDZCS8G"],"itemData":{"id":8285,"type":"article-journal","title":"The heritability of leucocyte telomere length dynamics","container-title":"Journal of medical genetics","page":"297-302","volume":"52","issue":"5","ISSN":"0022-2593","journalAbbreviation":"Journal of medical genetics","author":[{"family":"Hjelmborg","given":"Jacob B"},{"family":"Dalgård","given":"Christine"},{"family":"Möller","given":"Soren"},{"family":"Steenstrup","given":"Troels"},{"family":"Kimura","given":"Masayuki"},{"family":"Christensen","given":"Kaare"},{"family":"Kyvik","given":"Kirsten O"},{"family":"Aviv","given":"Abraham"}],"issued":{"date-parts":[["2015"]]}},"label":"page"},{"id":8284,"uris":["http://zotero.org/users/451958/items/V3J87R7Y"],"uri":["http://zotero.org/users/451958/items/V3J87R7Y"],"itemData":{"id":8284,"type":"article-journal","title":"Heritability of telomere length in a study of long-lived families","container-title":"Neurobiology of aging","page":"2785-2790","volume":"36","issue":"10","ISSN":"0197-4580","journalAbbreviation":"Neurobiology of aging","author":[{"family":"Honig","given":"Lawrence S"},{"family":"Kang","given":"Min Suk"},{"family":"Cheng","given":"Rong"},{"family":"Eckfeldt","given":"John H"},{"family":"Thyagarajan","given":"Bharat"},{"family":"Leiendecker-Foster","given":"Catherine"},{"family":"Province","given":"Michael A"},{"family":"Sanders","given":"Jason L"},{"family":"Perls","given":"Thomas"},{"family":"Christensen","given":"Kaare"}],"issued":{"date-parts":[["2015"]]}},"label":"page"}],"schema":"https://github.com/citation-style-language/schema/raw/master/csl-citation.json"}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(28, 33–35)</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and exhibit signatures of accelerated aging with life exposures such as low income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{"citationID":"9GKF51VD","properties":{"formattedCitation":"(36, 37)","plainCitation":"(36, 37)"},"citationItems":[{"id":7499,"uris":["http://zotero.org/users/451958/items/NWPRJE64"],"uri":["http://zotero.org/users/451958/items/NWPRJE64"],"itemData":{"id":7499,"type":"article-journal","title":"Economic hardship and biological weathering: The epigenetics of aging in a U.S. sample of black women","container-title":"Social Science &amp; Medicine","page":"192-200","volume":"150","source":"CrossRef","DOI":"10.1016/j.socscimed.2015.12.001","ISSN":"02779536","shortTitle":"Economic hardship and biological weathering","language":"en","author":[{"family":"Simons","given":"Ronald L."},{"family":"Lei","given":"Man Kit"},{"family":"Beach","given":"Steven R.H."},{"family":"Philibert","given":"Robert A."},{"family":"Cutrona","given":"Carolyn E."},{"family":"Gibbons","given":"Frederick X."},{"family":"Barr","given":"Ashley"}],"issued":{"date-parts":[["2016",2]]}}},{"id":5859,"uris":["http://zotero.org/users/451958/items/37FGI3TC"],"uri":["http://zotero.org/users/451958/items/37FGI3TC"],"itemData":{"id":5859,"type":"article-journal","title":"Self-control forecasts better psychosocial outcomes but faster epigenetic aging in low-SES youth","container-title":"Proceedings of the National Academy of Sciences","page":"10325-10330","volume":"112","issue":"33","source":"www.pnas.org.turing.library.northwestern.edu","abstract":"There are persistent socioeconomic disparities in many aspects of child development in America. Relative to their affluent peers, children of low socioeconomic status (SES) complete fewer years of education, have a higher prevalence of health problems, and are convicted of more criminal offenses. Based on research indicating that low self-control underlies some of these disparities, policymakers have begun incorporating character-skills training into school curricula and social services. However, emerging data suggest that for low-SES youth, self-control may act as a “double-edged sword,” facilitating academic success and psychosocial adjustment, while at the same time undermining physical health. Here, we examine this hypothesis in a five-wave study of 292 African American teenagers from rural Georgia. From ages 17 to 20 y, we assessed SES and self-control annually, along with depressive symptoms, substance use, aggressive behavior, and internalizing problems. At age 22 y, we obtained DNA methylation profiles of subjects’ peripheral blood mononuclear cells. These data were used to measure epigenetic aging, a methylation-derived biomarker reflecting the disparity between biological and chronological aging. Among high-SES youth, better mid-adolescent self-control presaged favorable psychological and methylation outcomes. However, among low-SES youth, self-control had divergent associations with these outcomes. Self-control forecasted lower rates of depressive symptoms, substance use, aggressive behavior, and internalizing problems but faster epigenetic aging. These patterns suggest that for low-SES youth, resilience is a “skin-deep” phenomenon, wherein outward indicators of success can mask emerging problems with health. These findings have conceptual implications for models of resilience, and practical implications for interventions aimed at ameliorating social and racial disparities.","DOI":"10.1073/pnas.1505063112","ISSN":"0027-8424, 1091-6490","note":"PMID: 26170291","journalAbbreviation":"PNAS","language":"en","author":[{"family":"Miller","given":"Gregory E."},{"family":"Yu","given":"Tianyi"},{"family":"Chen","given":"Edith"},{"family":"Brody","given":"Gene H."}],"issued":{"date-parts":[["2015",8,18]]}}}],"schema":"https://github.com/citation-style-language/schema/raw/master/csl-citation.json"}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(36, 37)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psychosocial stress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{"citationID":"hbQOg8fl","properties":{"formattedCitation":"(38, 39)","plainCitation":"(38, 39)"},"citationItems":[{"id":6751,"uris":["http://zotero.org/users/451958/items/JHVZZQN3"],"uri":["http://zotero.org/users/451958/items/JHVZZQN3"],"itemData":{"id":6751,"type":"article-journal","title":"Longitudinal changes of telomere length and epigenetic age related to traumatic stress and post-traumatic stress disorder","container-title":"Psychoneuroendocrinology","collection-title":"This issue includes a Special Section on Biomarkers in the Military - New Findings from Prospective Studies","page":"506-512","volume":"51","source":"ScienceDirect","abstract":"Summary\nSeveral studies have reported an association between traumatic stress and telomere length suggesting that traumatic stress has an impact on ageing at the cellular level. A newly derived tool provides an additional means to investigate cellular ageing by estimating epigenetic age based on DNA methylation profiles. We therefore hypothesise that in a longitudinal study of traumatic stress both indicators of cellular ageing will show increased ageing. We expect that particularly in individuals that developed symptoms of post-traumatic stress disorder (PTSD) increases in these ageing parameters would stand out.\n\nFrom an existing longitudinal cohort study, ninety-six male soldiers were selected based on trauma exposure and the presence of symptoms of PTSD. All military personnel were deployed in a combat zone in Afghanistan and assessed before and 6 months after deployment. The Self-Rating Inventory for PTSD was used to measure the presence of PTSD symptoms, while exposure to combat trauma during deployment was measured with a 19-item deployment experiences checklist. These groups did not differ for age, gender, alcohol consumption, cigarette smoking, military rank, length, weight, or medication use. In DNA from whole blood telomere length was measured and DNA methylation levels were assessed using the Illumina 450K DNA methylation arrays. Epigenetic ageing was estimated using the DNAm age estimator procedure.\n\nThe association of trauma with telomere length was in the expected direction but not significant (B = −10.2, p = 0.52). However, contrary to our expectations, development of PTSD symptoms was associated with the reverse process, telomere lengthening (B = 1.91, p = 0.018). In concordance, trauma significantly accelerated epigenetic ageing (B = 1.97, p = 0.032) and similar to the findings in telomeres, development of PTSD symptoms was inversely associated with epigenetic ageing (B = −0.10, p = 0.044). Blood cell count, medication and premorbid early life trauma exposure did not confound the results.\n\nOverall, in this longitudinal study of military personnel deployed to Afghanistan we show an acceleration of ageing by trauma. However, development of PTSD symptoms was associated with telomere lengthening and reversed epigenetic ageing. These findings warrant further study of a perhaps dysfunctional compensatory cellular ageing reversal in PTSD.","DOI":"10.1016/j.psyneuen.2014.07.011","ISSN":"0306-4530","journalAbbreviation":"Psychoneuroendocrinology","author":[{"family":"Boks","given":"Marco P."},{"family":"Mierlo","given":"Hans C.","dropping-particle":"van"},{"family":"Rutten","given":"Bart P. F."},{"family":"Radstake","given":"Timothy R. D. J."},{"family":"De Witte","given":"Lot"},{"family":"Geuze","given":"Elbert"},{"family":"Horvath","given":"Steve"},{"family":"Schalkwyk","given":"Leonard C."},{"family":"Vinkers","given":"Christiaan H."},{"family":"Broen","given":"Jasper C. A."},{"family":"Vermetten","given":"Eric"}],"issued":{"date-parts":[["2015",1]]}}},{"id":8272,"uris":["http://zotero.org/users/451958/items/HQ3K2U7G"],"uri":["http://zotero.org/users/451958/items/HQ3K2U7G"],"itemData":{"id":8272,"type":"article-journal","title":"Lifetime stress accelerates epigenetic aging in an urban, African American cohort: relevance of glucocorticoid signaling","container-title":"Genome Biology","page":"266","volume":"16","issue":"1","source":"genomebiology-biomedcentral-com.turing.library.northwestern.edu","abstract":"Chronic psychological stress is associated with accelerated aging and increased risk for aging-related diseases, but the underlying molecular mechanisms are unclear. We examined the effect of lifetime stressors on a DNA methylation-based age predictor, epigenetic clock. After controlling for blood cell-type composition and lifestyle parameters, cumulative lifetime stress, but not childhood maltreatment or current stress alone, predicted accelerated epigenetic aging in an urban, African American cohort (n = 392). This effect was primarily driven by personal life stressors, was more pronounced with advancing age, and was blunted in individuals with higher childhood abuse exposure. Hypothesizing that these epigenetic effects could be mediated by glucocorticoid signaling, we found that a high number (n = 85) of epigenetic clock CpG sites were located within glucocorticoid response elements. We further examined the functional effects of glucocorticoids on epigenetic clock CpGs in an independent sample with genome-wide DNA methylation (n = 124) and gene expression data (n = 297) before and after exposure to the glucocorticoid receptor agonist dexamethasone. Dexamethasone induced dynamic changes in methylation in 31.2 % (110/353) of these CpGs and transcription in 81.7 % (139/170) of genes neighboring epigenetic clock CpGs. Disease enrichment analysis of these dexamethasone-regulated genes showed enriched association for aging-related diseases, including coronary artery disease, arteriosclerosis, and leukemias. Cumulative lifetime stress may accelerate epigenetic aging, an effect that could be driven by glucocorticoid-induced epigenetic changes. These findings contribute to our understanding of mechanisms linking chronic stress with accelerated aging and heightened disease risk.","DOI":"10.1186/s13059-015-0828-5","ISSN":"1474-760X","shortTitle":"Lifetime stress accelerates epigenetic aging in an urban, African American cohort","language":"En","author":[{"family":"Zannas","given":"Anthony S."},{"family":"Arloth","given":"Janine"},{"family":"Carrillo-Roa","given":"Tania"},{"family":"Iurato","given":"Stella"},{"family":"Röh","given":"Simone"},{"family":"Ressler","given":"Kerry J."},{"family":"Nemeroff","given":"Charles B."},{"family":"Smith","given":"Alicia K."},{"family":"Bradley","given":"Bekh"},{"family":"Heim","given":"Christine"},{"family":"Menke","given":"Andreas"},{"family":"Lange","given":"Jennifer F."},{"family":"Brückl","given":"Tanja"},{"family":"Ising","given":"Marcus"},{"family":"Wray","given":"Naomi R."},{"family":"Erhardt","given":"Angelika"},{"family":"Binder","given":"Elisabeth B."},{"family":"Mehta","given":"Divya"}],"issued":{"date-parts":[["2015",12]]}}}],"schema":"https://github.com/citation-style-language/schema/raw/master/csl-citation.json"}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(38, 39)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and HIV infection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kint1e2o7","properties":{"formattedCitation":"(40)","plainCitation":"(40)"},"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(40)</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spacing w:after="120"/>
        <w:rPr>
          <w:rFonts w:ascii="Times" w:eastAsia="Times New Roman" w:hAnsi="Times" w:cs="Times New Roman"/>
          <w:sz w:val="24"/>
          <w:szCs w:val="24"/>
        </w:rPr>
      </w:pPr>
      <w:r w:rsidRPr="00873E6C">
        <w:rPr>
          <w:rFonts w:ascii="Times" w:hAnsi="Times" w:cs="Times New Roman"/>
          <w:sz w:val="24"/>
          <w:szCs w:val="24"/>
        </w:rPr>
        <w:t xml:space="preserve">Among women,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are likely to accrue mainly during pregnancy and lactation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{"citationID":"a15i7ok86ff","properties":{"formattedCitation":"(41, 42)","plainCitation":"(41, 42)"},"citationItems":[{"id":6768,"uris":["http://zotero.org/users/451958/items/98STTTDV"],"uri":["http://zotero.org/users/451958/items/98STTTDV"],"itemData":{"id":6768,"type":"article-journal","title":"Reproduction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(41, 42)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which both involve physiological changes that could accelerate senescence. During pregnancy, such changes include </w:t>
      </w:r>
      <w:r w:rsidRPr="00873E6C">
        <w:rPr>
          <w:rFonts w:ascii="Times" w:eastAsia="Times New Roman" w:hAnsi="Times" w:cs="Times New Roman"/>
          <w:sz w:val="24"/>
          <w:szCs w:val="24"/>
        </w:rPr>
        <w:t xml:space="preserve">increased blood cell proliferation to compensate for fluid volume expansion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{"citationID":"0MjnBIux","properties":{"formattedCitation":"(43, 44)","plainCitation":"(43, 44)"},"citationItems":[{"id":8225,"uris":["http://zotero.org/users/451958/items/DXENUT5A"],"uri":["http://zotero.org/users/451958/items/DXENUT5A"],"itemData":{"id":8225,"type":"article-journal","title":"Total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hAnsi="Times" w:cs="Segoe UI"/>
          <w:sz w:val="24"/>
        </w:rPr>
        <w:t>(43, 44)</w:t>
      </w:r>
      <w:r w:rsidR="00272D04" w:rsidRPr="00873E6C">
        <w:rPr>
          <w:rFonts w:ascii="Times" w:eastAsia="Times New Roman" w:hAnsi="Times" w:cs="Times New Roman"/>
          <w:sz w:val="24"/>
          <w:szCs w:val="24"/>
        </w:rPr>
        <w:fldChar w:fldCharType="end"/>
      </w:r>
      <w:r w:rsidRPr="00873E6C">
        <w:rPr>
          <w:rFonts w:ascii="Times" w:eastAsia="Times New Roman" w:hAnsi="Times" w:cs="Times New Roman"/>
          <w:sz w:val="24"/>
          <w:szCs w:val="24"/>
        </w:rPr>
        <w:t xml:space="preserve">, a shift towards pro-inflammatory immunity and a reduction in </w:t>
      </w:r>
      <w:proofErr w:type="spellStart"/>
      <w:r w:rsidRPr="00873E6C">
        <w:rPr>
          <w:rFonts w:ascii="Times" w:eastAsia="Times New Roman" w:hAnsi="Times" w:cs="Times New Roman"/>
          <w:sz w:val="24"/>
          <w:szCs w:val="24"/>
        </w:rPr>
        <w:t>immunocompetence</w:t>
      </w:r>
      <w:proofErr w:type="spellEnd"/>
      <w:r w:rsidRPr="00873E6C">
        <w:rPr>
          <w:rFonts w:ascii="Times" w:eastAsia="Times New Roman" w:hAnsi="Times" w:cs="Times New Roman"/>
          <w:sz w:val="24"/>
          <w:szCs w:val="24"/>
        </w:rPr>
        <w:t xml:space="preserve"> that increases the rates of infection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{"citationID":"jO7aF01p","properties":{"formattedCitation":"{\\rtf (45\\uc0\\u8211{}47)}","plainCitation":"(45–47)"},"citationItems":[{"id":8250,"uris":["http://zotero.org/users/451958/items/6YZ3A5EF"],"uri":["http://zotero.org/users/451958/items/6YZ3A5EF"],"itemData":{"id":8250,"type":"article-journal","title":"Sex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hAnsi="Times" w:cs="Segoe UI"/>
          <w:sz w:val="24"/>
        </w:rPr>
        <w:t>(45–47)</w:t>
      </w:r>
      <w:r w:rsidR="00272D04" w:rsidRPr="00873E6C">
        <w:rPr>
          <w:rFonts w:ascii="Times" w:eastAsia="Times New Roman" w:hAnsi="Times" w:cs="Times New Roman"/>
          <w:sz w:val="24"/>
          <w:szCs w:val="24"/>
        </w:rPr>
        <w:fldChar w:fldCharType="end"/>
      </w:r>
      <w:r w:rsidRPr="00873E6C">
        <w:rPr>
          <w:rFonts w:ascii="Times" w:hAnsi="Times" w:cs="Times New Roman"/>
          <w:sz w:val="24"/>
          <w:szCs w:val="24"/>
        </w:rPr>
        <w:t xml:space="preserve">. Data from cell culture, rodent based experiments, and observations in humans </w:t>
      </w:r>
      <w:r w:rsidRPr="00873E6C">
        <w:rPr>
          <w:rFonts w:ascii="Times" w:eastAsia="Times New Roman" w:hAnsi="Times" w:cs="Times New Roman"/>
          <w:sz w:val="24"/>
          <w:szCs w:val="24"/>
        </w:rPr>
        <w:t xml:space="preserve">show that inflammation and infection increase cell proliferation and DNA damage, both expected to accelerate the pace of telomere shortening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{"citationID":"mCVs5vxk","properties":{"formattedCitation":"{\\rtf (48\\uc0\\u8211{}55)}","plainCitation":"(48–55)"},"citationItems":[{"id":8247,"uris":["http://zotero.org/users/451958/items/KKYLJ6A2"],"uri":["http://zotero.org/users/451958/items/KKYLJ6A2"],"itemData":{"id":8247,"type":"article-journal","title":"Immunosenescence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Carrero JJ, Stenvinkel P, Fellstr</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m B, Qureshi AR, Lamb K, Heimb</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rger O, B</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r</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 xml:space="preserve"> This is a cross-sectional study in prevalent haemodialysis patients [n</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 xml:space="preserve"> Telomere length was shorter in CKD men, despite women being older (average</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SD 6.41</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 xml:space="preserve"> 1.23 vs. 6.96</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1.48</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kb,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0.002). Telomere length was associated with age (rho</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22120.18,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0.01), fetuin-A (rho</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0.26,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0.0004), high-sensitivity C-reactive protein (rho</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22120.21,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0.005) and IL-6 (rho</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22120.17,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0.02). In a multivariate logistic regression (pseudo r2</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0.14), telomere length was associated with age &amp;gt;65</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&amp;lt;</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0.0001), but dependently on fetuin-A levels.Conclusion.</w:instrText>
      </w:r>
      <w:r w:rsidRPr="00873E6C">
        <w:rPr>
          <w:rFonts w:ascii="Menlo Regular" w:eastAsia="Times New Roman" w:hAnsi="Menlo Regular" w:cs="Menlo Regular"/>
          <w:sz w:val="24"/>
          <w:szCs w:val="24"/>
        </w:rPr>
        <w:instrText>�</w:instrText>
      </w:r>
      <w:r w:rsidRPr="00873E6C">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hAnsi="Times" w:cs="Segoe UI"/>
          <w:sz w:val="24"/>
        </w:rPr>
        <w:t>(48–55)</w:t>
      </w:r>
      <w:r w:rsidR="00272D04" w:rsidRPr="00873E6C">
        <w:rPr>
          <w:rFonts w:ascii="Times" w:eastAsia="Times New Roman" w:hAnsi="Times" w:cs="Times New Roman"/>
          <w:sz w:val="24"/>
          <w:szCs w:val="24"/>
        </w:rPr>
        <w:fldChar w:fldCharType="end"/>
      </w:r>
      <w:r w:rsidRPr="00873E6C">
        <w:rPr>
          <w:rFonts w:ascii="Times" w:eastAsia="Times New Roman" w:hAnsi="Times" w:cs="Times New Roman"/>
          <w:sz w:val="24"/>
          <w:szCs w:val="24"/>
        </w:rPr>
        <w:t xml:space="preserve">. Accelerated </w:t>
      </w:r>
      <w:proofErr w:type="spellStart"/>
      <w:r w:rsidRPr="00873E6C">
        <w:rPr>
          <w:rFonts w:ascii="Times" w:eastAsia="Times New Roman" w:hAnsi="Times" w:cs="Times New Roman"/>
          <w:sz w:val="24"/>
          <w:szCs w:val="24"/>
        </w:rPr>
        <w:t>DNAmAge</w:t>
      </w:r>
      <w:proofErr w:type="spellEnd"/>
      <w:r w:rsidRPr="00873E6C">
        <w:rPr>
          <w:rFonts w:ascii="Times" w:eastAsia="Times New Roman" w:hAnsi="Times" w:cs="Times New Roman"/>
          <w:sz w:val="24"/>
          <w:szCs w:val="24"/>
        </w:rPr>
        <w:t xml:space="preserve"> relative to chronological age has been observed in other pro-inflammatory contexts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{"citationID":"a1an105cfpg","properties":{"formattedCitation":"(40, 56)","plainCitation":"(40, 56)"},"citationItems":[{"id":6885,"uris":["http://zotero.org/users/451958/items/XFVFR95G"],"uri":["http://zotero.org/users/451958/items/XFVFR95G"],"itemData":{"id":6885,"type":"article-journal","title":"HIV-1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eastAsia="Times New Roman" w:hAnsi="Times" w:cs="Times New Roman"/>
          <w:noProof/>
          <w:sz w:val="24"/>
          <w:szCs w:val="24"/>
        </w:rPr>
        <w:t>(40, 56)</w:t>
      </w:r>
      <w:r w:rsidR="00272D04" w:rsidRPr="00873E6C">
        <w:rPr>
          <w:rFonts w:ascii="Times" w:eastAsia="Times New Roman" w:hAnsi="Times" w:cs="Times New Roman"/>
          <w:sz w:val="24"/>
          <w:szCs w:val="24"/>
        </w:rPr>
        <w:fldChar w:fldCharType="end"/>
      </w:r>
      <w:r w:rsidRPr="00873E6C">
        <w:rPr>
          <w:rFonts w:ascii="Times" w:eastAsia="Times New Roman" w:hAnsi="Times" w:cs="Times New Roman"/>
          <w:sz w:val="24"/>
          <w:szCs w:val="24"/>
        </w:rPr>
        <w:t xml:space="preserve">, and with menopause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a1dejgldi5l","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Pr="00873E6C">
        <w:rPr>
          <w:rFonts w:ascii="Times" w:eastAsia="Times New Roman" w:hAnsi="Times" w:cs="Times New Roman"/>
          <w:sz w:val="24"/>
          <w:szCs w:val="24"/>
        </w:rPr>
        <w:t xml:space="preserve">, an important physiological and life history transition in human females. </w:t>
      </w:r>
      <w:proofErr w:type="spellStart"/>
      <w:r w:rsidRPr="00873E6C">
        <w:rPr>
          <w:rFonts w:ascii="Times" w:eastAsia="Times New Roman" w:hAnsi="Times" w:cs="Times New Roman"/>
          <w:sz w:val="24"/>
          <w:szCs w:val="24"/>
        </w:rPr>
        <w:t>DNAmAge</w:t>
      </w:r>
      <w:proofErr w:type="spellEnd"/>
      <w:r w:rsidRPr="00873E6C">
        <w:rPr>
          <w:rFonts w:ascii="Times" w:eastAsia="Times New Roman" w:hAnsi="Times" w:cs="Times New Roman"/>
          <w:sz w:val="24"/>
          <w:szCs w:val="24"/>
        </w:rPr>
        <w:t xml:space="preserve"> acceleration arising from menopause, whether naturally-occurring or surgically-induced, was attenuated by hormone therapy </w:t>
      </w:r>
      <w:r w:rsidR="00272D04" w:rsidRPr="00873E6C">
        <w:rPr>
          <w:rFonts w:ascii="Times" w:eastAsia="Times New Roman" w:hAnsi="Times" w:cs="Times New Roman"/>
          <w:sz w:val="24"/>
          <w:szCs w:val="24"/>
        </w:rPr>
        <w:fldChar w:fldCharType="begin"/>
      </w:r>
      <w:r w:rsidRPr="00873E6C">
        <w:rPr>
          <w:rFonts w:ascii="Times" w:eastAsia="Times New Roman" w:hAnsi="Times" w:cs="Times New Roman"/>
          <w:sz w:val="24"/>
          <w:szCs w:val="24"/>
        </w:rPr>
        <w:instrText xml:space="preserve"> ADDIN ZOTERO_ITEM CSL_CITATION {"citationID":"a2npl7puicg","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Pr="00873E6C">
        <w:rPr>
          <w:rFonts w:ascii="Times" w:eastAsia="Times New Roman" w:hAnsi="Times" w:cs="Times New Roman"/>
          <w:sz w:val="24"/>
          <w:szCs w:val="24"/>
        </w:rPr>
        <w:t>,</w:t>
      </w:r>
      <w:r w:rsidRPr="00873E6C">
        <w:rPr>
          <w:rStyle w:val="CommentReference"/>
          <w:rFonts w:ascii="Times" w:hAnsi="Times"/>
          <w:vanish/>
        </w:rPr>
        <w:t>m,</w:t>
      </w:r>
      <w:r w:rsidRPr="00873E6C">
        <w:rPr>
          <w:rFonts w:ascii="Times" w:eastAsia="Times New Roman" w:hAnsi="Times" w:cs="Times New Roman"/>
          <w:sz w:val="24"/>
          <w:szCs w:val="24"/>
        </w:rPr>
        <w:t xml:space="preserve"> suggesting that physiological and hormonal changes like those accompanying pregnancy could have profound effects on </w:t>
      </w:r>
      <w:proofErr w:type="spellStart"/>
      <w:r w:rsidRPr="00873E6C">
        <w:rPr>
          <w:rFonts w:ascii="Times" w:eastAsia="Times New Roman" w:hAnsi="Times" w:cs="Times New Roman"/>
          <w:sz w:val="24"/>
          <w:szCs w:val="24"/>
        </w:rPr>
        <w:t>DNAmAge</w:t>
      </w:r>
      <w:proofErr w:type="spellEnd"/>
      <w:r w:rsidRPr="00873E6C">
        <w:rPr>
          <w:rFonts w:ascii="Times" w:eastAsia="Times New Roman" w:hAnsi="Times" w:cs="Times New Roman"/>
          <w:sz w:val="24"/>
          <w:szCs w:val="24"/>
        </w:rPr>
        <w:t xml:space="preserve">. </w:t>
      </w:r>
      <w:r w:rsidRPr="00873E6C">
        <w:rPr>
          <w:rFonts w:ascii="Times" w:hAnsi="Times" w:cs="Times New Roman"/>
          <w:sz w:val="24"/>
          <w:szCs w:val="24"/>
        </w:rPr>
        <w:t xml:space="preserve">To our knowledge, no studies have examined the relationship between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However, two recent studies examining the relationship between parity and TL have yielded conflicting results, with one suggesting a positive effect of parity on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bkgkgskie","properties":{"formattedCitation":"(58)","plainCitation":"(58)"},"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while the other reported no evidence for an effect of parity on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if912gdic","properties":{"formattedCitation":"(59)","plainCitation":"(59)"},"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Both findings are contrary to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and the predictions of evolutionary theories of aging, arguing for additional research examining the relationship between parity and aging biomarkers such as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t>
      </w:r>
    </w:p>
    <w:p w:rsidR="00E63E12" w:rsidRPr="00873E6C" w:rsidRDefault="00E63E12" w:rsidP="00E63E12">
      <w:pPr>
        <w:rPr>
          <w:rFonts w:ascii="Times New Roman" w:hAnsi="Times New Roman" w:cs="Times New Roman"/>
        </w:rPr>
      </w:pPr>
      <w:r>
        <w:rPr>
          <w:rFonts w:ascii="Times New Roman" w:hAnsi="Times New Roman" w:cs="Times New Roman"/>
          <w:sz w:val="24"/>
          <w:szCs w:val="24"/>
        </w:rPr>
        <w:t>We employ</w:t>
      </w:r>
      <w:r w:rsidRPr="00873E6C">
        <w:rPr>
          <w:rFonts w:ascii="Times New Roman" w:hAnsi="Times New Roman" w:cs="Times New Roman"/>
          <w:sz w:val="24"/>
          <w:szCs w:val="24"/>
        </w:rPr>
        <w:t xml:space="preserve"> blood-derived TL and </w:t>
      </w:r>
      <w:proofErr w:type="spellStart"/>
      <w:r w:rsidRPr="00873E6C">
        <w:rPr>
          <w:rFonts w:ascii="Times New Roman" w:hAnsi="Times New Roman" w:cs="Times New Roman"/>
          <w:sz w:val="24"/>
          <w:szCs w:val="24"/>
        </w:rPr>
        <w:t>DNAmAge</w:t>
      </w:r>
      <w:proofErr w:type="spellEnd"/>
      <w:r w:rsidRPr="00873E6C">
        <w:rPr>
          <w:rFonts w:ascii="Times New Roman" w:hAnsi="Times New Roman" w:cs="Times New Roman"/>
          <w:sz w:val="24"/>
          <w:szCs w:val="24"/>
        </w:rPr>
        <w:t xml:space="preserve"> data collected from a cohort of young adult women (age 20-22) in the Philippines to test three inter-related hypotheses: women with a greater number of pregnancies would have shorter TL (H1) and elevated </w:t>
      </w:r>
      <w:proofErr w:type="spellStart"/>
      <w:r w:rsidRPr="00873E6C">
        <w:rPr>
          <w:rFonts w:ascii="Times New Roman" w:hAnsi="Times New Roman" w:cs="Times New Roman"/>
          <w:sz w:val="24"/>
          <w:szCs w:val="24"/>
        </w:rPr>
        <w:t>DNAmAge</w:t>
      </w:r>
      <w:proofErr w:type="spellEnd"/>
      <w:r w:rsidRPr="00873E6C">
        <w:rPr>
          <w:rFonts w:ascii="Times New Roman" w:hAnsi="Times New Roman" w:cs="Times New Roman"/>
          <w:sz w:val="24"/>
          <w:szCs w:val="24"/>
        </w:rPr>
        <w:t xml:space="preserve"> relative to chronological age (H2). We also hypothesized that any associations between number of pregnancies and TL shortening and </w:t>
      </w:r>
      <w:proofErr w:type="spellStart"/>
      <w:r w:rsidRPr="00873E6C">
        <w:rPr>
          <w:rFonts w:ascii="Times New Roman" w:hAnsi="Times New Roman" w:cs="Times New Roman"/>
          <w:sz w:val="24"/>
          <w:szCs w:val="24"/>
        </w:rPr>
        <w:t>DNAmAge</w:t>
      </w:r>
      <w:proofErr w:type="spellEnd"/>
      <w:r w:rsidRPr="00873E6C">
        <w:rPr>
          <w:rFonts w:ascii="Times New Roman" w:hAnsi="Times New Roman" w:cs="Times New Roman"/>
          <w:sz w:val="24"/>
          <w:szCs w:val="24"/>
        </w:rPr>
        <w:t xml:space="preserve"> increases would be stronger in women for whom resources are more constrained, as reflected in lower socioeconomic status (H3). </w:t>
      </w:r>
    </w:p>
    <w:p w:rsidR="00E63E12" w:rsidRPr="00873E6C" w:rsidRDefault="00E63E12" w:rsidP="00E63E12">
      <w:r w:rsidRPr="00873E6C">
        <w:br w:type="page"/>
      </w:r>
      <w:r w:rsidRPr="00873E6C">
        <w:rPr>
          <w:rFonts w:ascii="Times" w:hAnsi="Times" w:cs="Times New Roman"/>
          <w:b/>
          <w:sz w:val="24"/>
          <w:szCs w:val="24"/>
        </w:rPr>
        <w:t>Results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The women in our sample had a mean age of 21.7 (± 0.4). Pregnancies were distributed as follows: </w:t>
      </w:r>
      <w:proofErr w:type="spellStart"/>
      <w:r w:rsidRPr="00873E6C">
        <w:rPr>
          <w:rFonts w:ascii="Times" w:hAnsi="Times" w:cs="Times New Roman"/>
          <w:sz w:val="24"/>
          <w:szCs w:val="24"/>
        </w:rPr>
        <w:t>nulliparous</w:t>
      </w:r>
      <w:proofErr w:type="spellEnd"/>
      <w:r w:rsidRPr="00873E6C">
        <w:rPr>
          <w:rFonts w:ascii="Times" w:hAnsi="Times" w:cs="Times New Roman"/>
          <w:sz w:val="24"/>
          <w:szCs w:val="24"/>
        </w:rPr>
        <w:t xml:space="preserve"> (61.</w:t>
      </w:r>
      <w:r>
        <w:rPr>
          <w:rFonts w:ascii="Times" w:hAnsi="Times" w:cs="Times New Roman"/>
          <w:sz w:val="24"/>
          <w:szCs w:val="24"/>
        </w:rPr>
        <w:t>7</w:t>
      </w:r>
      <w:r w:rsidRPr="00873E6C">
        <w:rPr>
          <w:rFonts w:ascii="Times" w:hAnsi="Times" w:cs="Times New Roman"/>
          <w:sz w:val="24"/>
          <w:szCs w:val="24"/>
        </w:rPr>
        <w:t>%), single (21.</w:t>
      </w:r>
      <w:r>
        <w:rPr>
          <w:rFonts w:ascii="Times" w:hAnsi="Times" w:cs="Times New Roman"/>
          <w:sz w:val="24"/>
          <w:szCs w:val="24"/>
        </w:rPr>
        <w:t>2</w:t>
      </w:r>
      <w:r w:rsidRPr="00873E6C">
        <w:rPr>
          <w:rFonts w:ascii="Times" w:hAnsi="Times" w:cs="Times New Roman"/>
          <w:sz w:val="24"/>
          <w:szCs w:val="24"/>
        </w:rPr>
        <w:t>%), two (12.</w:t>
      </w:r>
      <w:r>
        <w:rPr>
          <w:rFonts w:ascii="Times" w:hAnsi="Times" w:cs="Times New Roman"/>
          <w:sz w:val="24"/>
          <w:szCs w:val="24"/>
        </w:rPr>
        <w:t>4</w:t>
      </w:r>
      <w:r w:rsidRPr="00873E6C">
        <w:rPr>
          <w:rFonts w:ascii="Times" w:hAnsi="Times" w:cs="Times New Roman"/>
          <w:sz w:val="24"/>
          <w:szCs w:val="24"/>
        </w:rPr>
        <w:t>%), three (3.</w:t>
      </w:r>
      <w:r>
        <w:rPr>
          <w:rFonts w:ascii="Times" w:hAnsi="Times" w:cs="Times New Roman"/>
          <w:sz w:val="24"/>
          <w:szCs w:val="24"/>
        </w:rPr>
        <w:t>4</w:t>
      </w:r>
      <w:r w:rsidRPr="00873E6C">
        <w:rPr>
          <w:rFonts w:ascii="Times" w:hAnsi="Times" w:cs="Times New Roman"/>
          <w:sz w:val="24"/>
          <w:szCs w:val="24"/>
        </w:rPr>
        <w:t>%), four (0.8%), and five (</w:t>
      </w:r>
      <w:r>
        <w:rPr>
          <w:rFonts w:ascii="Times" w:hAnsi="Times" w:cs="Times New Roman"/>
          <w:sz w:val="24"/>
          <w:szCs w:val="24"/>
        </w:rPr>
        <w:t>0.4</w:t>
      </w:r>
      <w:r w:rsidRPr="00873E6C">
        <w:rPr>
          <w:rFonts w:ascii="Times" w:hAnsi="Times" w:cs="Times New Roman"/>
          <w:sz w:val="24"/>
          <w:szCs w:val="24"/>
        </w:rPr>
        <w:t>%) pregnancies (Table 1). The 397 individuals in this sample with av</w:t>
      </w:r>
      <w:r>
        <w:rPr>
          <w:rFonts w:ascii="Times" w:hAnsi="Times" w:cs="Times New Roman"/>
          <w:sz w:val="24"/>
          <w:szCs w:val="24"/>
        </w:rPr>
        <w:t xml:space="preserve">ailable </w:t>
      </w:r>
      <w:proofErr w:type="spellStart"/>
      <w:r>
        <w:rPr>
          <w:rFonts w:ascii="Times" w:hAnsi="Times" w:cs="Times New Roman"/>
          <w:sz w:val="24"/>
          <w:szCs w:val="24"/>
        </w:rPr>
        <w:t>DNAmAge</w:t>
      </w:r>
      <w:proofErr w:type="spellEnd"/>
      <w:r>
        <w:rPr>
          <w:rFonts w:ascii="Times" w:hAnsi="Times" w:cs="Times New Roman"/>
          <w:sz w:val="24"/>
          <w:szCs w:val="24"/>
        </w:rPr>
        <w:t xml:space="preserve"> data showed 3.95</w:t>
      </w:r>
      <w:r w:rsidRPr="00873E6C">
        <w:rPr>
          <w:rFonts w:ascii="Times" w:hAnsi="Times" w:cs="Times New Roman"/>
          <w:sz w:val="24"/>
          <w:szCs w:val="24"/>
        </w:rPr>
        <w:t xml:space="preserve"> year higher average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(25.6 ± 3.2) than their chronological age. In contrast, age-corrected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in this sample are longer than that of European and African American populations, but shorter than that of several African populations (details in Table S1).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no associations with each other (n=</w:t>
      </w:r>
      <w:commentRangeStart w:id="6"/>
      <w:r w:rsidRPr="00873E6C">
        <w:rPr>
          <w:rFonts w:ascii="Times" w:hAnsi="Times" w:cs="Times New Roman"/>
          <w:sz w:val="24"/>
          <w:szCs w:val="24"/>
        </w:rPr>
        <w:t>39</w:t>
      </w:r>
      <w:r>
        <w:rPr>
          <w:rFonts w:ascii="Times" w:hAnsi="Times" w:cs="Times New Roman"/>
          <w:sz w:val="24"/>
          <w:szCs w:val="24"/>
        </w:rPr>
        <w:t>6</w:t>
      </w:r>
      <w:commentRangeEnd w:id="6"/>
      <w:r>
        <w:rPr>
          <w:rStyle w:val="CommentReference"/>
          <w:vanish/>
        </w:rPr>
        <w:commentReference w:id="6"/>
      </w:r>
      <w:r w:rsidRPr="00873E6C">
        <w:rPr>
          <w:rFonts w:ascii="Times" w:hAnsi="Times" w:cs="Times New Roman"/>
          <w:sz w:val="24"/>
          <w:szCs w:val="24"/>
        </w:rPr>
        <w:t>, r=0.00, p=0.6</w:t>
      </w:r>
      <w:r>
        <w:rPr>
          <w:rFonts w:ascii="Times" w:hAnsi="Times" w:cs="Times New Roman"/>
          <w:sz w:val="24"/>
          <w:szCs w:val="24"/>
        </w:rPr>
        <w:t>5</w:t>
      </w:r>
      <w:r w:rsidRPr="00873E6C">
        <w:rPr>
          <w:rFonts w:ascii="Times" w:hAnsi="Times" w:cs="Times New Roman"/>
          <w:sz w:val="24"/>
          <w:szCs w:val="24"/>
        </w:rPr>
        <w:t>), including when both measures had chronological age effects factored out (n=39</w:t>
      </w:r>
      <w:r>
        <w:rPr>
          <w:rFonts w:ascii="Times" w:hAnsi="Times" w:cs="Times New Roman"/>
          <w:sz w:val="24"/>
          <w:szCs w:val="24"/>
        </w:rPr>
        <w:t>6</w:t>
      </w:r>
      <w:r w:rsidRPr="00873E6C">
        <w:rPr>
          <w:rFonts w:ascii="Times" w:hAnsi="Times" w:cs="Times New Roman"/>
          <w:sz w:val="24"/>
          <w:szCs w:val="24"/>
        </w:rPr>
        <w:t>, r=0.00, p=0.</w:t>
      </w:r>
      <w:r>
        <w:rPr>
          <w:rFonts w:ascii="Times" w:hAnsi="Times" w:cs="Times New Roman"/>
          <w:sz w:val="24"/>
          <w:szCs w:val="24"/>
        </w:rPr>
        <w:t>75</w:t>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t xml:space="preserve">Table 1. </w:t>
      </w:r>
      <w:proofErr w:type="gramStart"/>
      <w:r w:rsidRPr="00873E6C">
        <w:rPr>
          <w:rFonts w:ascii="Times" w:hAnsi="Times" w:cs="Times New Roman"/>
          <w:sz w:val="24"/>
          <w:szCs w:val="24"/>
        </w:rPr>
        <w:t>Descriptive statistics for key variables.</w:t>
      </w:r>
      <w:proofErr w:type="gramEnd"/>
      <w:r w:rsidRPr="00873E6C">
        <w:rPr>
          <w:rFonts w:ascii="Times" w:hAnsi="Times" w:cs="Times New Roman"/>
          <w:b/>
          <w:sz w:val="24"/>
          <w:szCs w:val="24"/>
        </w:rPr>
        <w:t xml:space="preserve"> </w:t>
      </w:r>
    </w:p>
    <w:tbl>
      <w:tblPr>
        <w:tblW w:w="0" w:type="auto"/>
        <w:tblLayout w:type="fixed"/>
        <w:tblLook w:val="04A0"/>
      </w:tblPr>
      <w:tblGrid>
        <w:gridCol w:w="3078"/>
        <w:gridCol w:w="810"/>
        <w:gridCol w:w="720"/>
        <w:gridCol w:w="810"/>
        <w:gridCol w:w="810"/>
      </w:tblGrid>
      <w:tr w:rsidR="00E63E12" w:rsidRPr="00873E6C">
        <w:trPr>
          <w:trHeight w:val="300"/>
        </w:trPr>
        <w:tc>
          <w:tcPr>
            <w:tcW w:w="3078" w:type="dxa"/>
            <w:tcBorders>
              <w:top w:val="double" w:sz="4" w:space="0" w:color="auto"/>
              <w:left w:val="nil"/>
              <w:bottom w:val="sing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Variable</w:t>
            </w:r>
            <w:r w:rsidRPr="00873E6C">
              <w:rPr>
                <w:rFonts w:ascii="Times" w:eastAsia="Times New Roman" w:hAnsi="Times" w:cs="Times New Roman"/>
                <w:vertAlign w:val="superscript"/>
              </w:rPr>
              <w:t>†</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Mean</w:t>
            </w:r>
          </w:p>
        </w:tc>
        <w:tc>
          <w:tcPr>
            <w:tcW w:w="72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SD</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Min</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Max</w:t>
            </w:r>
          </w:p>
        </w:tc>
      </w:tr>
      <w:tr w:rsidR="00E63E12" w:rsidRPr="00873E6C">
        <w:trPr>
          <w:trHeight w:val="300"/>
        </w:trPr>
        <w:tc>
          <w:tcPr>
            <w:tcW w:w="3078" w:type="dxa"/>
            <w:tcBorders>
              <w:top w:val="single" w:sz="4" w:space="0" w:color="auto"/>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Age (years)</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21.7</w:t>
            </w:r>
          </w:p>
        </w:tc>
        <w:tc>
          <w:tcPr>
            <w:tcW w:w="72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0.4</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20.8</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22.5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Telomere length (relative units)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0.79</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0.03</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1.45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AC0037">
            <w:pPr>
              <w:spacing w:after="0" w:line="240" w:lineRule="auto"/>
              <w:rPr>
                <w:rFonts w:ascii="Times" w:eastAsia="Times New Roman" w:hAnsi="Times" w:cs="Times New Roman"/>
              </w:rPr>
            </w:pP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Acceleration</w:t>
            </w:r>
            <w:r w:rsidRPr="00873E6C">
              <w:rPr>
                <w:rFonts w:ascii="Times" w:eastAsia="Times New Roman" w:hAnsi="Times" w:cs="Times New Roman"/>
                <w:vertAlign w:val="superscript"/>
              </w:rPr>
              <w:t>‡</w:t>
            </w:r>
            <w:r w:rsidRPr="00873E6C">
              <w:rPr>
                <w:rFonts w:ascii="Times" w:eastAsia="Times New Roman" w:hAnsi="Times" w:cs="Times New Roman"/>
              </w:rPr>
              <w:t xml:space="preserve"> </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3.2</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9.7</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Number of pregnancies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0.6</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0.9</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5.0</w:t>
            </w:r>
          </w:p>
        </w:tc>
      </w:tr>
      <w:tr w:rsidR="00E63E12" w:rsidRPr="00873E6C">
        <w:trPr>
          <w:trHeight w:val="300"/>
        </w:trPr>
        <w:tc>
          <w:tcPr>
            <w:tcW w:w="3078" w:type="dxa"/>
            <w:tcBorders>
              <w:top w:val="nil"/>
              <w:left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Maternal education (y)</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3.8</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19.0</w:t>
            </w:r>
          </w:p>
        </w:tc>
      </w:tr>
      <w:tr w:rsidR="00E63E12" w:rsidRPr="00873E6C">
        <w:trPr>
          <w:trHeight w:val="300"/>
        </w:trPr>
        <w:tc>
          <w:tcPr>
            <w:tcW w:w="3078" w:type="dxa"/>
            <w:tcBorders>
              <w:top w:val="nil"/>
              <w:left w:val="nil"/>
              <w:bottom w:val="doub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Currently Pregnant (%)</w:t>
            </w: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r>
      <w:tr w:rsidR="00E63E12" w:rsidRPr="00873E6C">
        <w:trPr>
          <w:trHeight w:val="300"/>
        </w:trPr>
        <w:tc>
          <w:tcPr>
            <w:tcW w:w="6228" w:type="dxa"/>
            <w:gridSpan w:val="5"/>
            <w:tcBorders>
              <w:top w:val="double" w:sz="4" w:space="0" w:color="auto"/>
              <w:left w:val="nil"/>
              <w:right w:val="nil"/>
            </w:tcBorders>
            <w:shd w:val="clear" w:color="auto" w:fill="auto"/>
            <w:noWrap/>
            <w:vAlign w:val="center"/>
          </w:tcPr>
          <w:p w:rsidR="00E63E12" w:rsidRPr="00873E6C" w:rsidRDefault="00E63E12" w:rsidP="004324D8">
            <w:pPr>
              <w:spacing w:after="0" w:line="240" w:lineRule="auto"/>
              <w:rPr>
                <w:rFonts w:ascii="Times" w:eastAsia="Times New Roman" w:hAnsi="Times" w:cs="Times New Roman"/>
              </w:rPr>
            </w:pPr>
            <w:r w:rsidRPr="00873E6C">
              <w:rPr>
                <w:rFonts w:ascii="Times" w:eastAsia="Times New Roman" w:hAnsi="Times" w:cs="Times New Roman"/>
                <w:vertAlign w:val="superscript"/>
              </w:rPr>
              <w:t>†</w:t>
            </w:r>
            <w:r w:rsidRPr="00873E6C">
              <w:rPr>
                <w:rFonts w:ascii="Times" w:eastAsia="Times New Roman" w:hAnsi="Times" w:cs="Times New Roman"/>
              </w:rPr>
              <w:t>All variables n=8</w:t>
            </w:r>
            <w:r>
              <w:rPr>
                <w:rFonts w:ascii="Times" w:eastAsia="Times New Roman" w:hAnsi="Times" w:cs="Times New Roman"/>
              </w:rPr>
              <w:t>11</w:t>
            </w:r>
            <w:r w:rsidRPr="00873E6C">
              <w:rPr>
                <w:rFonts w:ascii="Times" w:eastAsia="Times New Roman" w:hAnsi="Times" w:cs="Times New Roman"/>
              </w:rPr>
              <w:t xml:space="preserve"> aside from </w:t>
            </w:r>
            <w:proofErr w:type="spellStart"/>
            <w:r w:rsidRPr="00873E6C">
              <w:rPr>
                <w:rFonts w:ascii="Times" w:eastAsia="Times New Roman" w:hAnsi="Times" w:cs="Times New Roman"/>
              </w:rPr>
              <w:t>DNAm</w:t>
            </w:r>
            <w:proofErr w:type="spellEnd"/>
            <w:r>
              <w:rPr>
                <w:rFonts w:ascii="Times" w:eastAsia="Times New Roman" w:hAnsi="Times" w:cs="Times New Roman"/>
              </w:rPr>
              <w:t>,</w:t>
            </w:r>
            <w:r w:rsidRPr="00873E6C">
              <w:rPr>
                <w:rFonts w:ascii="Times" w:eastAsia="Times New Roman" w:hAnsi="Times" w:cs="Times New Roman"/>
              </w:rPr>
              <w:t xml:space="preserve"> </w:t>
            </w:r>
            <w:r>
              <w:rPr>
                <w:rFonts w:ascii="Times" w:eastAsia="Times New Roman" w:hAnsi="Times" w:cs="Times New Roman"/>
              </w:rPr>
              <w:t>for which</w:t>
            </w:r>
            <w:r w:rsidRPr="00873E6C">
              <w:rPr>
                <w:rFonts w:ascii="Times" w:eastAsia="Times New Roman" w:hAnsi="Times" w:cs="Times New Roman"/>
              </w:rPr>
              <w:t xml:space="preserve"> n=397</w:t>
            </w:r>
          </w:p>
          <w:p w:rsidR="00E63E12" w:rsidRPr="00873E6C" w:rsidRDefault="00E63E12" w:rsidP="0000757D">
            <w:pPr>
              <w:spacing w:after="0" w:line="240" w:lineRule="auto"/>
              <w:rPr>
                <w:rFonts w:ascii="Times" w:eastAsia="Times New Roman" w:hAnsi="Times" w:cs="Times New Roman"/>
                <w:sz w:val="20"/>
                <w:szCs w:val="20"/>
              </w:rPr>
            </w:pPr>
            <w:r w:rsidRPr="00873E6C">
              <w:rPr>
                <w:rFonts w:ascii="Times" w:eastAsia="Times New Roman" w:hAnsi="Times" w:cs="Times New Roman"/>
                <w:vertAlign w:val="superscript"/>
              </w:rPr>
              <w:t>‡</w:t>
            </w:r>
            <w:r w:rsidRPr="00873E6C">
              <w:rPr>
                <w:rFonts w:ascii="Times" w:eastAsia="Times New Roman" w:hAnsi="Times" w:cs="Times New Roman"/>
              </w:rPr>
              <w:t xml:space="preserve">Residuals of </w:t>
            </w: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on chronological age at blood draw</w:t>
            </w:r>
          </w:p>
        </w:tc>
      </w:tr>
    </w:tbl>
    <w:p w:rsidR="00E63E12" w:rsidRPr="00873E6C" w:rsidRDefault="00E63E12" w:rsidP="00E63E12">
      <w:pPr>
        <w:rPr>
          <w:rFonts w:ascii="Times" w:hAnsi="Times" w:cs="Times New Roman"/>
          <w:b/>
          <w:sz w:val="24"/>
          <w:szCs w:val="24"/>
        </w:rPr>
      </w:pP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Independently of chronological age,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the predicted (H1 &amp; H2) evidence of accelerated aging with increasing number of pregnancies (</w:t>
      </w:r>
      <w:commentRangeStart w:id="7"/>
      <w:r w:rsidRPr="00873E6C">
        <w:rPr>
          <w:rFonts w:ascii="Times" w:hAnsi="Times" w:cs="Times New Roman"/>
          <w:sz w:val="24"/>
          <w:szCs w:val="24"/>
        </w:rPr>
        <w:t>Table 2</w:t>
      </w:r>
      <w:commentRangeEnd w:id="7"/>
      <w:r>
        <w:rPr>
          <w:rStyle w:val="CommentReference"/>
          <w:vanish/>
        </w:rPr>
        <w:commentReference w:id="7"/>
      </w:r>
      <w:r w:rsidRPr="00873E6C">
        <w:rPr>
          <w:rFonts w:ascii="Times" w:hAnsi="Times" w:cs="Times New Roman"/>
          <w:sz w:val="24"/>
          <w:szCs w:val="24"/>
        </w:rPr>
        <w:t xml:space="preserve">; </w:t>
      </w:r>
      <w:commentRangeStart w:id="8"/>
      <w:r w:rsidRPr="00873E6C">
        <w:rPr>
          <w:rFonts w:ascii="Times" w:hAnsi="Times" w:cs="Times New Roman"/>
          <w:sz w:val="24"/>
          <w:szCs w:val="24"/>
        </w:rPr>
        <w:t>Figure 1; Table S2</w:t>
      </w:r>
      <w:commentRangeEnd w:id="8"/>
      <w:r>
        <w:rPr>
          <w:rStyle w:val="CommentReference"/>
          <w:vanish/>
        </w:rPr>
        <w:commentReference w:id="8"/>
      </w:r>
      <w:r w:rsidRPr="00873E6C">
        <w:rPr>
          <w:rFonts w:ascii="Times" w:hAnsi="Times" w:cs="Times New Roman"/>
          <w:sz w:val="24"/>
          <w:szCs w:val="24"/>
        </w:rPr>
        <w:t xml:space="preserve">). After controlling for potential confounders, </w:t>
      </w:r>
      <w:proofErr w:type="gramStart"/>
      <w:r w:rsidRPr="00873E6C">
        <w:rPr>
          <w:rFonts w:ascii="Times" w:hAnsi="Times" w:cs="Times New Roman"/>
          <w:sz w:val="24"/>
          <w:szCs w:val="24"/>
        </w:rPr>
        <w:t>effect</w:t>
      </w:r>
      <w:proofErr w:type="gramEnd"/>
      <w:r w:rsidRPr="00873E6C">
        <w:rPr>
          <w:rFonts w:ascii="Times" w:hAnsi="Times" w:cs="Times New Roman"/>
          <w:sz w:val="24"/>
          <w:szCs w:val="24"/>
        </w:rPr>
        <w:t xml:space="preserve"> sizes of number of pregnancies on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most models increased (Table 2, Models 1 and 2 vs. 3 and 4 and Model 5 and 6 vs. 7 and 8). In contrast to total number of pregnancies, being currently pregnant was associated with a trend towards longer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(Table 2, Models 3 &amp; 7). However, these same models excluding current pregnancy slightly attenuated the associations of increasing numbers of pregnancies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2 and 5). This suggests that controlling for what appears to be a transient protective effect of current pregnancy exposes more long-term costs of past pregnancies.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Each additional pregnancy was associated with a reduction in TL of 0.016 units (Table 2, Model 3), or an interpolated -50.6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/pregnancy based on previous southern blot measured TL in a subset of these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tf42erl5","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(60)</w:t>
      </w:r>
      <w:r w:rsidR="00272D04" w:rsidRPr="00873E6C">
        <w:rPr>
          <w:rFonts w:ascii="Times" w:hAnsi="Times" w:cs="Times New Roman"/>
          <w:sz w:val="24"/>
          <w:szCs w:val="24"/>
        </w:rPr>
        <w:fldChar w:fldCharType="end"/>
      </w:r>
      <w:r w:rsidRPr="00873E6C">
        <w:rPr>
          <w:rFonts w:ascii="Times" w:hAnsi="Times" w:cs="Times New Roman"/>
          <w:sz w:val="24"/>
          <w:szCs w:val="24"/>
        </w:rPr>
        <w:t>. The age related decline in TL in 36-69 year old women in this population was previously found to be 0.0043 relative TL units/year (n=1,845, p=7.19 x 10</w:t>
      </w:r>
      <w:r w:rsidRPr="00873E6C">
        <w:rPr>
          <w:rFonts w:ascii="Times" w:hAnsi="Times" w:cs="Times New Roman"/>
          <w:sz w:val="24"/>
          <w:szCs w:val="24"/>
          <w:vertAlign w:val="superscript"/>
        </w:rPr>
        <w:t>-16</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14sdhjb2su","properties":{"formattedCitation":"(61)","plainCitation":"(61)"},"citationItems":[{"id":8183,"uris":["http://zotero.org/users/451958/items/VZURMB7I"],"uri":["http://zotero.org/users/451958/items/VZURMB7I"],"itemData":{"id":8183,"type":"article-journal","title":"Delayed paternal age of reproduction in humans is associated with longer telomeres across two generations of descendants","container-title":"Proc Natl Acad Sci","page":"10251-6","volume":"109","issue":"26","abstract":"Telomeres are repeating DNA sequences at the ends of chromosomes that protect and buffer genes from nucleotide loss as cells divide. Telomere length (TL) shortens with age in most proliferating tissues, limiting cell division and thereby contributing to senescence. However, TL increases with age in sperm, and, correspondingly, offspring of older fathers inherit longer telomeres. Using data and samples from a longitudinal study from the Philippines, we first replicate the finding that paternal age at birth is associated with longer TL in offspring (n = 2,023, P = 1.84 x 10(-6)). We then show that this association of paternal age with offspring TL is cumulative across multiple generations: in this sample, grandchildren of older paternal grandfathers at the birth of fathers have longer telomeres (n = 234, P = 0.038), independent of, and additive to, the association of their father's age at birth with TL. The lengthening of telomeres predicted by each year that the father's or grandfather's reproduction are delayed is equal to the yearly shortening of TL seen in middle-age to elderly women in this sample, pointing to potentially important impacts on health and the pace of senescent decline in tissues and systems that are cell-replication dependent. This finding suggests a mechanism by which humans could extend late-life function as average age at reproduction is delayed within a lineage.","author":[{"family":"Eisenberg","given":"D. T."},{"family":"Hayes","given":"M. G."},{"family":"Kuzawa","given":"C. W."}],"issued":{"date-parts":[["2012"]]}}}],"schema":"https://github.com/citation-style-language/schema/raw/master/csl-citation.json"}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13.6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while the age related decline in TL within the younger and narrow age range in this sample is estimated between -0.027 and -0.047/year (Table 2, Models 1-4). In other populations the age-related decline in mid-late adulthood is approximately 25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m8fqt9518","properties":{"formattedCitation":"(62)","plainCitation":"(62)"},"citationItems":[{"id":8197,"uris":["http://zotero.org/users/451958/items/ZM59PG92"],"uri":["http://zotero.org/users/451958/items/ZM59PG92"],"itemData":{"id":8197,"type":"article-journal","title":"Shorter telomere length in Europeans than in Africans due to polygenetic adaptation","container-title":"Human Molecular Genetics","abstract":"Leukocyte telomere length (LTL), which reflects telomere length in other somatic tissues, is a complex genetic trait. Eleven SNPs have been shown in genome-wide association studies to be associated with LTL at a genome-wide level of significance within cohorts of European ancestry. It has been observed that LTL is longer in African Americans than in Europeans. The underlying reason for this difference is unknown. Here we show that LTL is significantly longer in sub-Saharan Africans than in both Europeans and African Americans. Based on the 11 LTL-associated alleles and genetic data in phase 3 of the 1000 Genomes Project, we show that the shifts in allele frequency within Europe and between Europe and Africa do not fit the pattern expected by neutral genetic drift. Our findings suggest that differences in LTL within Europeans and between Europeans and Africans is influenced by polygenic adaptation and that differences in LTL between Europeans and Africans might explain, in part, ethnic differences in risks for human diseases that have been linked to LTL.","author":[{"family":"Hansen","given":"Matthew E.B."},{"family":"Hunt","given":"Steven C."},{"family":"Stone","given":"Rivka C."},{"family":"Horvath","given":"Kent"},{"family":"Herbig","given":"Utz"},{"family":"Ranciaro","given":"Alessia"},{"family":"Hirbo","given":"Jibril"},{"family":"Beggs","given":"William"},{"family":"Reiner","given":"Alexander P."},{"family":"Wilson","given":"James G."},{"family":"Kimura","given":"Masayuki"},{"family":"De Vivo","given":"Immaculata"},{"family":"Chen","given":"Maxine M."},{"family":"Kark","given":"Jeremy D."},{"family":"Levy","given":"Daniel"},{"family":"Nyambo","given":"Thomas"},{"family":"Tishkoff","given":"Sarah A."},{"family":"Aviv","given":"Abraham"}],"issued":{"date-parts":[["2016"]]}}}],"schema":"https://github.com/citation-style-language/schema/raw/master/csl-citation.json"}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This implies that one pregnancy is equivalent to between </w:t>
      </w:r>
      <w:bookmarkStart w:id="9" w:name="OLE_LINK12"/>
      <w:bookmarkStart w:id="10" w:name="OLE_LINK13"/>
      <w:r w:rsidRPr="00873E6C">
        <w:rPr>
          <w:rFonts w:ascii="Times" w:hAnsi="Times" w:cs="Times New Roman"/>
          <w:sz w:val="24"/>
          <w:szCs w:val="24"/>
        </w:rPr>
        <w:t xml:space="preserve">0.34 and 3.72 years </w:t>
      </w:r>
      <w:bookmarkEnd w:id="9"/>
      <w:bookmarkEnd w:id="10"/>
      <w:r w:rsidRPr="00873E6C">
        <w:rPr>
          <w:rFonts w:ascii="Times" w:hAnsi="Times" w:cs="Times New Roman"/>
          <w:sz w:val="24"/>
          <w:szCs w:val="24"/>
        </w:rPr>
        <w:t xml:space="preserve">of telomere aging depending on the comparison population. Consistent with this calculation, each additional pregnancy was associated with 0.44-year (0.27 to 0.61 years) increase in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(Table 2, Model 7).</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To test for reverse association, we checked whether TL/</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at the time of measurement (in 2005) predicted the number of pregnancies over the subsequent four years (from 2005-2009). Controlling for the time elapsed between the 2005 and 2009 surveys, we found no relationship of either TL (p = 0.835)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 = 0.483) on subsequent parity, including after controlling for baseline parity in 2005 (Table S3).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Contrary to expectations (H3), there were no significant interactions between number of pregnancies and SES in predicting either TL (p=0.35; Table 2, Model 4)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(p=0.37; Table 2, Model 8). However, the primary associations of number of pregnancies with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these models increased slightly in magnitude with the inclusion of the interaction term. </w:t>
      </w:r>
    </w:p>
    <w:p w:rsidR="00E63E12" w:rsidRDefault="00E63E12" w:rsidP="00E63E12">
      <w:r w:rsidRPr="00873E6C">
        <w:rPr>
          <w:rFonts w:ascii="Times" w:hAnsi="Times" w:cs="Times New Roman"/>
          <w:b/>
          <w:sz w:val="24"/>
          <w:szCs w:val="24"/>
        </w:rPr>
        <w:t xml:space="preserve">Table 2. </w:t>
      </w:r>
      <w:r w:rsidRPr="00873E6C">
        <w:rPr>
          <w:rFonts w:ascii="Times" w:hAnsi="Times" w:cs="Times New Roman"/>
          <w:sz w:val="24"/>
          <w:szCs w:val="24"/>
        </w:rPr>
        <w:t xml:space="preserve">Regression models linking number of pregnancies to telomere length (models 1-4)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5-8). </w:t>
      </w:r>
    </w:p>
    <w:tbl>
      <w:tblPr>
        <w:tblW w:w="5500" w:type="pct"/>
        <w:tblCellSpacing w:w="15" w:type="dxa"/>
        <w:tblInd w:w="-195" w:type="dxa"/>
        <w:tblLayout w:type="fixed"/>
        <w:tblCellMar>
          <w:top w:w="15" w:type="dxa"/>
          <w:left w:w="15" w:type="dxa"/>
          <w:bottom w:w="15" w:type="dxa"/>
          <w:right w:w="15" w:type="dxa"/>
        </w:tblCellMar>
        <w:tblLook w:val="0000"/>
      </w:tblPr>
      <w:tblGrid>
        <w:gridCol w:w="2690"/>
        <w:gridCol w:w="939"/>
        <w:gridCol w:w="978"/>
        <w:gridCol w:w="973"/>
        <w:gridCol w:w="970"/>
        <w:gridCol w:w="970"/>
        <w:gridCol w:w="970"/>
        <w:gridCol w:w="970"/>
        <w:gridCol w:w="968"/>
      </w:tblGrid>
      <w:tr w:rsidR="00E63E12" w:rsidRPr="00873E6C">
        <w:trPr>
          <w:trHeight w:hRule="exact" w:val="302"/>
          <w:tblCellSpacing w:w="15" w:type="dxa"/>
        </w:trPr>
        <w:tc>
          <w:tcPr>
            <w:tcW w:w="2255" w:type="dxa"/>
            <w:tcBorders>
              <w:top w:val="double" w:sz="4" w:space="0" w:color="auto"/>
            </w:tcBorders>
            <w:shd w:val="clear" w:color="auto" w:fill="auto"/>
          </w:tcPr>
          <w:p w:rsidR="00E63E12" w:rsidRPr="00873E6C" w:rsidRDefault="00E63E12" w:rsidP="00167332">
            <w:pPr>
              <w:spacing w:after="120"/>
              <w:rPr>
                <w:rFonts w:ascii="Times" w:hAnsi="Times"/>
                <w:szCs w:val="20"/>
              </w:rPr>
            </w:pPr>
          </w:p>
        </w:tc>
        <w:tc>
          <w:tcPr>
            <w:tcW w:w="3278"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r w:rsidRPr="00873E6C">
              <w:rPr>
                <w:rFonts w:ascii="Times" w:hAnsi="Times"/>
                <w:b/>
                <w:szCs w:val="20"/>
              </w:rPr>
              <w:t>Telomere Length~</w:t>
            </w:r>
          </w:p>
        </w:tc>
        <w:tc>
          <w:tcPr>
            <w:tcW w:w="3280"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proofErr w:type="spellStart"/>
            <w:r w:rsidRPr="00873E6C">
              <w:rPr>
                <w:rFonts w:ascii="Times" w:hAnsi="Times"/>
                <w:b/>
                <w:szCs w:val="20"/>
              </w:rPr>
              <w:t>DNAmAge</w:t>
            </w:r>
            <w:proofErr w:type="spellEnd"/>
            <w:r w:rsidRPr="00873E6C">
              <w:rPr>
                <w:rFonts w:ascii="Times" w:hAnsi="Times"/>
                <w:b/>
                <w:szCs w:val="20"/>
              </w:rPr>
              <w:t>~</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after="120"/>
              <w:jc w:val="center"/>
              <w:rPr>
                <w:rFonts w:ascii="Times" w:hAnsi="Times"/>
                <w:szCs w:val="20"/>
              </w:rPr>
            </w:pPr>
          </w:p>
        </w:tc>
        <w:tc>
          <w:tcPr>
            <w:tcW w:w="775"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(1)</w:t>
            </w:r>
          </w:p>
        </w:tc>
        <w:tc>
          <w:tcPr>
            <w:tcW w:w="808"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(2)</w:t>
            </w:r>
            <w:r w:rsidRPr="00873E6C">
              <w:rPr>
                <w:rFonts w:ascii="Times" w:hAnsi="Times" w:cs="Times New Roman"/>
                <w:sz w:val="20"/>
                <w:szCs w:val="20"/>
                <w:vertAlign w:val="superscript"/>
              </w:rPr>
              <w:t>†</w:t>
            </w:r>
          </w:p>
        </w:tc>
        <w:tc>
          <w:tcPr>
            <w:tcW w:w="804"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(3)</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(4)</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(5)</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(6)</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(7)</w:t>
            </w:r>
            <w:r w:rsidRPr="00873E6C">
              <w:rPr>
                <w:rFonts w:ascii="Times" w:hAnsi="Times" w:cs="Times New Roman"/>
                <w:sz w:val="20"/>
                <w:szCs w:val="20"/>
                <w:vertAlign w:val="superscript"/>
              </w:rPr>
              <w:t>†</w:t>
            </w:r>
          </w:p>
        </w:tc>
        <w:tc>
          <w:tcPr>
            <w:tcW w:w="787"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(8)</w:t>
            </w:r>
            <w:r w:rsidRPr="00873E6C">
              <w:rPr>
                <w:rFonts w:ascii="Times" w:hAnsi="Times" w:cs="Times New Roman"/>
                <w:sz w:val="20"/>
                <w:szCs w:val="20"/>
                <w:vertAlign w:val="superscript"/>
              </w:rPr>
              <w:t>†</w:t>
            </w:r>
          </w:p>
        </w:tc>
      </w:tr>
      <w:tr w:rsidR="00E63E12" w:rsidRPr="00873E6C">
        <w:trPr>
          <w:trHeight w:hRule="exact" w:val="302"/>
          <w:tblCellSpacing w:w="15" w:type="dxa"/>
        </w:trPr>
        <w:tc>
          <w:tcPr>
            <w:tcW w:w="2255" w:type="dxa"/>
            <w:tcBorders>
              <w:top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Chronological Age (yrs.)</w:t>
            </w:r>
          </w:p>
        </w:tc>
        <w:tc>
          <w:tcPr>
            <w:tcW w:w="775" w:type="dxa"/>
            <w:tcBorders>
              <w:top w:val="single" w:sz="4" w:space="0" w:color="auto"/>
            </w:tcBorders>
            <w:shd w:val="clear" w:color="auto" w:fill="auto"/>
            <w:vAlign w:val="center"/>
          </w:tcPr>
          <w:p w:rsidR="00E63E12" w:rsidRDefault="00E63E12" w:rsidP="00167332">
            <w:pPr>
              <w:spacing w:after="200"/>
              <w:jc w:val="center"/>
              <w:rPr>
                <w:rFonts w:ascii="Times" w:hAnsi="Times"/>
              </w:rPr>
            </w:pPr>
            <w:r>
              <w:t>-0.047</w:t>
            </w:r>
            <w:r>
              <w:rPr>
                <w:vertAlign w:val="superscript"/>
              </w:rPr>
              <w:t>**</w:t>
            </w:r>
            <w:r>
              <w:t xml:space="preserve"> </w:t>
            </w:r>
          </w:p>
        </w:tc>
        <w:tc>
          <w:tcPr>
            <w:tcW w:w="808"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4" w:type="dxa"/>
            <w:tcBorders>
              <w:top w:val="single" w:sz="4" w:space="0" w:color="auto"/>
            </w:tcBorders>
            <w:shd w:val="clear" w:color="auto" w:fill="auto"/>
            <w:vAlign w:val="center"/>
          </w:tcPr>
          <w:p w:rsidR="00E63E12" w:rsidRDefault="00E63E12">
            <w:pPr>
              <w:spacing w:after="200"/>
              <w:jc w:val="center"/>
              <w:rPr>
                <w:rFonts w:ascii="Times" w:hAnsi="Times"/>
              </w:rPr>
            </w:pPr>
            <w:r>
              <w:t>-0.028</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0.485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0.667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0.656 </w:t>
            </w:r>
          </w:p>
        </w:tc>
        <w:tc>
          <w:tcPr>
            <w:tcW w:w="787"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0.645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w:t>
            </w:r>
          </w:p>
        </w:tc>
        <w:tc>
          <w:tcPr>
            <w:tcW w:w="775"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8" w:type="dxa"/>
            <w:shd w:val="clear" w:color="auto" w:fill="auto"/>
            <w:vAlign w:val="center"/>
          </w:tcPr>
          <w:p w:rsidR="00E63E12" w:rsidRDefault="00E63E12">
            <w:pPr>
              <w:spacing w:after="200"/>
              <w:jc w:val="center"/>
              <w:rPr>
                <w:rFonts w:ascii="Times" w:hAnsi="Times"/>
              </w:rPr>
            </w:pPr>
            <w:r>
              <w:t>-0.013</w:t>
            </w:r>
            <w:r>
              <w:rPr>
                <w:vertAlign w:val="superscript"/>
              </w:rPr>
              <w:t>*</w:t>
            </w:r>
            <w:r>
              <w:t xml:space="preserve"> </w:t>
            </w:r>
          </w:p>
        </w:tc>
        <w:tc>
          <w:tcPr>
            <w:tcW w:w="804"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-0.016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0.363</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0.326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0.459</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0.510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r>
              <w:t xml:space="preserve">-0.006 </w:t>
            </w:r>
          </w:p>
        </w:tc>
        <w:tc>
          <w:tcPr>
            <w:tcW w:w="804" w:type="dxa"/>
            <w:shd w:val="clear" w:color="auto" w:fill="auto"/>
            <w:vAlign w:val="center"/>
          </w:tcPr>
          <w:p w:rsidR="00E63E12" w:rsidRDefault="00E63E12">
            <w:pPr>
              <w:spacing w:after="200"/>
              <w:jc w:val="center"/>
              <w:rPr>
                <w:rFonts w:ascii="Times" w:hAnsi="Times"/>
              </w:rPr>
            </w:pPr>
            <w:r>
              <w:t xml:space="preserve">-0.006 </w:t>
            </w: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-0.180 </w:t>
            </w:r>
          </w:p>
        </w:tc>
        <w:tc>
          <w:tcPr>
            <w:tcW w:w="801" w:type="dxa"/>
            <w:shd w:val="clear" w:color="auto" w:fill="auto"/>
            <w:vAlign w:val="center"/>
          </w:tcPr>
          <w:p w:rsidR="00E63E12" w:rsidRDefault="00E63E12">
            <w:pPr>
              <w:spacing w:after="200"/>
              <w:jc w:val="center"/>
              <w:rPr>
                <w:rFonts w:ascii="Times" w:hAnsi="Times"/>
              </w:rPr>
            </w:pPr>
            <w:r>
              <w:t>-0.214</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-0.291</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Currently Pregnant</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-1.472</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-1.460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 x 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787" w:type="dxa"/>
            <w:shd w:val="clear" w:color="auto" w:fill="auto"/>
            <w:vAlign w:val="center"/>
          </w:tcPr>
          <w:p w:rsidR="00E63E12" w:rsidRDefault="00E63E12">
            <w:pPr>
              <w:spacing w:after="200"/>
              <w:jc w:val="center"/>
              <w:rPr>
                <w:rFonts w:ascii="Times" w:hAnsi="Times"/>
              </w:rPr>
            </w:pPr>
            <w:r>
              <w:t xml:space="preserve">0.106 </w:t>
            </w:r>
          </w:p>
        </w:tc>
      </w:tr>
      <w:tr w:rsidR="00E63E12" w:rsidRPr="00873E6C">
        <w:trPr>
          <w:trHeight w:hRule="exact" w:val="302"/>
          <w:tblCellSpacing w:w="15" w:type="dxa"/>
        </w:trPr>
        <w:tc>
          <w:tcPr>
            <w:tcW w:w="2255" w:type="dxa"/>
            <w:tcBorders>
              <w:bottom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Intercept</w:t>
            </w:r>
          </w:p>
        </w:tc>
        <w:tc>
          <w:tcPr>
            <w:tcW w:w="775" w:type="dxa"/>
            <w:tcBorders>
              <w:bottom w:val="single" w:sz="4" w:space="0" w:color="auto"/>
            </w:tcBorders>
            <w:shd w:val="clear" w:color="auto" w:fill="auto"/>
            <w:vAlign w:val="center"/>
          </w:tcPr>
          <w:p w:rsidR="00E63E12" w:rsidRDefault="00E63E12">
            <w:pPr>
              <w:spacing w:after="200"/>
              <w:jc w:val="center"/>
              <w:rPr>
                <w:rFonts w:ascii="Times" w:hAnsi="Times"/>
              </w:rPr>
            </w:pPr>
            <w:r>
              <w:t>1.826</w:t>
            </w:r>
            <w:r>
              <w:rPr>
                <w:vertAlign w:val="superscript"/>
              </w:rPr>
              <w:t>**</w:t>
            </w:r>
            <w:r>
              <w:t xml:space="preserve"> </w:t>
            </w:r>
          </w:p>
        </w:tc>
        <w:tc>
          <w:tcPr>
            <w:tcW w:w="808" w:type="dxa"/>
            <w:tcBorders>
              <w:bottom w:val="single" w:sz="4" w:space="0" w:color="auto"/>
            </w:tcBorders>
            <w:shd w:val="clear" w:color="auto" w:fill="auto"/>
            <w:vAlign w:val="center"/>
          </w:tcPr>
          <w:p w:rsidR="00E63E12" w:rsidRDefault="00E63E12">
            <w:pPr>
              <w:spacing w:after="200"/>
              <w:jc w:val="center"/>
              <w:rPr>
                <w:rFonts w:ascii="Times" w:hAnsi="Times"/>
              </w:rPr>
            </w:pPr>
            <w:r>
              <w:t>1.337</w:t>
            </w:r>
            <w:r>
              <w:rPr>
                <w:vertAlign w:val="superscript"/>
              </w:rPr>
              <w:t>**</w:t>
            </w:r>
            <w:r>
              <w:t xml:space="preserve"> </w:t>
            </w:r>
          </w:p>
        </w:tc>
        <w:tc>
          <w:tcPr>
            <w:tcW w:w="804" w:type="dxa"/>
            <w:tcBorders>
              <w:bottom w:val="single" w:sz="4" w:space="0" w:color="auto"/>
            </w:tcBorders>
            <w:shd w:val="clear" w:color="auto" w:fill="auto"/>
            <w:vAlign w:val="center"/>
          </w:tcPr>
          <w:p w:rsidR="00E63E12" w:rsidRDefault="00E63E12">
            <w:pPr>
              <w:spacing w:after="200"/>
              <w:jc w:val="center"/>
              <w:rPr>
                <w:rFonts w:ascii="Times" w:hAnsi="Times"/>
              </w:rPr>
            </w:pPr>
            <w:r>
              <w:t>1.332</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1.343</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14.818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10.319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10.611 </w:t>
            </w:r>
          </w:p>
        </w:tc>
        <w:tc>
          <w:tcPr>
            <w:tcW w:w="787" w:type="dxa"/>
            <w:tcBorders>
              <w:bottom w:val="single" w:sz="4" w:space="0" w:color="auto"/>
            </w:tcBorders>
            <w:shd w:val="clear" w:color="auto" w:fill="auto"/>
            <w:vAlign w:val="center"/>
          </w:tcPr>
          <w:p w:rsidR="00E63E12" w:rsidRDefault="00E63E12">
            <w:pPr>
              <w:spacing w:after="200"/>
              <w:jc w:val="center"/>
              <w:rPr>
                <w:rFonts w:ascii="Times" w:hAnsi="Times"/>
              </w:rPr>
            </w:pPr>
            <w:r>
              <w:t>10.850</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Observations</w:t>
            </w:r>
          </w:p>
        </w:tc>
        <w:tc>
          <w:tcPr>
            <w:tcW w:w="775" w:type="dxa"/>
            <w:shd w:val="clear" w:color="auto" w:fill="auto"/>
            <w:vAlign w:val="center"/>
          </w:tcPr>
          <w:p w:rsidR="00E63E12" w:rsidRDefault="00E63E12">
            <w:pPr>
              <w:spacing w:after="200"/>
              <w:jc w:val="center"/>
              <w:rPr>
                <w:rFonts w:ascii="Times" w:hAnsi="Times"/>
              </w:rPr>
            </w:pPr>
            <w:r>
              <w:t xml:space="preserve">821 </w:t>
            </w:r>
          </w:p>
        </w:tc>
        <w:tc>
          <w:tcPr>
            <w:tcW w:w="808" w:type="dxa"/>
            <w:shd w:val="clear" w:color="auto" w:fill="auto"/>
            <w:vAlign w:val="center"/>
          </w:tcPr>
          <w:p w:rsidR="00E63E12" w:rsidRDefault="00E63E12">
            <w:pPr>
              <w:spacing w:after="200"/>
              <w:jc w:val="center"/>
              <w:rPr>
                <w:rFonts w:ascii="Times" w:hAnsi="Times"/>
              </w:rPr>
            </w:pPr>
            <w:r>
              <w:t xml:space="preserve">821 </w:t>
            </w:r>
          </w:p>
        </w:tc>
        <w:tc>
          <w:tcPr>
            <w:tcW w:w="804"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787" w:type="dxa"/>
            <w:shd w:val="clear" w:color="auto" w:fill="auto"/>
            <w:vAlign w:val="center"/>
          </w:tcPr>
          <w:p w:rsidR="00E63E12" w:rsidRDefault="00E63E12">
            <w:pPr>
              <w:spacing w:after="200"/>
              <w:jc w:val="center"/>
              <w:rPr>
                <w:rFonts w:ascii="Times" w:hAnsi="Times"/>
              </w:rPr>
            </w:pPr>
            <w:r>
              <w:t xml:space="preserve">397 </w:t>
            </w:r>
          </w:p>
        </w:tc>
      </w:tr>
      <w:tr w:rsidR="00E63E12" w:rsidRPr="00873E6C">
        <w:trPr>
          <w:trHeight w:hRule="exact" w:val="302"/>
          <w:tblCellSpacing w:w="15" w:type="dxa"/>
        </w:trPr>
        <w:tc>
          <w:tcPr>
            <w:tcW w:w="2255" w:type="dxa"/>
            <w:tcBorders>
              <w:bottom w:val="doub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Adjusted R</w:t>
            </w:r>
            <w:r w:rsidRPr="00873E6C">
              <w:rPr>
                <w:rFonts w:ascii="Times" w:hAnsi="Times"/>
                <w:b/>
                <w:szCs w:val="20"/>
                <w:vertAlign w:val="superscript"/>
              </w:rPr>
              <w:t>2</w:t>
            </w:r>
          </w:p>
        </w:tc>
        <w:tc>
          <w:tcPr>
            <w:tcW w:w="775"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0.015 </w:t>
            </w:r>
          </w:p>
        </w:tc>
        <w:tc>
          <w:tcPr>
            <w:tcW w:w="808"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0.063 </w:t>
            </w:r>
          </w:p>
        </w:tc>
        <w:tc>
          <w:tcPr>
            <w:tcW w:w="804"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0.041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0.067 </w:t>
            </w:r>
          </w:p>
        </w:tc>
        <w:tc>
          <w:tcPr>
            <w:tcW w:w="787" w:type="dxa"/>
            <w:tcBorders>
              <w:bottom w:val="double" w:sz="4" w:space="0" w:color="auto"/>
            </w:tcBorders>
            <w:shd w:val="clear" w:color="auto" w:fill="auto"/>
            <w:vAlign w:val="center"/>
          </w:tcPr>
          <w:p w:rsidR="00E63E12" w:rsidRDefault="00E63E12">
            <w:pPr>
              <w:spacing w:after="200"/>
              <w:jc w:val="center"/>
              <w:rPr>
                <w:rFonts w:ascii="Times" w:hAnsi="Times"/>
              </w:rPr>
            </w:pPr>
            <w:r>
              <w:t>0.067</w:t>
            </w:r>
          </w:p>
        </w:tc>
      </w:tr>
    </w:tbl>
    <w:p w:rsidR="00E63E12" w:rsidRPr="00873E6C" w:rsidRDefault="00E63E12" w:rsidP="00E63E12">
      <w:pPr>
        <w:rPr>
          <w:rFonts w:ascii="Times" w:eastAsia="Cambria" w:hAnsi="Times" w:cs="Times New Roman"/>
          <w:sz w:val="20"/>
          <w:szCs w:val="20"/>
        </w:rPr>
      </w:pPr>
      <w:r w:rsidRPr="00873E6C">
        <w:rPr>
          <w:rFonts w:ascii="Times" w:hAnsi="Times" w:cs="Times New Roman"/>
          <w:sz w:val="20"/>
          <w:szCs w:val="20"/>
        </w:rPr>
        <w:t xml:space="preserve">†Includes controls for principal components of genetic variation to control for population structure, and average </w:t>
      </w:r>
      <w:proofErr w:type="spellStart"/>
      <w:r w:rsidRPr="00873E6C">
        <w:rPr>
          <w:rFonts w:ascii="Times" w:hAnsi="Times" w:cs="Times New Roman"/>
          <w:sz w:val="20"/>
          <w:szCs w:val="20"/>
        </w:rPr>
        <w:t>urbanicity</w:t>
      </w:r>
      <w:proofErr w:type="spellEnd"/>
      <w:r w:rsidRPr="00873E6C">
        <w:rPr>
          <w:rFonts w:ascii="Times" w:hAnsi="Times" w:cs="Times New Roman"/>
          <w:sz w:val="20"/>
          <w:szCs w:val="20"/>
        </w:rPr>
        <w:t xml:space="preserve"> (complete results shown in Table S2). </w:t>
      </w:r>
      <w:r w:rsidRPr="00873E6C">
        <w:rPr>
          <w:rFonts w:ascii="Times" w:eastAsia="Cambria" w:hAnsi="Times" w:cs="Times New Roman"/>
          <w:sz w:val="20"/>
          <w:szCs w:val="20"/>
          <w:vertAlign w:val="superscript"/>
        </w:rPr>
        <w:t>+</w:t>
      </w:r>
      <w:proofErr w:type="gramStart"/>
      <w:r w:rsidRPr="00873E6C">
        <w:rPr>
          <w:rFonts w:ascii="Times" w:eastAsia="Cambria" w:hAnsi="Times" w:cs="Times New Roman"/>
          <w:sz w:val="20"/>
          <w:szCs w:val="20"/>
        </w:rPr>
        <w:t>p</w:t>
      </w:r>
      <w:proofErr w:type="gramEnd"/>
      <w:r w:rsidRPr="00873E6C">
        <w:rPr>
          <w:rFonts w:ascii="Times" w:eastAsia="Cambria" w:hAnsi="Times" w:cs="Times New Roman"/>
          <w:sz w:val="20"/>
          <w:szCs w:val="20"/>
        </w:rPr>
        <w:t>&lt;0.1;*p&lt;0.05;**p&lt;0.01;***p&lt;0.001</w:t>
      </w:r>
    </w:p>
    <w:p w:rsidR="00E63E12" w:rsidRPr="00873E6C" w:rsidRDefault="00E63E12" w:rsidP="00E63E12">
      <w:pPr>
        <w:rPr>
          <w:rFonts w:ascii="Times" w:eastAsia="Cambria" w:hAnsi="Times" w:cs="Times New Roman"/>
          <w:sz w:val="20"/>
          <w:szCs w:val="20"/>
        </w:rPr>
      </w:pPr>
      <w:r w:rsidRPr="00873E6C">
        <w:rPr>
          <w:rFonts w:ascii="Times" w:eastAsia="Cambria" w:hAnsi="Times" w:cs="Times New Roman"/>
          <w:sz w:val="20"/>
          <w:szCs w:val="20"/>
        </w:rPr>
        <w:br w:type="page"/>
        <w:t>a)</w:t>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proofErr w:type="gramStart"/>
      <w:r w:rsidRPr="00873E6C">
        <w:rPr>
          <w:rFonts w:ascii="Times" w:eastAsia="Cambria" w:hAnsi="Times" w:cs="Times New Roman"/>
          <w:sz w:val="20"/>
          <w:szCs w:val="20"/>
        </w:rPr>
        <w:t>b</w:t>
      </w:r>
      <w:proofErr w:type="gramEnd"/>
      <w:r w:rsidRPr="00873E6C">
        <w:rPr>
          <w:rFonts w:ascii="Times" w:eastAsia="Cambria" w:hAnsi="Times" w:cs="Times New Roman"/>
          <w:sz w:val="20"/>
          <w:szCs w:val="20"/>
        </w:rPr>
        <w:t>)</w:t>
      </w:r>
      <w:r w:rsidRPr="00873E6C">
        <w:rPr>
          <w:rFonts w:ascii="Times" w:eastAsia="Cambria" w:hAnsi="Times" w:cs="Times New Roman"/>
          <w:sz w:val="20"/>
          <w:szCs w:val="20"/>
        </w:rPr>
        <w:tab/>
      </w:r>
    </w:p>
    <w:p w:rsidR="00E63E12" w:rsidRPr="00873E6C" w:rsidRDefault="00E63E12" w:rsidP="00E63E12">
      <w:pPr>
        <w:rPr>
          <w:rFonts w:ascii="Times" w:hAnsi="Times" w:cs="Times New Roman"/>
          <w:sz w:val="24"/>
          <w:szCs w:val="24"/>
        </w:rPr>
      </w:pPr>
      <w:r w:rsidRPr="00873E6C">
        <w:rPr>
          <w:rFonts w:ascii="Times" w:hAnsi="Times" w:cs="Times New Roman"/>
          <w:noProof/>
          <w:sz w:val="20"/>
          <w:szCs w:val="20"/>
        </w:rPr>
        <w:drawing>
          <wp:inline distT="0" distB="0" distL="0" distR="0">
            <wp:extent cx="2944368" cy="2743200"/>
            <wp:effectExtent l="25400" t="0" r="2032" b="0"/>
            <wp:docPr id="3" name="Picture 1" descr="TL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L_Preg.pdf"/>
                    <pic:cNvPicPr/>
                  </pic:nvPicPr>
                  <ve:AlternateContent xmlns:ma="http://schemas.microsoft.com/office/mac/drawingml/2008/main">
                    <ve:Choice Requires="ma">
                      <pic:blipFill>
                        <a:blip r:embed="rId1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2"/>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noProof/>
          <w:sz w:val="20"/>
          <w:szCs w:val="20"/>
        </w:rPr>
        <w:drawing>
          <wp:inline distT="0" distB="0" distL="0" distR="0">
            <wp:extent cx="2944368" cy="2743200"/>
            <wp:effectExtent l="25400" t="0" r="2032" b="0"/>
            <wp:docPr id="4" name="Picture 0" descr="DNAm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NAm_Preg.pdf"/>
                    <pic:cNvPicPr/>
                  </pic:nvPicPr>
                  <ve:AlternateContent xmlns:ma="http://schemas.microsoft.com/office/mac/drawingml/2008/main">
                    <ve:Choice Requires="ma">
                      <pic:blipFill>
                        <a:blip r:embed="rId13"/>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4"/>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sz w:val="20"/>
          <w:szCs w:val="20"/>
        </w:rPr>
        <w:br/>
      </w:r>
      <w:r w:rsidRPr="00873E6C">
        <w:rPr>
          <w:rFonts w:ascii="Times" w:hAnsi="Times" w:cs="Times New Roman"/>
          <w:b/>
          <w:sz w:val="24"/>
          <w:szCs w:val="24"/>
        </w:rPr>
        <w:t>Figure 1</w:t>
      </w:r>
      <w:r w:rsidRPr="00873E6C">
        <w:rPr>
          <w:rFonts w:ascii="Times" w:hAnsi="Times" w:cs="Times New Roman"/>
          <w:sz w:val="24"/>
          <w:szCs w:val="24"/>
        </w:rPr>
        <w:t xml:space="preserve">. a) TL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TL for all variables in Table 2, Model 3, and statistics from same model. b)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all variables in Table 2, Model 7, and statistics from same model. </w:t>
      </w:r>
      <w:proofErr w:type="gramStart"/>
      <w:r w:rsidRPr="00873E6C">
        <w:rPr>
          <w:rFonts w:ascii="Times" w:hAnsi="Times" w:cs="Times New Roman"/>
          <w:sz w:val="24"/>
          <w:szCs w:val="24"/>
        </w:rPr>
        <w:t>Best fit</w:t>
      </w:r>
      <w:proofErr w:type="gramEnd"/>
      <w:r w:rsidRPr="00873E6C">
        <w:rPr>
          <w:rFonts w:ascii="Times" w:hAnsi="Times" w:cs="Times New Roman"/>
          <w:sz w:val="24"/>
          <w:szCs w:val="24"/>
        </w:rPr>
        <w:t xml:space="preserve"> lines are drawn with 95% CI of beta value.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Discussion</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We found that women with higher parity had shorter TL and accelerated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 effect sizes were dose-dependent and considerable, equivalent to between ~0.34 and 3.72 years of telomere aging and 0.27 to 0.61 years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aging per pregnancy. These findings were relatively robust to controlling for potential confounders, which is particularly important in light of selection effects that frequently confound observational studies of the costs of reproduction. Intriguingly, women who were currently pregnant exhibited trend towards more ‘youthful’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These results could reflect the suite of physiological shifts that occur during pregnancy, such as the protective effects of estrogens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{"citationID":"J07MniGr","properties":{"formattedCitation":"(57, 63)","plainCitation":"(57, 63)"},"citationItems":[{"id":8271,"uris":["http://zotero.org/users/451958/items/5NAKURPD"],"uri":["http://zotero.org/users/451958/items/5NAKURPD"],"itemData":{"id":8271,"type":"article-journal","title":"Epidemiological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(57, 63)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perhaps the presence of fetal DNA in maternal circulation during pregnancy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{"citationID":"crSj3pzL","properties":{"formattedCitation":"(64, 65)","plainCitation":"(64, 65)"},"citationItems":[{"id":8149,"uris":["http://zotero.org/users/451958/items/ZJGMFTMM"],"uri":["http://zotero.org/users/451958/items/ZJGMFTMM"],"itemData":{"id":8149,"type":"article-journal","title":"Dynamic Changes in Fetal Microchimerism in Maternal Peripheral Blood Mononuclear Cells, CD4+ and CD8+ cells in Normal Pregnancy","container-title":"Placenta","page":"589-594","volume":"31","issue":"7","abstract":"Objective Cell trafficking during pregnancy results in persistence of small populations of fetal cells in the mother, known as fetal microchimerism (FMc). Changes in cell-free fetal DNA during gestation have been well described, however, less is known about dynamic changes in fetal immune cells in maternal blood. We have investigated FMc in maternal peripheral blood mononuclear cells (PBMC) longitudinally across gestation. Study design Thirty-five women with normal pregnancies were studied. FMc was identified in PBMC, CD4+ and CD8+ subsets employing quantitative PCR assays targeting fetal-specific genetic polymorphisms. FMc quantities were reported as fetal genome equivalents (gEq) per 1,000,000 gEq mother’s cells. Poisson regression modeled the rate of FMc detection. Main outcome measure FMc in PBMC. Results The probability of detecting one fetal cell equivalent increased 6.2-fold each trimester [Incidence Rate Ratio (IRR) 95% CI: 1.73, 21.91; p = 0.005]. Although FMc in PBMC was not detected for the majority of time points, 7 of 35 women had detectable FMc during pregnancy at one or more time points, with the majority of positive samples being from the third trimester. There was a suggestion of greater HLA-sharing in families where women had FMc in PBMC. FMc was detected in 9% of CD4+ (2/23) and 18% of CD8+ (3/25) subsets. Conclusions FMc in PBMC increased as gestation progressed and was found within CD4+ and CD8+ subsets in some women in the latter half of gestation. A number of factors could influence cellular FMc levels including sub-clinical fetal-maternal interface changes and events related to parturition. Whether FMc during pregnancy predicts persistent FMc and/or correlates with fetal-maternal HLA relationships also merits further study.","author":[{"family":"Adams Waldorf","given":"K. M."},{"family":"Gammill","given":"H. S."},{"family":"Lucas","given":"J."},{"family":"Aydelotte","given":"T. M."},{"family":"Leisenring","given":"W. M."},{"family":"Lambert","given":"N. C."},{"family":"Nelson","given":"J. L."}],"issued":{"date-parts":[["2010"]]}}},{"id":8223,"uris":["http://zotero.org/users/451958/items/DW2IKEPY"],"uri":["http://zotero.org/users/451958/items/DW2IKEPY"],"itemData":{"id":8223,"type":"article-journal","title":"Presence of fetal DNA in maternal plasma and serum","container-title":"The Lancet","page":"485-487","volume":"350","issue":"9076","abstract":"SummaryBackground The potential use of plasma and serum for molecular diagnosis has generated interest. Tumour DNA has been found in the plasma and serum of cancer patients, and molecular analysis has been done on this material. We investigated the equivalent condition in pregnancy—that is, whether fetal DNA is present in maternal plasma and serum. Methods We used a rapid-boiling method to extract DNA from plasma and serum. DNA from plasma, serum, and nucleated blood cells from 43 pregnant women underwent a sensitive Y-PCR assay to detect circulating male fetal DNA from women bearing male fetuses. Findings Fetus-derived Y sequences were detected in 24 (80%) of the 30 maternal plasma samples, and in 21 (70%) of the 30 maternal serum samples, from women bearing male fetuses. These results were obtained with only 10 μL of the samples. When DNA from nucleated blood cells extracted from a similar volume of blood was used, only five (17%) of the 30 samples gave a positive Y signal. None of the 13 women bearing female fetuses, and none of the ten non-pregnant control women, had positive results for plasma, serum or nucleated blood cells. Interpretation Our finding of circulating fetal DNA in maternal plasma may have implications for non-invasive prenatal diagnosis, and for improving our understanding of the fetomaternal relationship.","author":[{"family":"Lo","given":"Y. M. Dennis"},{"family":"Corbetta","given":"Noemi"},{"family":"Chamberlain","given":"Paul F."},{"family":"Rai","given":"Vik"},{"family":"Sargent","given":"Ian L."},{"family":"Redman","given":"Christopher W. G."},{"family":"Wainscoat","given":"James S."}],"issued":{"date-parts":[["1997"]]}}}],"schema":"https://github.com/citation-style-language/schema/raw/master/csl-citation.json"}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(64, 65)</w:t>
      </w:r>
      <w:r w:rsidR="00272D04" w:rsidRPr="00873E6C">
        <w:rPr>
          <w:rFonts w:ascii="Times" w:hAnsi="Times" w:cs="Times New Roman"/>
          <w:sz w:val="24"/>
          <w:szCs w:val="24"/>
        </w:rPr>
        <w:fldChar w:fldCharType="end"/>
      </w:r>
      <w:r w:rsidRPr="00873E6C">
        <w:rPr>
          <w:rFonts w:ascii="Times" w:hAnsi="Times" w:cs="Times New Roman"/>
          <w:sz w:val="24"/>
          <w:szCs w:val="24"/>
        </w:rPr>
        <w:t>. Therefore, current pregnancy status may be an important confounder to include in models in future studies investigating the costs of reproduction.</w:t>
      </w:r>
    </w:p>
    <w:p w:rsidR="00E63E12" w:rsidRPr="00873E6C" w:rsidRDefault="00E63E12" w:rsidP="00E63E12">
      <w:pPr>
        <w:rPr>
          <w:rFonts w:ascii="Times" w:hAnsi="Times" w:cs="Times New Roman"/>
          <w:sz w:val="24"/>
          <w:szCs w:val="24"/>
          <w:highlight w:val="yellow"/>
        </w:rPr>
      </w:pPr>
      <w:r w:rsidRPr="00873E6C">
        <w:rPr>
          <w:rFonts w:ascii="Times" w:hAnsi="Times" w:cs="Times New Roman"/>
          <w:sz w:val="24"/>
          <w:szCs w:val="24"/>
        </w:rPr>
        <w:t xml:space="preserve">Contrary to our prediction that the costs of reproduction would be greatest among individuals with limited resources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{"citationID":"aha8o0u534","properties":{"formattedCitation":"{\\rtf (14\\uc0\\u8211{}16)}","plainCitation":"(14–16)"},"citationItems":[{"id":8176,"uris":["http://zotero.org/users/451958/items/PV4QFT4M"],"uri":["http://zotero.org/users/451958/items/PV4QFT4M"],"itemData":{"id":8176,"type":"article-journal","title":"Long-term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we found no evidence for an interaction between parity and SES in models predicting either TL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It is unclear to what extent SES adequately captures resource limitations in this population, but given the relatively young age of the participants, a moderating effect of resource limitations might only emerge at more advanced ages. SES in this population may also index factors other than resource availability that contribute to accelerated aging, such as less healthful diets or decreases in physical activity.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Although consistent with theoretical predictions and non-human animal work, our findings contrast with two recent studies of TL and parity in women. The first, conducted among 75 </w:t>
      </w:r>
      <w:proofErr w:type="spellStart"/>
      <w:r w:rsidRPr="00873E6C">
        <w:rPr>
          <w:rFonts w:ascii="Times" w:hAnsi="Times" w:cs="Times New Roman"/>
          <w:sz w:val="24"/>
          <w:szCs w:val="24"/>
        </w:rPr>
        <w:t>Guatamalan</w:t>
      </w:r>
      <w:proofErr w:type="spellEnd"/>
      <w:r w:rsidRPr="00873E6C">
        <w:rPr>
          <w:rFonts w:ascii="Times" w:hAnsi="Times" w:cs="Times New Roman"/>
          <w:sz w:val="24"/>
          <w:szCs w:val="24"/>
        </w:rPr>
        <w:t xml:space="preserve"> Maya women, found a positive association between TL and number of surviving offspring over a 13-year time period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ajuaij9le","properties":{"formattedCitation":"(58)","plainCitation":"(58)"},"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Unfortunately, TL in that study was determined using a combination of saliva- and </w:t>
      </w:r>
      <w:proofErr w:type="spellStart"/>
      <w:r w:rsidRPr="00873E6C">
        <w:rPr>
          <w:rFonts w:ascii="Times" w:hAnsi="Times" w:cs="Times New Roman"/>
          <w:sz w:val="24"/>
          <w:szCs w:val="24"/>
        </w:rPr>
        <w:t>buccal</w:t>
      </w:r>
      <w:proofErr w:type="spellEnd"/>
      <w:r w:rsidRPr="00873E6C">
        <w:rPr>
          <w:rFonts w:ascii="Times" w:hAnsi="Times" w:cs="Times New Roman"/>
          <w:sz w:val="24"/>
          <w:szCs w:val="24"/>
        </w:rPr>
        <w:t xml:space="preserve">-derived DNA samples, which do not show a consistent relationship with chronological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{"citationID":"VFh3EWW9","properties":{"formattedCitation":"{\\rtf (67\\uc0\\u8211{}69)}","plainCitation":"(67–69)"},"citationItems":[{"id":8275,"uris":["http://zotero.org/users/451958/items/EGS8DCEU"],"uri":["http://zotero.org/users/451958/items/EGS8DCEU"],"itemData":{"id":8275,"type":"article-journal","title":"Buccal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(67–69)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Unlike longitudinal assessments of blood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7d03bs4v","properties":{"formattedCitation":"(70)","plainCitation":"(70)"},"citationItems":[{"id":8157,"uris":["http://zotero.org/users/451958/items/M7GZCYWV"],"uri":["http://zotero.org/users/451958/items/M7GZCYWV"],"itemData":{"id":8157,"type":"article-journal","title":"Tracking and fixed ranking of leukocyte telomere length across the adult life course","container-title":"Aging Cell","page":"615-21","volume":"12","issue":"4","abstract":"Short leukocyte telomere length (LTL) is associated with atherosclerosis in adults and diminished survival in the elderly. LTL dynamics are defined by LTL at birth, which is highly variable, and its age-dependent attrition thereafter, which is rapid during the first 20 years of life. We examined whether age-dependent LTL attrition during adulthood can substantially affect individuals' LTL ranking (e.g., longer or shorter LTL) in relation to their peers. We measured LTL in samples donated 12 years apart on average by 1156 participants in four longitudinal studies. We observed correlations of 0.91-0.96 between baseline and follow-up LTLs. Ranking individuals by deciles revealed that 94.1% (95% confidence interval of 92.6-95.4%) showed no rank change or a 1 decile change over time. We conclude that in adults, LTL is virtually anchored to a given rank with the passage of time. Accordingly, the links of LTL with atherosclerosis and longevity appear to be established early in life. It is unlikely that lifestyle and its modification during adulthood exert a major impact on LTL ranking.","author":[{"family":"Benetos","given":"A."},{"family":"Kark","given":"J. D."},{"family":"Susser","given":"E."},{"family":"Kimura","given":"M."},{"family":"Sinnreich","given":"R."},{"family":"Chen","given":"W."},{"family":"Steenstrup","given":"T."},{"family":"Christensen","given":"K."},{"family":"Herbig","given":"U."},{"family":"Bornemann Hjelmborg","given":"J.","non-dropping-particle":"von"},{"family":"Srinivasan","given":"S. R."},{"family":"Berenson","given":"G. S."},{"family":"Labat","given":"C."},{"family":"Aviv","given":"A."}],"issued":{"date-parts":[["2013"]]}}}],"schema":"https://github.com/citation-style-language/schema/raw/master/csl-citation.json"}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two measures of TL in this study were also uncorrelated within individuals between the two </w:t>
      </w:r>
      <w:proofErr w:type="spellStart"/>
      <w:r w:rsidRPr="00873E6C">
        <w:rPr>
          <w:rFonts w:ascii="Times" w:hAnsi="Times" w:cs="Times New Roman"/>
          <w:sz w:val="24"/>
          <w:szCs w:val="24"/>
        </w:rPr>
        <w:t>timepoints</w:t>
      </w:r>
      <w:proofErr w:type="spellEnd"/>
      <w:r w:rsidRPr="00873E6C">
        <w:rPr>
          <w:rFonts w:ascii="Times" w:hAnsi="Times" w:cs="Times New Roman"/>
          <w:sz w:val="24"/>
          <w:szCs w:val="24"/>
        </w:rPr>
        <w:t xml:space="preserve">, making comparisons between the findings of that study and our own blood-derived TL findings difficult. More recently, a study among 620 participants of the US-based CARDIA study found no evidence for an effect of parity on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o0h7pra7","properties":{"formattedCitation":"(59)","plainCitation":"(59)"},"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reasons for such contrasting findings are unclear, but may relate to pronounced differences in the age ranges and socio-ecological conditions in the different populations under investigation. TL attrition occurs more rapidly at younger ages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j9enk2iu6","properties":{"formattedCitation":"(71)","plainCitation":"(71)"},"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suggesting that any impacts of reproduction on TL shortening could be amplified among young women, especially if reproduction overlaps with late stages of somatic growth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{"citationID":"abrrkkh211","properties":{"formattedCitation":"(1, 72)","plainCitation":"(1, 72)"},"citationItems":[{"id":7564,"uris":["http://zotero.org/users/451958/items/MP7NXKWZ"],"uri":["http://zotero.org/users/451958/items/MP7NXKWZ"],"itemData":{"id":7564,"type":"article-journal","title":"Life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(1, 72)</w:t>
      </w:r>
      <w:r w:rsidR="00272D04" w:rsidRPr="00873E6C">
        <w:rPr>
          <w:rFonts w:ascii="Times" w:hAnsi="Times" w:cs="Times New Roman"/>
          <w:sz w:val="24"/>
          <w:szCs w:val="24"/>
        </w:rPr>
        <w:fldChar w:fldCharType="end"/>
      </w:r>
      <w:r w:rsidRPr="00873E6C">
        <w:rPr>
          <w:rFonts w:ascii="Times" w:hAnsi="Times" w:cs="Times New Roman"/>
          <w:sz w:val="24"/>
          <w:szCs w:val="24"/>
        </w:rPr>
        <w:t>. Our large sample of blood-measured TL among young, similarly-aged women overcomes many of these limitations, and has the advantage of being free of confounding by concurrent secular trends in parity or other factors that might affect TL among women across a broader age range.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appear to reflect different underlying biological pathways linking reproductive effort with somatic senescence. 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measured in the same individuals have been independently associated with aging and mortality in prior studies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{"citationID":"MGjGZAJk","properties":{"formattedCitation":"(32, 73)","plainCitation":"(32, 73)"},"citationItems":[{"id":6641,"uris":["http://zotero.org/users/451958/items/TKF5Z6VM"],"uri":["http://zotero.org/users/451958/items/TKF5Z6VM"],"itemData":{"id":6641,"type":"article-journal","title":"The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(32, 73)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and appear to reflect distinct measures of cellular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24k15es9rp","properties":{"formattedCitation":"(31)","plainCitation":"(31)"},"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Accordingly,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were not associated with each other in this study. Also notable is our finding that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slightly elevated relative to chronological age at Cebu, while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were longer and show evidence for a slightly slower attrition rate relative to other populations (Table S1). These findings further support the idea that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are independent markers of aging and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qn0BoZXd","properties":{"formattedCitation":"(73)","plainCitation":"(73)"},"citationItems":[{"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Accelerated TL attrition – a measure of ‘mitotic age’ that is modified directly by cellular division – could stem from factors that modify cellular proliferation rates, such as the elevated inflammation, blood cell production, and cell-turnover rates, all of which that characterize pregnancy in this and other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l8bqoev","properties":{"formattedCitation":"(74)","plainCitation":"(74)"},"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contrast to TL,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not considered a marker of mitotic age, as it is associated with chronological age even in immortal, non-dividing, and non-proliferative tissues and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n8ht4uh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Although the biological significance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unknown, it is hypothesized to reflect the integrity of an epigenetic maintenance system, itself responsible for maintaining dynamic regulatory stability within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ntbe6sh79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 light of the relationship between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and epigenetic maintenance, our findings are consistent with the prediction that reproduction comes at the expense of ‘maintenance’ – in this case at the scale of cellular regulatory maintenance. Exactly how parity might lead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is unclear, but could involve tradeoffs between protein homeostasis and epigenetic control arising from immune activation or the buffering of oxidative stress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{"citationID":"dPP3NvO9","properties":{"formattedCitation":"{\\rtf (75\\uc0\\u8211{}78)}","plainCitation":"(75–78)"},"citationItems":[{"id":7100,"uris":["http://zotero.org/users/451958/items/AA789IME"],"uri":["http://zotero.org/users/451958/items/AA789IME"],"itemData":{"id":7100,"type":"article-journal","title":"Hsp90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H."}],"issued":{"date-parts":[["2014",12,1]]}},"label":"page"},{"id":1542,"uris":["http://zotero.org/users/451958/items/XW3A62K5"],"uri":["http://zotero.org/users/451958/items/XW3A62K5"],"itemData":{"id":1542,"type":"article-journal","title":"Repeated stress exposure results in a survival-reproduction trade-off in Drosophila melanogaster","container-title":"Proceedings of the Royal Society B: Biological Sciences","page":"963-969","volume":"277","issue":"1683","source":"CrossRef","DOI":"10.1098/rspb.2009.1807","ISSN":"0962-8452, 1471-2954","language":"en","author":[{"family":"Marshall","given":"K. E."},{"family":"Sinclair","given":"B. J."}],"issued":{"date-parts":[["2010",3,22]]}},"label":"page"}],"schema":"https://github.com/citation-style-language/schema/raw/master/csl-citation.json"}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(75–78)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Indeed, cumulative changes in immune cell composition during pregnancy also likely contribute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with parity, although the measure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used here is remarkably robust across tissue types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1841a04hpo","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Nevertheless, the fact that the </w:t>
      </w:r>
      <w:proofErr w:type="gramStart"/>
      <w:r w:rsidRPr="00873E6C">
        <w:rPr>
          <w:rFonts w:ascii="Times" w:hAnsi="Times" w:cs="Times New Roman"/>
          <w:sz w:val="24"/>
          <w:szCs w:val="24"/>
        </w:rPr>
        <w:t>functionally-distinct</w:t>
      </w:r>
      <w:proofErr w:type="gramEnd"/>
      <w:r w:rsidRPr="00873E6C">
        <w:rPr>
          <w:rFonts w:ascii="Times" w:hAnsi="Times" w:cs="Times New Roman"/>
          <w:sz w:val="24"/>
          <w:szCs w:val="24"/>
        </w:rPr>
        <w:t xml:space="preserv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 similar associations with parity provides strong support for our prediction that reproduction accelerates senescence, at least among the young adult women represented by our sample.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The current study is not without limitations. While our models attempt to control for socio-ecological factors that could affect both parity and our biomarkers of aging, confounding arising from differences in health and/or resources remains a possibility. Although there was no evidence for powerful confounding effects in our data, confounding may explain the slight decrease in effect size of parity between models 1 and 2 (TL) and 4 and 5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Future studies employing a longitudinal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would minimize the potential effects of such confounders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11a59p38gm","properties":{"formattedCitation":"(79)","plainCitation":"(79)"},"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while modeling lactation and other indices for reproductive effort might provide a more accurate estimate of the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{"citationID":"pSZucIUP","properties":{"formattedCitation":"(66, 80)","plainCitation":"(66, 80)"},"citationItems":[{"id":6770,"uris":["http://zotero.org/users/451958/items/JUGUGE4G"],"uri":["http://zotero.org/users/451958/items/JUGUGE4G"],"itemData":{"id":6770,"type":"article-journal","title":"Health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L."},{"family":"Kaplan","given":"Hillard"}],"issued":{"date-parts":[["2016",7,20]]}}},{"id":8095,"uris":["http://zotero.org/users/451958/items/6HSC2IEN"],"uri":["http://zotero.org/users/451958/items/6HSC2IEN"],"itemData":{"id":8095,"type":"article-journal","title":"Accounting for measurement error in human life history trade-offs using structural equation modeling","container-title":"American Journal of Human Biology","page":"e23075","source":"CrossRef","DOI":"10.1002/ajhb.23075","ISSN":"10420533","language":"en","author":[{"family":"Helle","given":"Samuli"}],"issued":{"date-parts":[["2017",11,11]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(66, 80)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Finally, the women in this study all fell within a relatively narrow age range during young adulthood (20-22 years old). Because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‘age’ more rapidly early in adulthood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{"citationID":"ar0kcrfsag","properties":{"formattedCitation":"(27, 71)","plainCitation":"(27, 71)"},"citationItems":[{"id":6478,"uris":["http://zotero.org/users/451958/items/PPBB3633"],"uri":["http://zotero.org/users/451958/items/PPBB3633"],"itemData":{"id":6478,"type":"article-journal","title":"DNA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(27, 71)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it is possible that both measures are particularly sensitive to reproduction at this time. Multiple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each individual that capture the ‘pace’ of aging over time will again prove important to resolving such effects.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sum, we find evidence that parity is associated with shorter telomeres and epigenetic among the young women in our sample. The consistent relationships between parity and aging in two distinct pathways—one reflecting cellular turnover and genomic stability, and the second a marker of </w:t>
      </w:r>
      <w:proofErr w:type="spellStart"/>
      <w:r w:rsidRPr="00873E6C">
        <w:rPr>
          <w:rFonts w:ascii="Times" w:hAnsi="Times" w:cs="Times New Roman"/>
          <w:sz w:val="24"/>
          <w:szCs w:val="24"/>
        </w:rPr>
        <w:t>epigenomic</w:t>
      </w:r>
      <w:proofErr w:type="spellEnd"/>
      <w:r w:rsidRPr="00873E6C">
        <w:rPr>
          <w:rFonts w:ascii="Times" w:hAnsi="Times" w:cs="Times New Roman"/>
          <w:sz w:val="24"/>
          <w:szCs w:val="24"/>
        </w:rPr>
        <w:t xml:space="preserve"> stability—supports a cost of reproduction in humans.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Materials and methods</w:t>
      </w:r>
    </w:p>
    <w:p w:rsidR="00E63E12" w:rsidRPr="00873E6C" w:rsidRDefault="00E63E12" w:rsidP="00E63E12">
      <w:pPr>
        <w:keepNext/>
        <w:numPr>
          <w:ilvl w:val="2"/>
          <w:numId w:val="0"/>
        </w:numPr>
        <w:spacing w:before="240" w:after="120" w:line="240" w:lineRule="auto"/>
        <w:outlineLvl w:val="2"/>
        <w:rPr>
          <w:rFonts w:ascii="Times" w:eastAsia="Calibri" w:hAnsi="Times" w:cs="Times New Roman"/>
          <w:sz w:val="24"/>
          <w:szCs w:val="24"/>
        </w:rPr>
      </w:pPr>
      <w:bookmarkStart w:id="11" w:name="_Toc330838967"/>
      <w:bookmarkStart w:id="12" w:name="_Toc330852424"/>
      <w:r w:rsidRPr="00873E6C">
        <w:rPr>
          <w:rFonts w:ascii="Times" w:eastAsia="Times New Roman" w:hAnsi="Times" w:cs="Times New Roman"/>
          <w:bCs/>
          <w:i/>
          <w:iCs/>
          <w:kern w:val="32"/>
          <w:sz w:val="24"/>
          <w:szCs w:val="24"/>
        </w:rPr>
        <w:t>Data collection</w:t>
      </w:r>
      <w:bookmarkEnd w:id="11"/>
      <w:bookmarkEnd w:id="12"/>
      <w:r w:rsidRPr="00873E6C">
        <w:rPr>
          <w:rFonts w:ascii="Times" w:eastAsia="Times New Roman" w:hAnsi="Times" w:cs="Times New Roman"/>
          <w:bCs/>
          <w:i/>
          <w:iCs/>
          <w:kern w:val="32"/>
          <w:sz w:val="24"/>
          <w:szCs w:val="24"/>
        </w:rPr>
        <w:t xml:space="preserve">. </w:t>
      </w:r>
      <w:r w:rsidRPr="00873E6C">
        <w:rPr>
          <w:rFonts w:ascii="Times" w:eastAsia="Calibri" w:hAnsi="Times" w:cs="Times New Roman"/>
          <w:sz w:val="24"/>
          <w:szCs w:val="24"/>
        </w:rPr>
        <w:t xml:space="preserve">Data came from the Cebu Longitudinal Health and Nutrition Survey (CLHNS), a birth cohort study in Metropolitan Cebu, Philippines that began with enrollment of 3,327 pregnant mothers in 1983-1984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g5l1ac2vl","properties":{"formattedCitation":"(81)","plainCitation":"(81)"},"citationItems":[{"id":2275,"uris":["http://zotero.org/users/451958/items/UT85GWWW"],"uri":["http://zotero.org/users/451958/items/UT85GWWW"],"itemData":{"id":2275,"type":"article-journal","title":"Cohort Profile: The Cebu Longitudinal Health and Nutrition Survey","container-title":"International Journal of Epidemiology","page":"619-625","volume":"40","issue":"3","source":"PubMed Central","DOI":"10.1093/ije/dyq085","ISSN":"0300-5771","note":"PMID: 20507864\nPMCID: PMC3147061","shortTitle":"Cohort Profile","journalAbbreviation":"Int J Epidemiol","author":[{"family":"Adair","given":"Linda S"},{"family":"Popkin","given":"Barry M"},{"family":"Akin","given":"John S"},{"family":"Guilkey","given":"David K"},{"family":"Gultiano","given":"Socorro"},{"family":"Borja","given":"Judith"},{"family":"Perez","given":"Lorna"},{"family":"Kuzawa","given":"Christopher W"},{"family":"McDade","given":"Thomas"},{"family":"Hindin","given":"Michelle J"}],"issued":{"date-parts":[["2011",6]]}}}],"schema":"https://github.com/citation-style-language/schema/raw/master/csl-citation.json"}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Longitudinal data are available for download at https://dataverse.unc.edu/dataverse/cebu. In 2005 </w:t>
      </w:r>
      <w:r w:rsidRPr="00873E6C">
        <w:rPr>
          <w:rFonts w:ascii="Times" w:hAnsi="Times" w:cs="Times New Roman"/>
          <w:sz w:val="24"/>
          <w:szCs w:val="24"/>
        </w:rPr>
        <w:t xml:space="preserve">blood samples from overnight fasted subjects were collected into EDTA-coated </w:t>
      </w:r>
      <w:proofErr w:type="spellStart"/>
      <w:r w:rsidRPr="00873E6C">
        <w:rPr>
          <w:rFonts w:ascii="Times" w:hAnsi="Times" w:cs="Times New Roman"/>
          <w:sz w:val="24"/>
          <w:szCs w:val="24"/>
        </w:rPr>
        <w:t>vacutainer</w:t>
      </w:r>
      <w:proofErr w:type="spellEnd"/>
      <w:r w:rsidRPr="00873E6C">
        <w:rPr>
          <w:rFonts w:ascii="Times" w:hAnsi="Times" w:cs="Times New Roman"/>
          <w:sz w:val="24"/>
          <w:szCs w:val="24"/>
        </w:rPr>
        <w:t xml:space="preserve"> tubes. </w:t>
      </w:r>
      <w:r w:rsidRPr="00873E6C">
        <w:rPr>
          <w:rFonts w:ascii="Times" w:eastAsia="Calibri" w:hAnsi="Times" w:cs="Times New Roman"/>
          <w:sz w:val="24"/>
          <w:szCs w:val="24"/>
        </w:rPr>
        <w:t>Automated and manual DNA extraction (</w:t>
      </w:r>
      <w:proofErr w:type="spellStart"/>
      <w:r w:rsidRPr="00873E6C">
        <w:rPr>
          <w:rFonts w:ascii="Times" w:eastAsia="Calibri" w:hAnsi="Times" w:cs="Times New Roman"/>
          <w:sz w:val="24"/>
          <w:szCs w:val="24"/>
        </w:rPr>
        <w:t>Puregene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Gentra</w:t>
      </w:r>
      <w:proofErr w:type="spellEnd"/>
      <w:r w:rsidRPr="00873E6C">
        <w:rPr>
          <w:rFonts w:ascii="Times" w:eastAsia="Calibri" w:hAnsi="Times" w:cs="Times New Roman"/>
          <w:sz w:val="24"/>
          <w:szCs w:val="24"/>
        </w:rPr>
        <w:t xml:space="preserve">) was conducted on blood samples. Informed consent was obtained from all participants and data collection was conducted with approval and oversight from the Institutional Review Boards of the University of North Carolina at Chapel Hill and Northwestern University. </w:t>
      </w:r>
    </w:p>
    <w:p w:rsidR="00E63E12" w:rsidRPr="00873E6C" w:rsidRDefault="00E63E12" w:rsidP="00E63E12">
      <w:pPr>
        <w:spacing w:after="120"/>
        <w:rPr>
          <w:rFonts w:ascii="Times" w:hAnsi="Times" w:cs="Times New Roman"/>
          <w:i/>
          <w:sz w:val="24"/>
          <w:szCs w:val="24"/>
        </w:rPr>
      </w:pPr>
      <w:r w:rsidRPr="00873E6C">
        <w:rPr>
          <w:rFonts w:ascii="Times" w:hAnsi="Times" w:cs="Times New Roman"/>
          <w:i/>
          <w:sz w:val="24"/>
          <w:szCs w:val="24"/>
        </w:rPr>
        <w:t xml:space="preserve">Telomere length. </w:t>
      </w:r>
      <w:proofErr w:type="spellStart"/>
      <w:r w:rsidRPr="00873E6C">
        <w:rPr>
          <w:rFonts w:ascii="Times" w:eastAsia="Calibri" w:hAnsi="Times" w:cs="Times New Roman"/>
          <w:sz w:val="24"/>
          <w:szCs w:val="24"/>
        </w:rPr>
        <w:t>TLs</w:t>
      </w:r>
      <w:proofErr w:type="spellEnd"/>
      <w:r w:rsidRPr="00873E6C">
        <w:rPr>
          <w:rFonts w:ascii="Times" w:eastAsia="Calibri" w:hAnsi="Times" w:cs="Times New Roman"/>
          <w:sz w:val="24"/>
          <w:szCs w:val="24"/>
        </w:rPr>
        <w:t xml:space="preserve"> were measured using a modified form of the monochrome multiplex quantitative polymerase chain reaction assay that was externally validated. Details of the protocol and external validity can be found in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r4qab3qa","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(60)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w:t>
      </w:r>
      <w:r w:rsidRPr="00873E6C">
        <w:rPr>
          <w:rFonts w:ascii="Times" w:hAnsi="Times" w:cs="Times New Roman"/>
          <w:sz w:val="24"/>
          <w:szCs w:val="24"/>
        </w:rPr>
        <w:t xml:space="preserve">ince the coefficient of variation (CV) has recently been recognized to be an invalid statistic to assess TL measurement reliability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{"citationID":"a92605t4co","properties":{"formattedCitation":"(82, 83)","plainCitation":"(82, 83)"},"citationItems":[{"id":8264,"uris":["http://zotero.org/users/451958/items/4YC9NVWQ"],"uri":["http://zotero.org/users/451958/items/4YC9NVWQ"],"itemData":{"id":8264,"type":"article-journal","title":"Commentary: The reliability of telomere length measurements","container-title":"Int J Epidemiol","page":"1683-6","volume":"44","issue":"5","author":[{"family":"Verhulst","given":"S."},{"family":"Susser","given":"E."},{"family":"Factor-Litvak","given":"P. R."},{"family":"Simons","given":"M. J."},{"family":"Benetos","given":"A."},{"family":"Steenstrup","given":"T."},{"family":"Kark","given":"J. D."},{"family":"Aviv","given":"A."}],"issued":{"date-parts":[["2015"]]}}},{"id":8181,"uris":["http://zotero.org/users/451958/items/5P9BTF7M"],"uri":["http://zotero.org/users/451958/items/5P9BTF7M"],"itemData":{"id":8181,"type":"article-journal","title":"Telomere length measurement validity: the coefficient of variation is invalid and cannot be used to compare quantitative polymerase chain reaction and Southern blot telomere length measurement techniques","container-title":"Int J Epidemiol","page":"1295-1298","volume":"45","issue":"4","author":[{"family":"Eisenberg","given":"D. T."}],"issued":{"date-parts":[["2016"]]}}}],"schema":"https://github.com/citation-style-language/schema/raw/master/csl-citation.json"}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(82, 83)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proofErr w:type="spellStart"/>
      <w:r w:rsidRPr="00873E6C">
        <w:rPr>
          <w:rFonts w:ascii="Times" w:hAnsi="Times" w:cs="Times New Roman"/>
          <w:sz w:val="24"/>
          <w:szCs w:val="24"/>
        </w:rPr>
        <w:t>intraclass</w:t>
      </w:r>
      <w:proofErr w:type="spellEnd"/>
      <w:r w:rsidRPr="00873E6C">
        <w:rPr>
          <w:rFonts w:ascii="Times" w:hAnsi="Times" w:cs="Times New Roman"/>
          <w:sz w:val="24"/>
          <w:szCs w:val="24"/>
        </w:rPr>
        <w:t xml:space="preserve"> correlation coefficient (ICC) statistics of measurement error can be found in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n7n8jbr1","properties":{"formattedCitation":"(84)","plainCitation":"(84)"},"citationItems":[{"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roofErr w:type="gramStart"/>
      <w:r w:rsidRPr="00873E6C">
        <w:rPr>
          <w:rFonts w:ascii="Times" w:hAnsi="Times" w:cs="Times New Roman"/>
          <w:i/>
          <w:sz w:val="24"/>
          <w:szCs w:val="24"/>
        </w:rPr>
        <w:t>Epigenetic age (</w:t>
      </w:r>
      <w:proofErr w:type="spellStart"/>
      <w:r w:rsidRPr="00873E6C">
        <w:rPr>
          <w:rFonts w:ascii="Times" w:hAnsi="Times" w:cs="Times New Roman"/>
          <w:i/>
          <w:sz w:val="24"/>
          <w:szCs w:val="24"/>
        </w:rPr>
        <w:t>DNAmAge</w:t>
      </w:r>
      <w:proofErr w:type="spellEnd"/>
      <w:r w:rsidRPr="00873E6C">
        <w:rPr>
          <w:rFonts w:ascii="Times" w:hAnsi="Times" w:cs="Times New Roman"/>
          <w:i/>
          <w:sz w:val="24"/>
          <w:szCs w:val="24"/>
        </w:rPr>
        <w:t>).</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160ng of sodium </w:t>
      </w:r>
      <w:proofErr w:type="spellStart"/>
      <w:r w:rsidRPr="00873E6C">
        <w:rPr>
          <w:rFonts w:ascii="Times" w:hAnsi="Times" w:cs="Times New Roman"/>
          <w:sz w:val="24"/>
          <w:szCs w:val="24"/>
        </w:rPr>
        <w:t>bisulfite</w:t>
      </w:r>
      <w:proofErr w:type="spellEnd"/>
      <w:r w:rsidRPr="00873E6C">
        <w:rPr>
          <w:rFonts w:ascii="Times" w:hAnsi="Times" w:cs="Times New Roman"/>
          <w:sz w:val="24"/>
          <w:szCs w:val="24"/>
        </w:rPr>
        <w:t xml:space="preserve"> converted DNA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AZDNA </w:t>
      </w:r>
      <w:proofErr w:type="spellStart"/>
      <w:r w:rsidRPr="00873E6C">
        <w:rPr>
          <w:rFonts w:ascii="Times" w:hAnsi="Times" w:cs="Times New Roman"/>
          <w:sz w:val="24"/>
          <w:szCs w:val="24"/>
        </w:rPr>
        <w:t>methylation</w:t>
      </w:r>
      <w:proofErr w:type="spellEnd"/>
      <w:r w:rsidRPr="00873E6C">
        <w:rPr>
          <w:rFonts w:ascii="Times" w:hAnsi="Times" w:cs="Times New Roman"/>
          <w:sz w:val="24"/>
          <w:szCs w:val="24"/>
        </w:rPr>
        <w:t xml:space="preserve"> kit,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Research, Irvine, CA, USA) was applied to the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HumanMethylation450 Bead Chip using manufacturer’s standard conditions. Standard methods for background subtraction and color correction were carried out using default parameters in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Genome Studio and exported into R for further analyses. Quality control involved first confirming participant sex and replicate status. This was followed by </w:t>
      </w:r>
      <w:proofErr w:type="spellStart"/>
      <w:r w:rsidRPr="00873E6C">
        <w:rPr>
          <w:rFonts w:ascii="Times" w:hAnsi="Times" w:cs="Times New Roman"/>
          <w:sz w:val="24"/>
          <w:szCs w:val="24"/>
        </w:rPr>
        <w:t>quantile</w:t>
      </w:r>
      <w:proofErr w:type="spellEnd"/>
      <w:r w:rsidRPr="00873E6C">
        <w:rPr>
          <w:rFonts w:ascii="Times" w:hAnsi="Times" w:cs="Times New Roman"/>
          <w:sz w:val="24"/>
          <w:szCs w:val="24"/>
        </w:rPr>
        <w:t xml:space="preserve"> normalization using </w:t>
      </w:r>
      <w:proofErr w:type="spellStart"/>
      <w:r w:rsidRPr="00873E6C">
        <w:rPr>
          <w:rFonts w:ascii="Times" w:hAnsi="Times" w:cs="Times New Roman"/>
          <w:i/>
          <w:sz w:val="24"/>
          <w:szCs w:val="24"/>
        </w:rPr>
        <w:t>lumi</w:t>
      </w:r>
      <w:proofErr w:type="spellEnd"/>
      <w:r w:rsidRPr="00873E6C">
        <w:rPr>
          <w:rFonts w:ascii="Times" w:hAnsi="Times" w:cs="Times New Roman"/>
          <w:i/>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i7l5j3u","properties":{"formattedCitation":"(85)","plainCitation":"(85)"},"citationItems":[{"id":6958,"uris":["http://zotero.org/users/451958/items/VKA32773"],"uri":["http://zotero.org/users/451958/items/VKA32773"],"itemData":{"id":6958,"type":"article-journal","title":"lumi: a pipeline for processing Illumina microarray","container-title":"Bioinformatics","page":"1547-1548","volume":"24","issue":"13","ISSN":"1367-4803","journalAbbreviation":"Bioinformatics","author":[{"family":"Du","given":"Pan"},{"family":"Kibbe","given":"Warren A"},{"family":"Lin","given":"Simon M"}],"issued":{"date-parts":[["2008"]]}}}],"schema":"https://github.com/citation-style-language/schema/raw/master/csl-citation.json"}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(85)</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on all probes including SNP-associated and XY multiple binding probes. To maximize the number of sites available for the epigenetic age calculator, probes with detection p-values above 0.01 were called NA for poor performing samples only, and were otherwise retained.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calculated using an online calculator (http://labs.genetics.ucla.edu/ </w:t>
      </w:r>
      <w:proofErr w:type="spellStart"/>
      <w:r w:rsidRPr="00873E6C">
        <w:rPr>
          <w:rFonts w:ascii="Times" w:hAnsi="Times" w:cs="Times New Roman"/>
          <w:sz w:val="24"/>
          <w:szCs w:val="24"/>
        </w:rPr>
        <w:t>horvath/dnamage</w:t>
      </w:r>
      <w:proofErr w:type="spellEnd"/>
      <w:r w:rsidRPr="00873E6C">
        <w:rPr>
          <w:rFonts w:ascii="Times" w:hAnsi="Times" w:cs="Times New Roman"/>
          <w:sz w:val="24"/>
          <w:szCs w:val="24"/>
        </w:rPr>
        <w:t xml:space="preserve">/), designed to be generally robust to cell-type differences associated with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o7955h4g3","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Background-corrected beta values were pre-</w:t>
      </w:r>
      <w:proofErr w:type="spellStart"/>
      <w:r w:rsidRPr="00873E6C">
        <w:rPr>
          <w:rFonts w:ascii="Times" w:hAnsi="Times" w:cs="Times New Roman"/>
          <w:sz w:val="24"/>
          <w:szCs w:val="24"/>
        </w:rPr>
        <w:t>processesed</w:t>
      </w:r>
      <w:proofErr w:type="spellEnd"/>
      <w:r w:rsidRPr="00873E6C">
        <w:rPr>
          <w:rFonts w:ascii="Times" w:hAnsi="Times" w:cs="Times New Roman"/>
          <w:sz w:val="24"/>
          <w:szCs w:val="24"/>
        </w:rPr>
        <w:t xml:space="preserve"> using the calculator’s internal normalization algorithms. </w:t>
      </w:r>
    </w:p>
    <w:p w:rsidR="00E63E12" w:rsidRPr="00873E6C" w:rsidRDefault="00E63E12" w:rsidP="00E63E12">
      <w:pPr>
        <w:spacing w:after="120"/>
        <w:rPr>
          <w:rFonts w:ascii="Times" w:hAnsi="Times" w:cs="Times New Roman"/>
          <w:sz w:val="24"/>
          <w:szCs w:val="24"/>
        </w:rPr>
      </w:pPr>
      <w:proofErr w:type="gramStart"/>
      <w:r w:rsidRPr="00873E6C">
        <w:rPr>
          <w:rFonts w:ascii="Times" w:hAnsi="Times" w:cs="Times New Roman"/>
          <w:i/>
          <w:sz w:val="24"/>
          <w:szCs w:val="24"/>
        </w:rPr>
        <w:t>Socioeconomic status (SES).</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SES is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deflated to 1983 levels, and log-transformed. Maternal education (in years) was also reported. Participants also reported on nine assets (coded 0, 1) that were selected to capture population-relevant aspects of social class, including electricity, televisions, refrigerators, air conditioners, tape recorder, electric fans, </w:t>
      </w:r>
      <w:proofErr w:type="spellStart"/>
      <w:r w:rsidRPr="00873E6C">
        <w:rPr>
          <w:rFonts w:ascii="Times" w:hAnsi="Times" w:cs="Times New Roman"/>
          <w:sz w:val="24"/>
          <w:szCs w:val="24"/>
        </w:rPr>
        <w:t>jeepneys</w:t>
      </w:r>
      <w:proofErr w:type="spellEnd"/>
      <w:r w:rsidRPr="00873E6C">
        <w:rPr>
          <w:rFonts w:ascii="Times" w:hAnsi="Times" w:cs="Times New Roman"/>
          <w:sz w:val="24"/>
          <w:szCs w:val="24"/>
        </w:rPr>
        <w:t xml:space="preserve">, cars, and their residence. In addition, house construction type (i.e., light, mixed, permanent structure) was coded as 0,1, and 2, respectively. Thus, asset scores ranged from 0 to 11. A principal components analysis was run on log income and assets at birth (1983) and at sample collection (2005) along with maternal education in </w:t>
      </w:r>
      <w:proofErr w:type="spellStart"/>
      <w:r w:rsidRPr="00873E6C">
        <w:rPr>
          <w:rFonts w:ascii="Times" w:hAnsi="Times" w:cs="Times New Roman"/>
          <w:sz w:val="24"/>
          <w:szCs w:val="24"/>
        </w:rPr>
        <w:t>Stata</w:t>
      </w:r>
      <w:proofErr w:type="spellEnd"/>
      <w:r w:rsidRPr="00873E6C">
        <w:rPr>
          <w:rFonts w:ascii="Times" w:hAnsi="Times" w:cs="Times New Roman"/>
          <w:sz w:val="24"/>
          <w:szCs w:val="24"/>
        </w:rPr>
        <w:t xml:space="preserve"> (v. 14.1). The first component of variation accounted for 49% of the variation and individual scores for this component of variation were used as our measure of SES.</w:t>
      </w:r>
    </w:p>
    <w:p w:rsidR="00E63E12" w:rsidRPr="00873E6C" w:rsidRDefault="00E63E12" w:rsidP="00E63E12">
      <w:pPr>
        <w:spacing w:before="120" w:after="120" w:line="240" w:lineRule="auto"/>
        <w:rPr>
          <w:rFonts w:ascii="Times" w:eastAsia="Calibri" w:hAnsi="Times" w:cs="Times New Roman"/>
          <w:sz w:val="24"/>
          <w:szCs w:val="24"/>
        </w:rPr>
      </w:pPr>
      <w:r w:rsidRPr="00873E6C">
        <w:rPr>
          <w:rFonts w:ascii="Times" w:hAnsi="Times" w:cs="Times New Roman"/>
          <w:i/>
          <w:sz w:val="24"/>
          <w:szCs w:val="24"/>
        </w:rPr>
        <w:t xml:space="preserve">Statistical methods. </w:t>
      </w:r>
      <w:r w:rsidRPr="00873E6C">
        <w:rPr>
          <w:rFonts w:ascii="Times" w:hAnsi="Times" w:cs="Times New Roman"/>
          <w:sz w:val="24"/>
          <w:szCs w:val="24"/>
        </w:rPr>
        <w:t>The key predictor variable was the number of pregnancies (including stillbirths, miscarriages and live births, but not current pregnancies) the respondent reported having had in 2005 (at the time of blood sampling). C</w:t>
      </w:r>
      <w:r w:rsidRPr="00873E6C">
        <w:rPr>
          <w:rFonts w:ascii="Times" w:eastAsia="Calibri" w:hAnsi="Times" w:cs="Times New Roman"/>
          <w:sz w:val="24"/>
          <w:szCs w:val="24"/>
        </w:rPr>
        <w:t xml:space="preserve">ontrol variables included chronological age in 2005 (the time of blood collection), the measure of socioeconomic status (SES) described above, average </w:t>
      </w:r>
      <w:proofErr w:type="spellStart"/>
      <w:r w:rsidRPr="00873E6C">
        <w:rPr>
          <w:rFonts w:ascii="Times" w:eastAsia="Calibri" w:hAnsi="Times" w:cs="Times New Roman"/>
          <w:sz w:val="24"/>
          <w:szCs w:val="24"/>
        </w:rPr>
        <w:t>urbanicity</w:t>
      </w:r>
      <w:proofErr w:type="spellEnd"/>
      <w:r w:rsidRPr="00873E6C">
        <w:rPr>
          <w:rFonts w:ascii="Times" w:eastAsia="Calibri" w:hAnsi="Times" w:cs="Times New Roman"/>
          <w:sz w:val="24"/>
          <w:szCs w:val="24"/>
        </w:rPr>
        <w:t xml:space="preserve"> score between 1983 and 2005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r0pre3kh7","properties":{"formattedCitation":"(86)","plainCitation":"(86)"},"citationItems":[{"id":8173,"uris":["http://zotero.org/users/451958/items/WPIBDP4X"],"uri":["http://zotero.org/users/451958/items/WPIBDP4X"],"itemData":{"id":8173,"type":"article-journal","title":"Quantifying the urban environment: A scale measure of urbanicity outperforms the urban–rural dichotomy","container-title":"Social Science &amp; Medicine","page":"1407-1419","volume":"64","issue":"7","author":[{"family":"Dahly","given":"D. L."},{"family":"Adair","given":"L. S."}],"issued":{"date-parts":[["2007"]]}}}],"schema":"https://github.com/citation-style-language/schema/raw/master/csl-citation.json"}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(86)</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whether the respondent was pregnant at the time of blood collection.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acceleration refers to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residualized</w:t>
      </w:r>
      <w:proofErr w:type="spellEnd"/>
      <w:r w:rsidRPr="00873E6C">
        <w:rPr>
          <w:rFonts w:ascii="Times" w:eastAsia="Calibri" w:hAnsi="Times" w:cs="Times New Roman"/>
          <w:sz w:val="24"/>
          <w:szCs w:val="24"/>
        </w:rPr>
        <w:t xml:space="preserve"> on chronological age. Principal components (PCs) of genome-wide genetic variation were considered to control for potential population structure effects. The derivation of these principal components have been described previously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{"citationID":"a33vrn3gpt","properties":{"formattedCitation":"{\\rtf (87\\uc0\\u8211{}89)}","plainCitation":"(87–89)"},"citationItems":[{"id":2600,"uris":["http://zotero.org/users/451958/items/894JNF3R"],"uri":["http://zotero.org/users/451958/items/894JNF3R"],"itemData":{"id":2600,"type":"article-journal","title":"Genome-wide Association with C-Reactive Protein Levels in CLHNS: Evidence for the CRP and HNF1A Loci and their Interaction with Exposure to a Pathogenic Environment","container-title":"Inflammation","page":"574-583","volume":"35","issue":"2","source":"CrossRef","DOI":"10.1007/s10753-011-9348-y","ISSN":"0360-3997, 1573-2576","shortTitle":"Genome-wide Association with C-Reactive Protein Levels in CLHNS","language":"en","author":[{"family":"Wu","given":"Ying"},{"family":"McDade","given":"Thomas W."},{"family":"Kuzawa","given":"Christopher W."},{"family":"Borja","given":"Judith"},{"family":"Li","given":"Yun"},{"family":"Adair","given":"Linda S."},{"family":"Mohlke","given":"Karen L."},{"family":"Lange","given":"Leslie A."}],"issued":{"date-parts":[["2012",4]]}}},{"id":8167,"uris":["http://zotero.org/users/451958/items/YXYDZ424"],"uri":["http://zotero.org/users/451958/items/YXYDZ424"],"itemData":{"id":8167,"type":"article-journal","title":"Genome-wide association study of anthropometric traits and evidence of interactions with age and study year in Filipino women","container-title":"Obesity (Silver Spring)","page":"1019-27","volume":"19","issue":"5","abstract":"Increased values of multiple adiposity-related anthropometric traits are important risk factors for many common complex diseases. We performed a genome-wide association (GWA) study for four quantitative traits related to body size and adiposity (BMI, weight, waist circumference, and height) in a cohort of 1,792 adult Filipino women from the Cebu Longitudinal Health and Nutrition Survey (CLHNS). This is the first GWA study of anthropometric traits in Filipinos, a population experiencing a rapid transition into a more obesogenic environment. In addition to identifying suggestive evidence of additional single-nucleotide polymorphism (SNP) association signals (P &lt; 10(-5)), we replicated (P &lt; 0.05, same direction of additive effect) associations previously reported in European populations of both BMI and weight with MC4R and FTO, of BMI with BDNF, and of height with EFEMP1, ZBTB38, and NPPC, but none with waist circumference. We also replicated loci reported in Japanese or Korean populations as associated with BMI (OTOL1) and height (HIST1H1PS2, C14orf145, GPC5). A difference in local linkage disequilibrium (LD) between European and Asian populations suggests a narrowed association region for BDNF, while still including a proposed functional nonsynonymous amino acid substitution variant (rs6265, Val66Met). Finally, we observed significant evidence (P &lt; 0.0042) for age-by-genotype interactions influencing BMI for rs17782313 (MC4R) and rs9939609 (FTO), and for a study year-by-genotype interaction for rs4923461 (BDNF). Our results show that several genetic risk factors are associated with anthropometric traits in Filipinos and provide further insight into the effects of BDNF, FTO, and MC4R on BMI.","author":[{"family":"Croteau-Chonka","given":"D. C."},{"family":"Marvelle","given":"A. F."},{"family":"Lange","given":"E. M."},{"family":"Lee","given":"N. R."},{"family":"Adair","given":"L. S."},{"family":"Lange","given":"L. A."},{"family":"Mohlke","given":"K. L."}],"issued":{"date-parts":[["2011"]]}}},{"id":8169,"uris":["http://zotero.org/users/451958/items/GTHVG8GT"],"uri":["http://zotero.org/users/451958/items/GTHVG8GT"],"itemData":{"id":8169,"type":"article-journal","title":"Population-specific coding variant underlies genome-wide association with adiponectin level","container-title":"Hum Mol Genet","page":"463-71","volume":"21","issue":"2","abstract":"Adiponectin is a protein hormone that can affect major metabolic processes including glucose regulation and fat metabolism. Our previous genome-wide association (GWA) study of circulating plasma adiponectin levels in Filipino women from the Cebu Longitudinal Health and Nutrition Survey (CLHNS) detected a 100 kb two-SNP haplotype at KNG1-ADIPOQ associated with reduced adiponectin (frequency = 0.050, P = 1.8 x 10(-25)). Subsequent genotyping of CLHNS young adult offspring detected an uncommon variant [minor allele frequency (MAF) = 0.025] located 800 kb from ADIPOQ that showed strong association with lower adiponectin levels (P = 2.7 x 10(-15), n = 1695) and tagged a subset of KNG1-ADIPOQ haplotype carriers with even lower adiponectin levels. Sequencing of the ADIPOQ-coding region detected variant R221S (MAF = 0.015, P = 2.9 x 10(-69)), which explained 17.1% of the variance in adiponectin levels and largely accounted for the initial GWA signal in Filipinos. R221S was not present in 12 514 Europeans with previously sequenced exons. To explore the mechanism of this substitution, we re-measured adiponectin level in 20 R221S offspring carriers and 20 non-carriers using two alternative antibodies and determined that the presence of R221S resulted in artificially low quantification of adiponectin level using the original immunoassay. These data provide an example of an uncommon variant responsible for a GWA signal and demonstrate that genetic associations with phenotypes measured by antibody-based quantification methods can be affected by uncommon coding SNPs residing in the antibody target region.","author":[{"family":"Croteau-Chonka","given":"D. C."},{"family":"Wu","given":"Y."},{"family":"Li","given":"Y."},{"family":"Fogarty","given":"M. P."},{"family":"Lange","given":"L. A."},{"family":"Kuzawa","given":"C. W."},{"family":"McDade","given":"T. W."},{"family":"Borja","given":"J. B."},{"family":"Luo","given":"J."},{"family":"AbdelBaky","given":"O."},{"family":"Combs","given":"T. P."},{"family":"Adair","given":"L. S."},{"family":"Lange","given":"E. M."},{"family":"Mohlke","given":"K. L."}],"issued":{"date-parts":[["2012"]]}}}],"schema":"https://github.com/citation-style-language/schema/raw/master/csl-citation.json"}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hAnsi="Times" w:cs="Segoe UI"/>
          <w:sz w:val="24"/>
        </w:rPr>
        <w:t>(87–89)</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As in previous analyses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{"citationID":"al94501rjg","properties":{"formattedCitation":"(84, 90)","plainCitation":"(84, 90)"},"citationItems":[{"id":8159,"uris":["http://zotero.org/users/451958/items/4NFSQ2YR"],"uri":["http://zotero.org/users/451958/items/4NFSQ2YR"],"itemData":{"id":8159,"type":"article-journal","title":"No Association between Blood Telomere Length and Longitudinally-Assessed Diet or Adiposity or Diet in a Young Adult Filipino Population","container-title":"European Journal of Nutrition","page":"1-14","author":[{"family":"Bethancourt","given":"Hilary J."},{"family":"Kratz","given":"Mario"},{"family":"Hayes","given":"M. Geoffrey"},{"family":"Kuzawa","given":"Christopher W."},{"family":"Borja","given":"Judith B."},{"family":"Duazo","given":"Paulita L."},{"family":"Beresford","given":"Shirley A. A."},{"family":"Eisenberg","given":"Daniel T. A."}],"issued":{"date-parts":[["2015"]]}}},{"id":8187,"uris":["http://zotero.org/users/451958/items/IALBCSCQ"],"uri":["http://zotero.org/users/451958/items/IALBCSCQ"],"itemData":{"id":8187,"type":"article-journal","title":"Early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(84, 90)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the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between the first ten principal components and TL were tested. The top principal components up to and including the last one showing a significant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with TL (10 total) were retained as control variables, with the same 10 principal components used for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models. Linear regression was used for analyses predicting TL and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while generalized linear models with a </w:t>
      </w:r>
      <w:proofErr w:type="spellStart"/>
      <w:r w:rsidRPr="00873E6C">
        <w:rPr>
          <w:rFonts w:ascii="Times" w:eastAsia="Calibri" w:hAnsi="Times" w:cs="Times New Roman"/>
          <w:sz w:val="24"/>
          <w:szCs w:val="24"/>
        </w:rPr>
        <w:t>poisson</w:t>
      </w:r>
      <w:proofErr w:type="spellEnd"/>
      <w:r w:rsidRPr="00873E6C">
        <w:rPr>
          <w:rFonts w:ascii="Times" w:eastAsia="Calibri" w:hAnsi="Times" w:cs="Times New Roman"/>
          <w:sz w:val="24"/>
          <w:szCs w:val="24"/>
        </w:rPr>
        <w:t xml:space="preserve"> family and log-link were used to test for reverse association – that TL/</w:t>
      </w:r>
      <w:proofErr w:type="spellStart"/>
      <w:proofErr w:type="gram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would</w:t>
      </w:r>
      <w:proofErr w:type="gramEnd"/>
      <w:r w:rsidRPr="00873E6C">
        <w:rPr>
          <w:rFonts w:ascii="Times" w:eastAsia="Calibri" w:hAnsi="Times" w:cs="Times New Roman"/>
          <w:sz w:val="24"/>
          <w:szCs w:val="24"/>
        </w:rPr>
        <w:t xml:space="preserve"> predict parity over the subsequent 4 years. The absence of </w:t>
      </w:r>
      <w:proofErr w:type="spellStart"/>
      <w:r w:rsidRPr="00873E6C">
        <w:rPr>
          <w:rFonts w:ascii="Times" w:eastAsia="Calibri" w:hAnsi="Times" w:cs="Times New Roman"/>
          <w:sz w:val="24"/>
          <w:szCs w:val="24"/>
        </w:rPr>
        <w:t>collinearity</w:t>
      </w:r>
      <w:proofErr w:type="spellEnd"/>
      <w:r w:rsidRPr="00873E6C">
        <w:rPr>
          <w:rFonts w:ascii="Times" w:eastAsia="Calibri" w:hAnsi="Times" w:cs="Times New Roman"/>
          <w:sz w:val="24"/>
          <w:szCs w:val="24"/>
        </w:rPr>
        <w:t xml:space="preserve"> in predictor variables was confirmed with variance inflation factors (</w:t>
      </w:r>
      <w:proofErr w:type="spellStart"/>
      <w:r w:rsidRPr="00873E6C">
        <w:rPr>
          <w:rFonts w:ascii="Times" w:eastAsia="Calibri" w:hAnsi="Times" w:cs="Times New Roman"/>
          <w:sz w:val="24"/>
          <w:szCs w:val="24"/>
        </w:rPr>
        <w:t>VIFs</w:t>
      </w:r>
      <w:proofErr w:type="spellEnd"/>
      <w:r w:rsidRPr="00873E6C">
        <w:rPr>
          <w:rFonts w:ascii="Times" w:eastAsia="Calibri" w:hAnsi="Times" w:cs="Times New Roman"/>
          <w:sz w:val="24"/>
          <w:szCs w:val="24"/>
        </w:rPr>
        <w:t xml:space="preserve">) for all models falling below 1.1, while Poisson </w:t>
      </w:r>
      <w:proofErr w:type="spellStart"/>
      <w:r w:rsidRPr="00873E6C">
        <w:rPr>
          <w:rFonts w:ascii="Times" w:eastAsia="Calibri" w:hAnsi="Times" w:cs="Times New Roman"/>
          <w:sz w:val="24"/>
          <w:szCs w:val="24"/>
        </w:rPr>
        <w:t>GLMs</w:t>
      </w:r>
      <w:proofErr w:type="spellEnd"/>
      <w:r w:rsidRPr="00873E6C">
        <w:rPr>
          <w:rFonts w:ascii="Times" w:eastAsia="Calibri" w:hAnsi="Times" w:cs="Times New Roman"/>
          <w:sz w:val="24"/>
          <w:szCs w:val="24"/>
        </w:rPr>
        <w:t xml:space="preserve"> showed no signs of under- or over-dispersion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h1n4iu1pv","properties":{"formattedCitation":"(91)","plainCitation":"(91)"},"citationItems":[{"id":1039,"uris":["http://zotero.org/users/451958/items/I8JRTNJ5"],"uri":["http://zotero.org/users/451958/items/I8JRTNJ5"],"itemData":{"id":1039,"type":"book","title":"Applied econometrics with R","publisher":"Springer Verlag","source":"Google Scholar","ISBN":"0-387-77316-9","author":[{"family":"Kleiber","given":"C."},{"family":"Zeileis","given":"A."}],"issued":{"date-parts":[["2008"]]}}}],"schema":"https://github.com/citation-style-language/schema/raw/master/csl-citation.json"}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All models were two-tailed with α = 0.05 and were run in 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cgmo5qnc9","properties":{"formattedCitation":"(92)","plainCitation":"(92)"},"citationItems":[{"id":1138,"uris":["http://zotero.org/users/451958/items/8KBC8CW3"],"uri":["http://zotero.org/users/451958/items/8KBC8CW3"],"itemData":{"id":1138,"type":"article-journal","title":"R: A language and environment for statistical computing, reference index version 2.12.2","container-title":"R Foundation for Statistical Computing, Vienna, Austria.","author":[{"family":"R Core Development Team","given":""}],"issued":{"date-parts":[["2011"]]}}}],"schema":"https://github.com/citation-style-language/schema/raw/master/csl-citation.json"}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(92)</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with ggplot2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ge7q829uh","properties":{"formattedCitation":"(93)","plainCitation":"(93)"},"citationItems":[{"id":8140,"uris":["http://zotero.org/users/451958/items/TDGVQVVI"],"uri":["http://zotero.org/users/451958/items/TDGVQVVI"],"itemData":{"id":8140,"type":"article-journal","title":"Package ‘ggplot2’","author":[{"family":"Wickham","given":"Hadley"},{"family":"Chang","given":"Winston"},{"family":"Wickham","given":"Maintainer Hadley"}],"issued":{"date-parts":[["2013"]]}}}],"schema":"https://github.com/citation-style-language/schema/raw/master/csl-citation.json"}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(93)</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stargazer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n1mfohvea","properties":{"formattedCitation":"(94)","plainCitation":"(94)"},"citationItems":[{"id":8139,"uris":["http://zotero.org/users/451958/items/Z4ZFJNLQ"],"uri":["http://zotero.org/users/451958/items/Z4ZFJNLQ"],"itemData":{"id":8139,"type":"article-journal","title":"stargazer: LaTeX code and ASCII text for well-formatted regression and summary statistics tables","container-title":"Vienna, Austria: R Foundation for Statistical Computing","journalAbbreviation":"Vienna, Austria: R Foundation for Statistical Computing","author":[{"family":"Hlavac","given":"Marek"}],"issued":{"date-parts":[["2014"]]}}}],"schema":"https://github.com/citation-style-language/schema/raw/master/csl-citation.json"}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(94)</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for figures and tables. </w:t>
      </w:r>
    </w:p>
    <w:p w:rsidR="00E63E12" w:rsidRPr="00873E6C" w:rsidRDefault="00E63E12" w:rsidP="00E63E12">
      <w:pPr>
        <w:spacing w:before="120" w:after="120" w:line="240" w:lineRule="auto"/>
        <w:rPr>
          <w:rFonts w:ascii="Times" w:eastAsia="Calibri" w:hAnsi="Times" w:cs="Times New Roman"/>
          <w:sz w:val="24"/>
          <w:szCs w:val="24"/>
        </w:rPr>
      </w:pPr>
    </w:p>
    <w:p w:rsidR="00E63E12" w:rsidRPr="00873E6C" w:rsidRDefault="00E63E12" w:rsidP="00E63E12">
      <w:pPr>
        <w:pStyle w:val="Heading2"/>
        <w:rPr>
          <w:rFonts w:ascii="Times" w:hAnsi="Times" w:cs="Times New Roman"/>
          <w:b/>
          <w:color w:val="auto"/>
          <w:sz w:val="24"/>
          <w:szCs w:val="24"/>
        </w:rPr>
      </w:pPr>
      <w:r w:rsidRPr="00873E6C">
        <w:rPr>
          <w:rFonts w:ascii="Times" w:hAnsi="Times" w:cs="Times New Roman"/>
          <w:b/>
          <w:color w:val="auto"/>
          <w:sz w:val="24"/>
          <w:szCs w:val="24"/>
        </w:rPr>
        <w:t>Acknowledgements</w:t>
      </w:r>
    </w:p>
    <w:p w:rsidR="00E63E12" w:rsidRPr="00873E6C" w:rsidRDefault="00E63E12" w:rsidP="00E63E12">
      <w:pPr>
        <w:rPr>
          <w:rFonts w:ascii="Times" w:hAnsi="Times" w:cs="Times New Roman"/>
          <w:b/>
          <w:sz w:val="24"/>
          <w:szCs w:val="24"/>
        </w:rPr>
      </w:pPr>
      <w:proofErr w:type="gramStart"/>
      <w:r w:rsidRPr="00873E6C">
        <w:rPr>
          <w:rFonts w:ascii="Times" w:hAnsi="Times" w:cs="Times New Roman"/>
          <w:sz w:val="24"/>
          <w:szCs w:val="24"/>
        </w:rPr>
        <w:t xml:space="preserve">This work was supported by NSF, </w:t>
      </w:r>
      <w:proofErr w:type="spellStart"/>
      <w:r w:rsidRPr="00873E6C">
        <w:rPr>
          <w:rFonts w:ascii="Times" w:hAnsi="Times" w:cs="Times New Roman"/>
          <w:sz w:val="24"/>
          <w:szCs w:val="24"/>
        </w:rPr>
        <w:t>Wenner</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Gren</w:t>
      </w:r>
      <w:proofErr w:type="spellEnd"/>
      <w:r w:rsidRPr="00873E6C">
        <w:rPr>
          <w:rFonts w:ascii="Times" w:hAnsi="Times" w:cs="Times New Roman"/>
          <w:sz w:val="24"/>
          <w:szCs w:val="24"/>
        </w:rPr>
        <w:t xml:space="preserve"> Foundation and NIH grants</w:t>
      </w:r>
      <w:proofErr w:type="gramEnd"/>
      <w:r w:rsidRPr="00873E6C">
        <w:rPr>
          <w:rFonts w:ascii="Times" w:hAnsi="Times" w:cs="Times New Roman"/>
          <w:sz w:val="24"/>
          <w:szCs w:val="24"/>
        </w:rPr>
        <w:t xml:space="preserve">. DNA extracts generously provided by Karen </w:t>
      </w:r>
      <w:proofErr w:type="spellStart"/>
      <w:r w:rsidRPr="00873E6C">
        <w:rPr>
          <w:rFonts w:ascii="Times" w:hAnsi="Times" w:cs="Times New Roman"/>
          <w:sz w:val="24"/>
          <w:szCs w:val="24"/>
        </w:rPr>
        <w:t>Mohlke</w:t>
      </w:r>
      <w:proofErr w:type="spellEnd"/>
      <w:r w:rsidRPr="00873E6C">
        <w:rPr>
          <w:rFonts w:ascii="Times" w:hAnsi="Times" w:cs="Times New Roman"/>
          <w:sz w:val="24"/>
          <w:szCs w:val="24"/>
        </w:rPr>
        <w:t xml:space="preserve">. Thanks to Abraham Aviv for pointing out key physiological changes that occur during pregnancy which are likely to be relevant to telomere biology and for southern blot validation of </w:t>
      </w:r>
      <w:proofErr w:type="spellStart"/>
      <w:r w:rsidRPr="00873E6C">
        <w:rPr>
          <w:rFonts w:ascii="Times" w:hAnsi="Times" w:cs="Times New Roman"/>
          <w:sz w:val="24"/>
          <w:szCs w:val="24"/>
        </w:rPr>
        <w:t>qPCR</w:t>
      </w:r>
      <w:proofErr w:type="spellEnd"/>
      <w:r w:rsidRPr="00873E6C">
        <w:rPr>
          <w:rFonts w:ascii="Times" w:hAnsi="Times" w:cs="Times New Roman"/>
          <w:sz w:val="24"/>
          <w:szCs w:val="24"/>
        </w:rPr>
        <w:t xml:space="preserve"> measures used here. CPR acknowledges generous and ongoing financial support from the Natural Sciences and Engineering Council of Canada (NSERC).</w:t>
      </w:r>
    </w:p>
    <w:p w:rsidR="00E63E12" w:rsidRPr="00873E6C" w:rsidRDefault="00E63E12" w:rsidP="00E63E12">
      <w:pPr>
        <w:pStyle w:val="Heading2"/>
        <w:rPr>
          <w:rFonts w:ascii="Times" w:hAnsi="Times" w:cs="Times New Roman"/>
          <w:b/>
          <w:color w:val="auto"/>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sz w:val="24"/>
          <w:szCs w:val="24"/>
        </w:rPr>
        <w:br w:type="page"/>
      </w:r>
      <w:r w:rsidRPr="00873E6C">
        <w:rPr>
          <w:rFonts w:ascii="Times" w:hAnsi="Times" w:cs="Times New Roman"/>
          <w:b/>
          <w:sz w:val="24"/>
          <w:szCs w:val="24"/>
        </w:rPr>
        <w:t xml:space="preserve"> References</w:t>
      </w:r>
    </w:p>
    <w:p w:rsidR="00E63E12" w:rsidRPr="00873E6C" w:rsidRDefault="00272D04" w:rsidP="00E63E12">
      <w:pPr>
        <w:pStyle w:val="Bibliography"/>
        <w:rPr>
          <w:rFonts w:ascii="Times" w:hAnsi="Times"/>
          <w:sz w:val="24"/>
        </w:rPr>
      </w:pPr>
      <w:r w:rsidRPr="00873E6C">
        <w:rPr>
          <w:rFonts w:ascii="Times" w:hAnsi="Times" w:cs="Times New Roman"/>
          <w:b/>
          <w:sz w:val="24"/>
          <w:szCs w:val="24"/>
        </w:rPr>
        <w:fldChar w:fldCharType="begin"/>
      </w:r>
      <w:r w:rsidR="00E63E12" w:rsidRPr="00873E6C">
        <w:rPr>
          <w:rFonts w:ascii="Times" w:hAnsi="Times" w:cs="Times New Roman"/>
          <w:b/>
          <w:sz w:val="24"/>
          <w:szCs w:val="24"/>
        </w:rPr>
        <w:instrText xml:space="preserve"> ADDIN ZOTERO_BIBL {"custom":[]} CSL_BIBLIOGRAPHY </w:instrText>
      </w:r>
      <w:r w:rsidRPr="00873E6C">
        <w:rPr>
          <w:rFonts w:ascii="Times" w:hAnsi="Times" w:cs="Times New Roman"/>
          <w:b/>
          <w:sz w:val="24"/>
          <w:szCs w:val="24"/>
        </w:rPr>
        <w:fldChar w:fldCharType="separate"/>
      </w:r>
      <w:r w:rsidR="00E63E12" w:rsidRPr="00873E6C">
        <w:rPr>
          <w:rFonts w:ascii="Times" w:hAnsi="Times"/>
          <w:sz w:val="24"/>
        </w:rPr>
        <w:t xml:space="preserve">1. </w:t>
      </w:r>
      <w:r w:rsidR="00E63E12" w:rsidRPr="00873E6C">
        <w:rPr>
          <w:rFonts w:ascii="Times" w:hAnsi="Times"/>
          <w:sz w:val="24"/>
        </w:rPr>
        <w:tab/>
        <w:t xml:space="preserve">Stearns SC (1992) </w:t>
      </w:r>
      <w:r w:rsidR="00E63E12" w:rsidRPr="00873E6C">
        <w:rPr>
          <w:rFonts w:ascii="Times" w:hAnsi="Times"/>
          <w:i/>
          <w:iCs/>
          <w:sz w:val="24"/>
        </w:rPr>
        <w:t>The Evolution of Life Histories</w:t>
      </w:r>
      <w:r w:rsidR="00E63E12" w:rsidRPr="00873E6C">
        <w:rPr>
          <w:rFonts w:ascii="Times" w:hAnsi="Times"/>
          <w:sz w:val="24"/>
        </w:rPr>
        <w:t xml:space="preserve"> (Oxford University Press, USA).</w:t>
      </w:r>
    </w:p>
    <w:p w:rsidR="00E63E12" w:rsidRPr="00873E6C" w:rsidRDefault="00E63E12" w:rsidP="00E63E12">
      <w:pPr>
        <w:pStyle w:val="Bibliography"/>
        <w:rPr>
          <w:rFonts w:ascii="Times" w:hAnsi="Times"/>
          <w:sz w:val="24"/>
        </w:rPr>
      </w:pPr>
      <w:r w:rsidRPr="00873E6C">
        <w:rPr>
          <w:rFonts w:ascii="Times" w:hAnsi="Times"/>
          <w:sz w:val="24"/>
        </w:rPr>
        <w:t xml:space="preserve">2. </w:t>
      </w:r>
      <w:r w:rsidRPr="00873E6C">
        <w:rPr>
          <w:rFonts w:ascii="Times" w:hAnsi="Times"/>
          <w:sz w:val="24"/>
        </w:rPr>
        <w:tab/>
        <w:t xml:space="preserve">Williams GC (1957) Pleiotropy, Natural Selection, and the Evolution of Senescence. </w:t>
      </w:r>
      <w:r w:rsidRPr="00873E6C">
        <w:rPr>
          <w:rFonts w:ascii="Times" w:hAnsi="Times"/>
          <w:i/>
          <w:iCs/>
          <w:sz w:val="24"/>
        </w:rPr>
        <w:t>Evolution</w:t>
      </w:r>
      <w:r w:rsidRPr="00873E6C">
        <w:rPr>
          <w:rFonts w:ascii="Times" w:hAnsi="Times"/>
          <w:sz w:val="24"/>
        </w:rPr>
        <w:t>:398–411.</w:t>
      </w:r>
    </w:p>
    <w:p w:rsidR="00E63E12" w:rsidRPr="00873E6C" w:rsidRDefault="00E63E12" w:rsidP="00E63E12">
      <w:pPr>
        <w:pStyle w:val="Bibliography"/>
        <w:rPr>
          <w:rFonts w:ascii="Times" w:hAnsi="Times"/>
          <w:sz w:val="24"/>
        </w:rPr>
      </w:pPr>
      <w:r w:rsidRPr="00873E6C">
        <w:rPr>
          <w:rFonts w:ascii="Times" w:hAnsi="Times"/>
          <w:sz w:val="24"/>
        </w:rPr>
        <w:t xml:space="preserve">3. </w:t>
      </w:r>
      <w:r w:rsidRPr="00873E6C">
        <w:rPr>
          <w:rFonts w:ascii="Times" w:hAnsi="Times"/>
          <w:sz w:val="24"/>
        </w:rPr>
        <w:tab/>
        <w:t xml:space="preserve">Kirkwood TBL (1977) Evolution of ageing. </w:t>
      </w:r>
      <w:r w:rsidRPr="00873E6C">
        <w:rPr>
          <w:rFonts w:ascii="Times" w:hAnsi="Times"/>
          <w:i/>
          <w:iCs/>
          <w:sz w:val="24"/>
        </w:rPr>
        <w:t>Nature</w:t>
      </w:r>
      <w:r w:rsidRPr="00873E6C">
        <w:rPr>
          <w:rFonts w:ascii="Times" w:hAnsi="Times"/>
          <w:sz w:val="24"/>
        </w:rPr>
        <w:t xml:space="preserve"> 270(5635):301–304.</w:t>
      </w:r>
    </w:p>
    <w:p w:rsidR="00E63E12" w:rsidRPr="00873E6C" w:rsidRDefault="00E63E12" w:rsidP="00E63E12">
      <w:pPr>
        <w:pStyle w:val="Bibliography"/>
        <w:rPr>
          <w:rFonts w:ascii="Times" w:hAnsi="Times"/>
          <w:sz w:val="24"/>
        </w:rPr>
      </w:pPr>
      <w:r w:rsidRPr="00873E6C">
        <w:rPr>
          <w:rFonts w:ascii="Times" w:hAnsi="Times"/>
          <w:sz w:val="24"/>
        </w:rPr>
        <w:t xml:space="preserve">4. </w:t>
      </w:r>
      <w:r w:rsidRPr="00873E6C">
        <w:rPr>
          <w:rFonts w:ascii="Times" w:hAnsi="Times"/>
          <w:sz w:val="24"/>
        </w:rPr>
        <w:tab/>
        <w:t xml:space="preserve">Maynard Smith J (1958) The Effects of Temperature and of Egg-Laying on the Longevity of Drosophila Subobscura. </w:t>
      </w:r>
      <w:r w:rsidRPr="00873E6C">
        <w:rPr>
          <w:rFonts w:ascii="Times" w:hAnsi="Times"/>
          <w:i/>
          <w:iCs/>
          <w:sz w:val="24"/>
        </w:rPr>
        <w:t>J Exp Biol</w:t>
      </w:r>
      <w:r w:rsidRPr="00873E6C">
        <w:rPr>
          <w:rFonts w:ascii="Times" w:hAnsi="Times"/>
          <w:sz w:val="24"/>
        </w:rPr>
        <w:t xml:space="preserve"> 35(4):832–842.</w:t>
      </w:r>
    </w:p>
    <w:p w:rsidR="00E63E12" w:rsidRPr="00873E6C" w:rsidRDefault="00E63E12" w:rsidP="00E63E12">
      <w:pPr>
        <w:pStyle w:val="Bibliography"/>
        <w:rPr>
          <w:rFonts w:ascii="Times" w:hAnsi="Times"/>
          <w:sz w:val="24"/>
        </w:rPr>
      </w:pPr>
      <w:r w:rsidRPr="00873E6C">
        <w:rPr>
          <w:rFonts w:ascii="Times" w:hAnsi="Times"/>
          <w:sz w:val="24"/>
        </w:rPr>
        <w:t xml:space="preserve">5. </w:t>
      </w:r>
      <w:r w:rsidRPr="00873E6C">
        <w:rPr>
          <w:rFonts w:ascii="Times" w:hAnsi="Times"/>
          <w:sz w:val="24"/>
        </w:rPr>
        <w:tab/>
        <w:t xml:space="preserve">Reznick D (1985) Costs of reproduction: an evaluation of the empirical evidence. </w:t>
      </w:r>
      <w:r w:rsidRPr="00873E6C">
        <w:rPr>
          <w:rFonts w:ascii="Times" w:hAnsi="Times"/>
          <w:i/>
          <w:iCs/>
          <w:sz w:val="24"/>
        </w:rPr>
        <w:t>Oikos</w:t>
      </w:r>
      <w:r w:rsidRPr="00873E6C">
        <w:rPr>
          <w:rFonts w:ascii="Times" w:hAnsi="Times"/>
          <w:sz w:val="24"/>
        </w:rPr>
        <w:t xml:space="preserve"> 44(2):257–267.</w:t>
      </w:r>
    </w:p>
    <w:p w:rsidR="00E63E12" w:rsidRPr="00873E6C" w:rsidRDefault="00E63E12" w:rsidP="00E63E12">
      <w:pPr>
        <w:pStyle w:val="Bibliography"/>
        <w:rPr>
          <w:rFonts w:ascii="Times" w:hAnsi="Times"/>
          <w:sz w:val="24"/>
        </w:rPr>
      </w:pPr>
      <w:r w:rsidRPr="00873E6C">
        <w:rPr>
          <w:rFonts w:ascii="Times" w:hAnsi="Times"/>
          <w:sz w:val="24"/>
        </w:rPr>
        <w:t xml:space="preserve">6. </w:t>
      </w:r>
      <w:r w:rsidRPr="00873E6C">
        <w:rPr>
          <w:rFonts w:ascii="Times" w:hAnsi="Times"/>
          <w:sz w:val="24"/>
        </w:rPr>
        <w:tab/>
        <w:t xml:space="preserve">Curtsinger JW, et al. (1995) Genetic variation and aging. </w:t>
      </w:r>
      <w:r w:rsidRPr="00873E6C">
        <w:rPr>
          <w:rFonts w:ascii="Times" w:hAnsi="Times"/>
          <w:i/>
          <w:iCs/>
          <w:sz w:val="24"/>
        </w:rPr>
        <w:t>Annu Rev Genet</w:t>
      </w:r>
      <w:r w:rsidRPr="00873E6C">
        <w:rPr>
          <w:rFonts w:ascii="Times" w:hAnsi="Times"/>
          <w:sz w:val="24"/>
        </w:rPr>
        <w:t xml:space="preserve"> 29(1):553–75.</w:t>
      </w:r>
    </w:p>
    <w:p w:rsidR="00E63E12" w:rsidRPr="00873E6C" w:rsidRDefault="00E63E12" w:rsidP="00E63E12">
      <w:pPr>
        <w:pStyle w:val="Bibliography"/>
        <w:rPr>
          <w:rFonts w:ascii="Times" w:hAnsi="Times"/>
          <w:sz w:val="24"/>
        </w:rPr>
      </w:pPr>
      <w:r w:rsidRPr="00873E6C">
        <w:rPr>
          <w:rFonts w:ascii="Times" w:hAnsi="Times"/>
          <w:sz w:val="24"/>
        </w:rPr>
        <w:t xml:space="preserve">7. </w:t>
      </w:r>
      <w:r w:rsidRPr="00873E6C">
        <w:rPr>
          <w:rFonts w:ascii="Times" w:hAnsi="Times"/>
          <w:sz w:val="24"/>
        </w:rPr>
        <w:tab/>
        <w:t xml:space="preserve">Rose MR, et al. (2002) Evolution of late-life mortality in drosophila melanogaster. </w:t>
      </w:r>
      <w:r w:rsidRPr="00873E6C">
        <w:rPr>
          <w:rFonts w:ascii="Times" w:hAnsi="Times"/>
          <w:i/>
          <w:iCs/>
          <w:sz w:val="24"/>
        </w:rPr>
        <w:t>Evolution</w:t>
      </w:r>
      <w:r w:rsidRPr="00873E6C">
        <w:rPr>
          <w:rFonts w:ascii="Times" w:hAnsi="Times"/>
          <w:sz w:val="24"/>
        </w:rPr>
        <w:t xml:space="preserve"> 56(10):1982–1991.</w:t>
      </w:r>
    </w:p>
    <w:p w:rsidR="00E63E12" w:rsidRPr="00873E6C" w:rsidRDefault="00E63E12" w:rsidP="00E63E12">
      <w:pPr>
        <w:pStyle w:val="Bibliography"/>
        <w:rPr>
          <w:rFonts w:ascii="Times" w:hAnsi="Times"/>
          <w:sz w:val="24"/>
        </w:rPr>
      </w:pPr>
      <w:r w:rsidRPr="00873E6C">
        <w:rPr>
          <w:rFonts w:ascii="Times" w:hAnsi="Times"/>
          <w:sz w:val="24"/>
        </w:rPr>
        <w:t xml:space="preserve">8. </w:t>
      </w:r>
      <w:r w:rsidRPr="00873E6C">
        <w:rPr>
          <w:rFonts w:ascii="Times" w:hAnsi="Times"/>
          <w:sz w:val="24"/>
        </w:rPr>
        <w:tab/>
        <w:t xml:space="preserve">Westendorp RGJ, Kirkwood TBL (1998) Human longevity at the cost of reproductive success. </w:t>
      </w:r>
      <w:r w:rsidRPr="00873E6C">
        <w:rPr>
          <w:rFonts w:ascii="Times" w:hAnsi="Times"/>
          <w:i/>
          <w:iCs/>
          <w:sz w:val="24"/>
        </w:rPr>
        <w:t>Nature</w:t>
      </w:r>
      <w:r w:rsidRPr="00873E6C">
        <w:rPr>
          <w:rFonts w:ascii="Times" w:hAnsi="Times"/>
          <w:sz w:val="24"/>
        </w:rPr>
        <w:t xml:space="preserve"> 396(6713):743–746.</w:t>
      </w:r>
    </w:p>
    <w:p w:rsidR="00E63E12" w:rsidRPr="00873E6C" w:rsidRDefault="00E63E12" w:rsidP="00E63E12">
      <w:pPr>
        <w:pStyle w:val="Bibliography"/>
        <w:rPr>
          <w:rFonts w:ascii="Times" w:hAnsi="Times"/>
          <w:sz w:val="24"/>
        </w:rPr>
      </w:pPr>
      <w:r w:rsidRPr="00873E6C">
        <w:rPr>
          <w:rFonts w:ascii="Times" w:hAnsi="Times"/>
          <w:sz w:val="24"/>
        </w:rPr>
        <w:t xml:space="preserve">9. </w:t>
      </w:r>
      <w:r w:rsidRPr="00873E6C">
        <w:rPr>
          <w:rFonts w:ascii="Times" w:hAnsi="Times"/>
          <w:sz w:val="24"/>
        </w:rPr>
        <w:tab/>
        <w:t xml:space="preserve">Doblhammer G, Oeppen J (2003) Reproduction and longevity among the British peerage: the effect of frailty and health selection. </w:t>
      </w:r>
      <w:r w:rsidRPr="00873E6C">
        <w:rPr>
          <w:rFonts w:ascii="Times" w:hAnsi="Times"/>
          <w:i/>
          <w:iCs/>
          <w:sz w:val="24"/>
        </w:rPr>
        <w:t>Proc R Soc Lond B Biol Sci</w:t>
      </w:r>
      <w:r w:rsidRPr="00873E6C">
        <w:rPr>
          <w:rFonts w:ascii="Times" w:hAnsi="Times"/>
          <w:sz w:val="24"/>
        </w:rPr>
        <w:t xml:space="preserve"> 270(1524):1541–1547.</w:t>
      </w:r>
    </w:p>
    <w:p w:rsidR="00E63E12" w:rsidRPr="00873E6C" w:rsidRDefault="00E63E12" w:rsidP="00E63E12">
      <w:pPr>
        <w:pStyle w:val="Bibliography"/>
        <w:rPr>
          <w:rFonts w:ascii="Times" w:hAnsi="Times"/>
          <w:sz w:val="24"/>
        </w:rPr>
      </w:pPr>
      <w:r w:rsidRPr="00873E6C">
        <w:rPr>
          <w:rFonts w:ascii="Times" w:hAnsi="Times"/>
          <w:sz w:val="24"/>
        </w:rPr>
        <w:t xml:space="preserve">10. </w:t>
      </w:r>
      <w:r w:rsidRPr="00873E6C">
        <w:rPr>
          <w:rFonts w:ascii="Times" w:hAnsi="Times"/>
          <w:sz w:val="24"/>
        </w:rPr>
        <w:tab/>
        <w:t xml:space="preserve">Penn DJ, Smith KR (2007) Differential fitness costs of reproduction between the sexes. </w:t>
      </w:r>
      <w:r w:rsidRPr="00873E6C">
        <w:rPr>
          <w:rFonts w:ascii="Times" w:hAnsi="Times"/>
          <w:i/>
          <w:iCs/>
          <w:sz w:val="24"/>
        </w:rPr>
        <w:t>Proc Natl Acad Sci</w:t>
      </w:r>
      <w:r w:rsidRPr="00873E6C">
        <w:rPr>
          <w:rFonts w:ascii="Times" w:hAnsi="Times"/>
          <w:sz w:val="24"/>
        </w:rPr>
        <w:t xml:space="preserve"> 104(2):553–558.</w:t>
      </w:r>
    </w:p>
    <w:p w:rsidR="00E63E12" w:rsidRPr="00873E6C" w:rsidRDefault="00E63E12" w:rsidP="00E63E12">
      <w:pPr>
        <w:pStyle w:val="Bibliography"/>
        <w:rPr>
          <w:rFonts w:ascii="Times" w:hAnsi="Times"/>
          <w:sz w:val="24"/>
        </w:rPr>
      </w:pPr>
      <w:r w:rsidRPr="00873E6C">
        <w:rPr>
          <w:rFonts w:ascii="Times" w:hAnsi="Times"/>
          <w:sz w:val="24"/>
        </w:rPr>
        <w:t xml:space="preserve">11. </w:t>
      </w:r>
      <w:r w:rsidRPr="00873E6C">
        <w:rPr>
          <w:rFonts w:ascii="Times" w:hAnsi="Times"/>
          <w:sz w:val="24"/>
        </w:rPr>
        <w:tab/>
        <w:t xml:space="preserve">Gagnon A, et al. (2009) Is there a trade-off between fertility and longevity? A comparative study of women from three large historical databases accounting for mortality selection. </w:t>
      </w:r>
      <w:r w:rsidRPr="00873E6C">
        <w:rPr>
          <w:rFonts w:ascii="Times" w:hAnsi="Times"/>
          <w:i/>
          <w:iCs/>
          <w:sz w:val="24"/>
        </w:rPr>
        <w:t>Am J Hum Biol</w:t>
      </w:r>
      <w:r w:rsidRPr="00873E6C">
        <w:rPr>
          <w:rFonts w:ascii="Times" w:hAnsi="Times"/>
          <w:sz w:val="24"/>
        </w:rPr>
        <w:t xml:space="preserve"> 21(4):533–540.</w:t>
      </w:r>
    </w:p>
    <w:p w:rsidR="00E63E12" w:rsidRPr="00873E6C" w:rsidRDefault="00E63E12" w:rsidP="00E63E12">
      <w:pPr>
        <w:pStyle w:val="Bibliography"/>
        <w:rPr>
          <w:rFonts w:ascii="Times" w:hAnsi="Times"/>
          <w:sz w:val="24"/>
        </w:rPr>
      </w:pPr>
      <w:r w:rsidRPr="00873E6C">
        <w:rPr>
          <w:rFonts w:ascii="Times" w:hAnsi="Times"/>
          <w:sz w:val="24"/>
        </w:rPr>
        <w:t xml:space="preserve">12. </w:t>
      </w:r>
      <w:r w:rsidRPr="00873E6C">
        <w:rPr>
          <w:rFonts w:ascii="Times" w:hAnsi="Times"/>
          <w:sz w:val="24"/>
        </w:rPr>
        <w:tab/>
        <w:t xml:space="preserve">Bolund E, Lummaa V, Smith KR, Hanson HA, Maklakov AA (2016) Reduced costs of reproduction in females mediate a shift from a male-biased to a female-biased lifespan in humans. </w:t>
      </w:r>
      <w:r w:rsidRPr="00873E6C">
        <w:rPr>
          <w:rFonts w:ascii="Times" w:hAnsi="Times"/>
          <w:i/>
          <w:iCs/>
          <w:sz w:val="24"/>
        </w:rPr>
        <w:t>Sci Rep</w:t>
      </w:r>
      <w:r w:rsidRPr="00873E6C">
        <w:rPr>
          <w:rFonts w:ascii="Times" w:hAnsi="Times"/>
          <w:sz w:val="24"/>
        </w:rPr>
        <w:t xml:space="preserve"> 6:24672.</w:t>
      </w:r>
    </w:p>
    <w:p w:rsidR="00E63E12" w:rsidRPr="00873E6C" w:rsidRDefault="00E63E12" w:rsidP="00E63E12">
      <w:pPr>
        <w:pStyle w:val="Bibliography"/>
        <w:rPr>
          <w:rFonts w:ascii="Times" w:hAnsi="Times"/>
          <w:sz w:val="24"/>
        </w:rPr>
      </w:pPr>
      <w:r w:rsidRPr="00873E6C">
        <w:rPr>
          <w:rFonts w:ascii="Times" w:hAnsi="Times"/>
          <w:sz w:val="24"/>
        </w:rPr>
        <w:t xml:space="preserve">13. </w:t>
      </w:r>
      <w:r w:rsidRPr="00873E6C">
        <w:rPr>
          <w:rFonts w:ascii="Times" w:hAnsi="Times"/>
          <w:sz w:val="24"/>
        </w:rPr>
        <w:tab/>
        <w:t xml:space="preserve">Le Bourg É (2007) Does reproduction decrease longevity in human beings? </w:t>
      </w:r>
      <w:r w:rsidRPr="00873E6C">
        <w:rPr>
          <w:rFonts w:ascii="Times" w:hAnsi="Times"/>
          <w:i/>
          <w:iCs/>
          <w:sz w:val="24"/>
        </w:rPr>
        <w:t>Ageing Res Rev</w:t>
      </w:r>
      <w:r w:rsidRPr="00873E6C">
        <w:rPr>
          <w:rFonts w:ascii="Times" w:hAnsi="Times"/>
          <w:sz w:val="24"/>
        </w:rPr>
        <w:t xml:space="preserve"> 6(2):141–149.</w:t>
      </w:r>
    </w:p>
    <w:p w:rsidR="00E63E12" w:rsidRPr="00873E6C" w:rsidRDefault="00E63E12" w:rsidP="00E63E12">
      <w:pPr>
        <w:pStyle w:val="Bibliography"/>
        <w:rPr>
          <w:rFonts w:ascii="Times" w:hAnsi="Times"/>
          <w:sz w:val="24"/>
        </w:rPr>
      </w:pPr>
      <w:r w:rsidRPr="00873E6C">
        <w:rPr>
          <w:rFonts w:ascii="Times" w:hAnsi="Times"/>
          <w:sz w:val="24"/>
        </w:rPr>
        <w:t xml:space="preserve">14. </w:t>
      </w:r>
      <w:r w:rsidRPr="00873E6C">
        <w:rPr>
          <w:rFonts w:ascii="Times" w:hAnsi="Times"/>
          <w:sz w:val="24"/>
        </w:rPr>
        <w:tab/>
        <w:t>Tracer DP (1991) Fertility</w:t>
      </w:r>
      <w:r w:rsidRPr="00873E6C">
        <w:rPr>
          <w:rFonts w:ascii="Noteworthy Light" w:hAnsi="Noteworthy Light" w:cs="Noteworthy Light"/>
          <w:sz w:val="24"/>
        </w:rPr>
        <w:t>‐</w:t>
      </w:r>
      <w:r w:rsidRPr="00873E6C">
        <w:rPr>
          <w:rFonts w:ascii="Times" w:hAnsi="Times"/>
          <w:sz w:val="24"/>
        </w:rPr>
        <w:t xml:space="preserve">related changes in maternal body composition among the au of Papua New Guinea. </w:t>
      </w:r>
      <w:r w:rsidRPr="00873E6C">
        <w:rPr>
          <w:rFonts w:ascii="Times" w:hAnsi="Times"/>
          <w:i/>
          <w:iCs/>
          <w:sz w:val="24"/>
        </w:rPr>
        <w:t>Am J Phys Anthropol</w:t>
      </w:r>
      <w:r w:rsidRPr="00873E6C">
        <w:rPr>
          <w:rFonts w:ascii="Times" w:hAnsi="Times"/>
          <w:sz w:val="24"/>
        </w:rPr>
        <w:t xml:space="preserve"> 85(4):393–405.</w:t>
      </w:r>
    </w:p>
    <w:p w:rsidR="00E63E12" w:rsidRPr="00873E6C" w:rsidRDefault="00E63E12" w:rsidP="00E63E12">
      <w:pPr>
        <w:pStyle w:val="Bibliography"/>
        <w:rPr>
          <w:rFonts w:ascii="Times" w:hAnsi="Times"/>
          <w:sz w:val="24"/>
        </w:rPr>
      </w:pPr>
      <w:r w:rsidRPr="00873E6C">
        <w:rPr>
          <w:rFonts w:ascii="Times" w:hAnsi="Times"/>
          <w:sz w:val="24"/>
        </w:rPr>
        <w:t xml:space="preserve">15. </w:t>
      </w:r>
      <w:r w:rsidRPr="00873E6C">
        <w:rPr>
          <w:rFonts w:ascii="Times" w:hAnsi="Times"/>
          <w:sz w:val="24"/>
        </w:rPr>
        <w:tab/>
        <w:t xml:space="preserve">Lycett JE, Dunbar RIM, Voland E (2000) Longevity and the costs of reproduction in a historical human population. </w:t>
      </w:r>
      <w:r w:rsidRPr="00873E6C">
        <w:rPr>
          <w:rFonts w:ascii="Times" w:hAnsi="Times"/>
          <w:i/>
          <w:iCs/>
          <w:sz w:val="24"/>
        </w:rPr>
        <w:t>Proc R Soc Lond B Biol Sci</w:t>
      </w:r>
      <w:r w:rsidRPr="00873E6C">
        <w:rPr>
          <w:rFonts w:ascii="Times" w:hAnsi="Times"/>
          <w:sz w:val="24"/>
        </w:rPr>
        <w:t xml:space="preserve"> 267(1438):31–35.</w:t>
      </w:r>
    </w:p>
    <w:p w:rsidR="00E63E12" w:rsidRPr="00873E6C" w:rsidRDefault="00E63E12" w:rsidP="00E63E12">
      <w:pPr>
        <w:pStyle w:val="Bibliography"/>
        <w:rPr>
          <w:rFonts w:ascii="Times" w:hAnsi="Times"/>
          <w:sz w:val="24"/>
        </w:rPr>
      </w:pPr>
      <w:r w:rsidRPr="00873E6C">
        <w:rPr>
          <w:rFonts w:ascii="Times" w:hAnsi="Times"/>
          <w:sz w:val="24"/>
        </w:rPr>
        <w:t xml:space="preserve">16. </w:t>
      </w:r>
      <w:r w:rsidRPr="00873E6C">
        <w:rPr>
          <w:rFonts w:ascii="Times" w:hAnsi="Times"/>
          <w:sz w:val="24"/>
        </w:rPr>
        <w:tab/>
        <w:t xml:space="preserve">Dribe M (2004) Long-term effects of childbearing on mortality: evidence from pre-industrial Sweden. </w:t>
      </w:r>
      <w:r w:rsidRPr="00873E6C">
        <w:rPr>
          <w:rFonts w:ascii="Times" w:hAnsi="Times"/>
          <w:i/>
          <w:iCs/>
          <w:sz w:val="24"/>
        </w:rPr>
        <w:t>Popul Stud</w:t>
      </w:r>
      <w:r w:rsidRPr="00873E6C">
        <w:rPr>
          <w:rFonts w:ascii="Times" w:hAnsi="Times"/>
          <w:sz w:val="24"/>
        </w:rPr>
        <w:t xml:space="preserve"> 58(3):297–310.</w:t>
      </w:r>
    </w:p>
    <w:p w:rsidR="00E63E12" w:rsidRPr="00873E6C" w:rsidRDefault="00E63E12" w:rsidP="00E63E12">
      <w:pPr>
        <w:pStyle w:val="Bibliography"/>
        <w:rPr>
          <w:rFonts w:ascii="Times" w:hAnsi="Times"/>
          <w:sz w:val="24"/>
        </w:rPr>
      </w:pPr>
      <w:r w:rsidRPr="00873E6C">
        <w:rPr>
          <w:rFonts w:ascii="Times" w:hAnsi="Times"/>
          <w:sz w:val="24"/>
        </w:rPr>
        <w:t xml:space="preserve">17. </w:t>
      </w:r>
      <w:r w:rsidRPr="00873E6C">
        <w:rPr>
          <w:rFonts w:ascii="Times" w:hAnsi="Times"/>
          <w:sz w:val="24"/>
        </w:rPr>
        <w:tab/>
        <w:t xml:space="preserve">Blackburn EH, Gall JG (1978) A tandemly repeated sequence at the termini of the extrachromosomal ribosomal RNA genes in Tetrahymena. </w:t>
      </w:r>
      <w:r w:rsidRPr="00873E6C">
        <w:rPr>
          <w:rFonts w:ascii="Times" w:hAnsi="Times"/>
          <w:i/>
          <w:iCs/>
          <w:sz w:val="24"/>
        </w:rPr>
        <w:t>J Mol Biol</w:t>
      </w:r>
      <w:r w:rsidRPr="00873E6C">
        <w:rPr>
          <w:rFonts w:ascii="Times" w:hAnsi="Times"/>
          <w:sz w:val="24"/>
        </w:rPr>
        <w:t xml:space="preserve"> 120(1):33–53.</w:t>
      </w:r>
    </w:p>
    <w:p w:rsidR="00E63E12" w:rsidRPr="00873E6C" w:rsidRDefault="00E63E12" w:rsidP="00E63E12">
      <w:pPr>
        <w:pStyle w:val="Bibliography"/>
        <w:rPr>
          <w:rFonts w:ascii="Times" w:hAnsi="Times"/>
          <w:sz w:val="24"/>
        </w:rPr>
      </w:pPr>
      <w:r w:rsidRPr="00873E6C">
        <w:rPr>
          <w:rFonts w:ascii="Times" w:hAnsi="Times"/>
          <w:sz w:val="24"/>
        </w:rPr>
        <w:t xml:space="preserve">18. </w:t>
      </w:r>
      <w:r w:rsidRPr="00873E6C">
        <w:rPr>
          <w:rFonts w:ascii="Times" w:hAnsi="Times"/>
          <w:sz w:val="24"/>
        </w:rPr>
        <w:tab/>
        <w:t xml:space="preserve">Meyne J, Ratliff RL, Moyzis RK (1989) Conservation of the human telomere sequence (TTAGGG)n among vertebrates. </w:t>
      </w:r>
      <w:r w:rsidRPr="00873E6C">
        <w:rPr>
          <w:rFonts w:ascii="Times" w:hAnsi="Times"/>
          <w:i/>
          <w:iCs/>
          <w:sz w:val="24"/>
        </w:rPr>
        <w:t>Proc Natl Acad Sci</w:t>
      </w:r>
      <w:r w:rsidRPr="00873E6C">
        <w:rPr>
          <w:rFonts w:ascii="Times" w:hAnsi="Times"/>
          <w:sz w:val="24"/>
        </w:rPr>
        <w:t xml:space="preserve"> 86(18):7049–53.</w:t>
      </w:r>
    </w:p>
    <w:p w:rsidR="00E63E12" w:rsidRPr="00873E6C" w:rsidRDefault="00E63E12" w:rsidP="00E63E12">
      <w:pPr>
        <w:pStyle w:val="Bibliography"/>
        <w:rPr>
          <w:rFonts w:ascii="Times" w:hAnsi="Times"/>
          <w:sz w:val="24"/>
        </w:rPr>
      </w:pPr>
      <w:r w:rsidRPr="00873E6C">
        <w:rPr>
          <w:rFonts w:ascii="Times" w:hAnsi="Times"/>
          <w:sz w:val="24"/>
        </w:rPr>
        <w:t xml:space="preserve">19. </w:t>
      </w:r>
      <w:r w:rsidRPr="00873E6C">
        <w:rPr>
          <w:rFonts w:ascii="Times" w:hAnsi="Times"/>
          <w:sz w:val="24"/>
        </w:rPr>
        <w:tab/>
        <w:t xml:space="preserve">Olovnikov AM (1971) Principle of marginotomy in template synthesis of polynucleotides. </w:t>
      </w:r>
      <w:r w:rsidRPr="00873E6C">
        <w:rPr>
          <w:rFonts w:ascii="Times" w:hAnsi="Times"/>
          <w:i/>
          <w:iCs/>
          <w:sz w:val="24"/>
        </w:rPr>
        <w:t>Dokl Akad Nauk SSSR</w:t>
      </w:r>
      <w:r w:rsidRPr="00873E6C">
        <w:rPr>
          <w:rFonts w:ascii="Times" w:hAnsi="Times"/>
          <w:sz w:val="24"/>
        </w:rPr>
        <w:t xml:space="preserve"> 201(6):1496–9.</w:t>
      </w:r>
    </w:p>
    <w:p w:rsidR="00E63E12" w:rsidRPr="00873E6C" w:rsidRDefault="00E63E12" w:rsidP="00E63E12">
      <w:pPr>
        <w:pStyle w:val="Bibliography"/>
        <w:rPr>
          <w:rFonts w:ascii="Times" w:hAnsi="Times"/>
          <w:sz w:val="24"/>
        </w:rPr>
      </w:pPr>
      <w:r w:rsidRPr="00873E6C">
        <w:rPr>
          <w:rFonts w:ascii="Times" w:hAnsi="Times"/>
          <w:sz w:val="24"/>
        </w:rPr>
        <w:t xml:space="preserve">20. </w:t>
      </w:r>
      <w:r w:rsidRPr="00873E6C">
        <w:rPr>
          <w:rFonts w:ascii="Times" w:hAnsi="Times"/>
          <w:sz w:val="24"/>
        </w:rPr>
        <w:tab/>
        <w:t xml:space="preserve">Harley CB, Futcher AB, Greider CW (1990) Telomeres shorten during ageing of human fibroblasts. </w:t>
      </w:r>
      <w:r w:rsidRPr="00873E6C">
        <w:rPr>
          <w:rFonts w:ascii="Times" w:hAnsi="Times"/>
          <w:i/>
          <w:iCs/>
          <w:sz w:val="24"/>
        </w:rPr>
        <w:t>Nature</w:t>
      </w:r>
      <w:r w:rsidRPr="00873E6C">
        <w:rPr>
          <w:rFonts w:ascii="Times" w:hAnsi="Times"/>
          <w:sz w:val="24"/>
        </w:rPr>
        <w:t xml:space="preserve"> 345(6274):458–460.</w:t>
      </w:r>
    </w:p>
    <w:p w:rsidR="00E63E12" w:rsidRPr="00873E6C" w:rsidRDefault="00E63E12" w:rsidP="00E63E12">
      <w:pPr>
        <w:pStyle w:val="Bibliography"/>
        <w:rPr>
          <w:rFonts w:ascii="Times" w:hAnsi="Times"/>
          <w:sz w:val="24"/>
        </w:rPr>
      </w:pPr>
      <w:r w:rsidRPr="00873E6C">
        <w:rPr>
          <w:rFonts w:ascii="Times" w:hAnsi="Times"/>
          <w:sz w:val="24"/>
        </w:rPr>
        <w:t xml:space="preserve">21. </w:t>
      </w:r>
      <w:r w:rsidRPr="00873E6C">
        <w:rPr>
          <w:rFonts w:ascii="Times" w:hAnsi="Times"/>
          <w:sz w:val="24"/>
        </w:rPr>
        <w:tab/>
        <w:t xml:space="preserve">Richter T, Zglinicki T (2007) A continuous correlation between oxidative stress and telomere shortening in fibroblasts. </w:t>
      </w:r>
      <w:r w:rsidRPr="00873E6C">
        <w:rPr>
          <w:rFonts w:ascii="Times" w:hAnsi="Times"/>
          <w:i/>
          <w:iCs/>
          <w:sz w:val="24"/>
        </w:rPr>
        <w:t>Exp Gerontol</w:t>
      </w:r>
      <w:r w:rsidRPr="00873E6C">
        <w:rPr>
          <w:rFonts w:ascii="Times" w:hAnsi="Times"/>
          <w:sz w:val="24"/>
        </w:rPr>
        <w:t xml:space="preserve"> 42(11):1039–1042.</w:t>
      </w:r>
    </w:p>
    <w:p w:rsidR="00E63E12" w:rsidRPr="00873E6C" w:rsidRDefault="00E63E12" w:rsidP="00E63E12">
      <w:pPr>
        <w:pStyle w:val="Bibliography"/>
        <w:rPr>
          <w:rFonts w:ascii="Times" w:hAnsi="Times"/>
          <w:sz w:val="24"/>
        </w:rPr>
      </w:pPr>
      <w:r w:rsidRPr="00873E6C">
        <w:rPr>
          <w:rFonts w:ascii="Times" w:hAnsi="Times"/>
          <w:sz w:val="24"/>
        </w:rPr>
        <w:t xml:space="preserve">22. </w:t>
      </w:r>
      <w:r w:rsidRPr="00873E6C">
        <w:rPr>
          <w:rFonts w:ascii="Times" w:hAnsi="Times"/>
          <w:sz w:val="24"/>
        </w:rPr>
        <w:tab/>
        <w:t xml:space="preserve">Cawthon RM, Smith KR, O’Brien E, Sivatchenko A, Kerber RA (2003) Association between telomere length in blood and mortality in people aged 60 years or older. </w:t>
      </w:r>
      <w:r w:rsidRPr="00873E6C">
        <w:rPr>
          <w:rFonts w:ascii="Times" w:hAnsi="Times"/>
          <w:i/>
          <w:iCs/>
          <w:sz w:val="24"/>
        </w:rPr>
        <w:t>The Lancet</w:t>
      </w:r>
      <w:r w:rsidRPr="00873E6C">
        <w:rPr>
          <w:rFonts w:ascii="Times" w:hAnsi="Times"/>
          <w:sz w:val="24"/>
        </w:rPr>
        <w:t xml:space="preserve"> 361(9355):393–395.</w:t>
      </w:r>
    </w:p>
    <w:p w:rsidR="00E63E12" w:rsidRPr="00873E6C" w:rsidRDefault="00E63E12" w:rsidP="00E63E12">
      <w:pPr>
        <w:pStyle w:val="Bibliography"/>
        <w:rPr>
          <w:rFonts w:ascii="Times" w:hAnsi="Times"/>
          <w:sz w:val="24"/>
        </w:rPr>
      </w:pPr>
      <w:r w:rsidRPr="00873E6C">
        <w:rPr>
          <w:rFonts w:ascii="Times" w:hAnsi="Times"/>
          <w:sz w:val="24"/>
        </w:rPr>
        <w:t xml:space="preserve">23. </w:t>
      </w:r>
      <w:r w:rsidRPr="00873E6C">
        <w:rPr>
          <w:rFonts w:ascii="Times" w:hAnsi="Times"/>
          <w:sz w:val="24"/>
        </w:rPr>
        <w:tab/>
        <w:t xml:space="preserve">Bakaysa SL, et al. (2007) Telomere length predicts survival independent of genetic influences. </w:t>
      </w:r>
      <w:r w:rsidRPr="00873E6C">
        <w:rPr>
          <w:rFonts w:ascii="Times" w:hAnsi="Times"/>
          <w:i/>
          <w:iCs/>
          <w:sz w:val="24"/>
        </w:rPr>
        <w:t>Aging Cell</w:t>
      </w:r>
      <w:r w:rsidRPr="00873E6C">
        <w:rPr>
          <w:rFonts w:ascii="Times" w:hAnsi="Times"/>
          <w:sz w:val="24"/>
        </w:rPr>
        <w:t xml:space="preserve"> 6(6):769–74.</w:t>
      </w:r>
    </w:p>
    <w:p w:rsidR="00E63E12" w:rsidRPr="00873E6C" w:rsidRDefault="00E63E12" w:rsidP="00E63E12">
      <w:pPr>
        <w:pStyle w:val="Bibliography"/>
        <w:rPr>
          <w:rFonts w:ascii="Times" w:hAnsi="Times"/>
          <w:sz w:val="24"/>
        </w:rPr>
      </w:pPr>
      <w:r w:rsidRPr="00873E6C">
        <w:rPr>
          <w:rFonts w:ascii="Times" w:hAnsi="Times"/>
          <w:sz w:val="24"/>
        </w:rPr>
        <w:t xml:space="preserve">24. </w:t>
      </w:r>
      <w:r w:rsidRPr="00873E6C">
        <w:rPr>
          <w:rFonts w:ascii="Times" w:hAnsi="Times"/>
          <w:sz w:val="24"/>
        </w:rPr>
        <w:tab/>
        <w:t xml:space="preserve">Kimura M, et al. (2008) Telomere length and mortality: a study of leukocytes in elderly Danish twins. </w:t>
      </w:r>
      <w:r w:rsidRPr="00873E6C">
        <w:rPr>
          <w:rFonts w:ascii="Times" w:hAnsi="Times"/>
          <w:i/>
          <w:iCs/>
          <w:sz w:val="24"/>
        </w:rPr>
        <w:t>Am J Epidemiol</w:t>
      </w:r>
      <w:r w:rsidRPr="00873E6C">
        <w:rPr>
          <w:rFonts w:ascii="Times" w:hAnsi="Times"/>
          <w:sz w:val="24"/>
        </w:rPr>
        <w:t xml:space="preserve"> 167(7):799–806.</w:t>
      </w:r>
    </w:p>
    <w:p w:rsidR="00E63E12" w:rsidRPr="00873E6C" w:rsidRDefault="00E63E12" w:rsidP="00E63E12">
      <w:pPr>
        <w:pStyle w:val="Bibliography"/>
        <w:rPr>
          <w:rFonts w:ascii="Times" w:hAnsi="Times"/>
          <w:sz w:val="24"/>
        </w:rPr>
      </w:pPr>
      <w:r w:rsidRPr="00873E6C">
        <w:rPr>
          <w:rFonts w:ascii="Times" w:hAnsi="Times"/>
          <w:sz w:val="24"/>
        </w:rPr>
        <w:t xml:space="preserve">25. </w:t>
      </w:r>
      <w:r w:rsidRPr="00873E6C">
        <w:rPr>
          <w:rFonts w:ascii="Times" w:hAnsi="Times"/>
          <w:sz w:val="24"/>
        </w:rPr>
        <w:tab/>
        <w:t xml:space="preserve">Haycock PC, et al. (2014) Leucocyte telomere length and risk of cardiovascular disease: systematic review and meta-analysis. </w:t>
      </w:r>
      <w:r w:rsidRPr="00873E6C">
        <w:rPr>
          <w:rFonts w:ascii="Times" w:hAnsi="Times"/>
          <w:i/>
          <w:iCs/>
          <w:sz w:val="24"/>
        </w:rPr>
        <w:t>BMJ</w:t>
      </w:r>
      <w:r w:rsidRPr="00873E6C">
        <w:rPr>
          <w:rFonts w:ascii="Times" w:hAnsi="Times"/>
          <w:sz w:val="24"/>
        </w:rPr>
        <w:t xml:space="preserve"> 349:g4227.</w:t>
      </w:r>
    </w:p>
    <w:p w:rsidR="00E63E12" w:rsidRPr="00873E6C" w:rsidRDefault="00E63E12" w:rsidP="00E63E12">
      <w:pPr>
        <w:pStyle w:val="Bibliography"/>
        <w:rPr>
          <w:rFonts w:ascii="Times" w:hAnsi="Times"/>
          <w:sz w:val="24"/>
        </w:rPr>
      </w:pPr>
      <w:r w:rsidRPr="00873E6C">
        <w:rPr>
          <w:rFonts w:ascii="Times" w:hAnsi="Times"/>
          <w:sz w:val="24"/>
        </w:rPr>
        <w:t xml:space="preserve">26. </w:t>
      </w:r>
      <w:r w:rsidRPr="00873E6C">
        <w:rPr>
          <w:rFonts w:ascii="Times" w:hAnsi="Times"/>
          <w:sz w:val="24"/>
        </w:rPr>
        <w:tab/>
        <w:t xml:space="preserve">Jones MJ, Goodman SJ, Kobor MS (2015) DNA methylation and healthy human aging. </w:t>
      </w:r>
      <w:r w:rsidRPr="00873E6C">
        <w:rPr>
          <w:rFonts w:ascii="Times" w:hAnsi="Times"/>
          <w:i/>
          <w:iCs/>
          <w:sz w:val="24"/>
        </w:rPr>
        <w:t>Aging Cell</w:t>
      </w:r>
      <w:r w:rsidRPr="00873E6C">
        <w:rPr>
          <w:rFonts w:ascii="Times" w:hAnsi="Times"/>
          <w:sz w:val="24"/>
        </w:rPr>
        <w:t xml:space="preserve"> 14(6):924–932.</w:t>
      </w:r>
    </w:p>
    <w:p w:rsidR="00E63E12" w:rsidRPr="00873E6C" w:rsidRDefault="00E63E12" w:rsidP="00E63E12">
      <w:pPr>
        <w:pStyle w:val="Bibliography"/>
        <w:rPr>
          <w:rFonts w:ascii="Times" w:hAnsi="Times"/>
          <w:sz w:val="24"/>
        </w:rPr>
      </w:pPr>
      <w:r w:rsidRPr="00873E6C">
        <w:rPr>
          <w:rFonts w:ascii="Times" w:hAnsi="Times"/>
          <w:sz w:val="24"/>
        </w:rPr>
        <w:t xml:space="preserve">27. </w:t>
      </w:r>
      <w:r w:rsidRPr="00873E6C">
        <w:rPr>
          <w:rFonts w:ascii="Times" w:hAnsi="Times"/>
          <w:sz w:val="24"/>
        </w:rPr>
        <w:tab/>
        <w:t xml:space="preserve">Horvath S (2013) DNA methylation age of human tissues and cell types. </w:t>
      </w:r>
      <w:r w:rsidRPr="00873E6C">
        <w:rPr>
          <w:rFonts w:ascii="Times" w:hAnsi="Times"/>
          <w:i/>
          <w:iCs/>
          <w:sz w:val="24"/>
        </w:rPr>
        <w:t>Genome Biol</w:t>
      </w:r>
      <w:r w:rsidRPr="00873E6C">
        <w:rPr>
          <w:rFonts w:ascii="Times" w:hAnsi="Times"/>
          <w:sz w:val="24"/>
        </w:rPr>
        <w:t xml:space="preserve"> 14:3156.</w:t>
      </w:r>
    </w:p>
    <w:p w:rsidR="00E63E12" w:rsidRPr="00873E6C" w:rsidRDefault="00E63E12" w:rsidP="00E63E12">
      <w:pPr>
        <w:pStyle w:val="Bibliography"/>
        <w:rPr>
          <w:rFonts w:ascii="Times" w:hAnsi="Times"/>
          <w:sz w:val="24"/>
        </w:rPr>
      </w:pPr>
      <w:r w:rsidRPr="00873E6C">
        <w:rPr>
          <w:rFonts w:ascii="Times" w:hAnsi="Times"/>
          <w:sz w:val="24"/>
        </w:rPr>
        <w:t xml:space="preserve">28. </w:t>
      </w:r>
      <w:r w:rsidRPr="00873E6C">
        <w:rPr>
          <w:rFonts w:ascii="Times" w:hAnsi="Times"/>
          <w:sz w:val="24"/>
        </w:rPr>
        <w:tab/>
        <w:t xml:space="preserve">Marioni RE, et al. (2015) DNA methylation age of blood predicts all-cause mortality in later life. </w:t>
      </w:r>
      <w:r w:rsidRPr="00873E6C">
        <w:rPr>
          <w:rFonts w:ascii="Times" w:hAnsi="Times"/>
          <w:i/>
          <w:iCs/>
          <w:sz w:val="24"/>
        </w:rPr>
        <w:t>Genome Biol</w:t>
      </w:r>
      <w:r w:rsidRPr="00873E6C">
        <w:rPr>
          <w:rFonts w:ascii="Times" w:hAnsi="Times"/>
          <w:sz w:val="24"/>
        </w:rPr>
        <w:t xml:space="preserve"> 16(1):25.</w:t>
      </w:r>
    </w:p>
    <w:p w:rsidR="00E63E12" w:rsidRPr="00873E6C" w:rsidRDefault="00E63E12" w:rsidP="00E63E12">
      <w:pPr>
        <w:pStyle w:val="Bibliography"/>
        <w:rPr>
          <w:rFonts w:ascii="Times" w:hAnsi="Times"/>
          <w:sz w:val="24"/>
        </w:rPr>
      </w:pPr>
      <w:r w:rsidRPr="00873E6C">
        <w:rPr>
          <w:rFonts w:ascii="Times" w:hAnsi="Times"/>
          <w:sz w:val="24"/>
        </w:rPr>
        <w:t xml:space="preserve">29. </w:t>
      </w:r>
      <w:r w:rsidRPr="00873E6C">
        <w:rPr>
          <w:rFonts w:ascii="Times" w:hAnsi="Times"/>
          <w:sz w:val="24"/>
        </w:rPr>
        <w:tab/>
        <w:t xml:space="preserve">Chen BH, et al. (2016) DNA methylation-based measures of biological age: meta-analysis predicting time to death. </w:t>
      </w:r>
      <w:r w:rsidRPr="00873E6C">
        <w:rPr>
          <w:rFonts w:ascii="Times" w:hAnsi="Times"/>
          <w:i/>
          <w:iCs/>
          <w:sz w:val="24"/>
        </w:rPr>
        <w:t>Aging</w:t>
      </w:r>
      <w:r w:rsidRPr="00873E6C">
        <w:rPr>
          <w:rFonts w:ascii="Times" w:hAnsi="Times"/>
          <w:sz w:val="24"/>
        </w:rPr>
        <w:t xml:space="preserve"> 8(9):1844.</w:t>
      </w:r>
    </w:p>
    <w:p w:rsidR="00E63E12" w:rsidRPr="00873E6C" w:rsidRDefault="00E63E12" w:rsidP="00E63E12">
      <w:pPr>
        <w:pStyle w:val="Bibliography"/>
        <w:rPr>
          <w:rFonts w:ascii="Times" w:hAnsi="Times"/>
          <w:sz w:val="24"/>
        </w:rPr>
      </w:pPr>
      <w:r w:rsidRPr="00873E6C">
        <w:rPr>
          <w:rFonts w:ascii="Times" w:hAnsi="Times"/>
          <w:sz w:val="24"/>
        </w:rPr>
        <w:t xml:space="preserve">30. </w:t>
      </w:r>
      <w:r w:rsidRPr="00873E6C">
        <w:rPr>
          <w:rFonts w:ascii="Times" w:hAnsi="Times"/>
          <w:sz w:val="24"/>
        </w:rPr>
        <w:tab/>
        <w:t xml:space="preserve">Christiansen L, et al. (2016) DNA methylation age is associated with mortality in a longitudinal Danish twin study. </w:t>
      </w:r>
      <w:r w:rsidRPr="00873E6C">
        <w:rPr>
          <w:rFonts w:ascii="Times" w:hAnsi="Times"/>
          <w:i/>
          <w:iCs/>
          <w:sz w:val="24"/>
        </w:rPr>
        <w:t>Aging Cell</w:t>
      </w:r>
      <w:r w:rsidRPr="00873E6C">
        <w:rPr>
          <w:rFonts w:ascii="Times" w:hAnsi="Times"/>
          <w:sz w:val="24"/>
        </w:rPr>
        <w:t xml:space="preserve"> 15(1):149–154.</w:t>
      </w:r>
    </w:p>
    <w:p w:rsidR="00E63E12" w:rsidRPr="00873E6C" w:rsidRDefault="00E63E12" w:rsidP="00E63E12">
      <w:pPr>
        <w:pStyle w:val="Bibliography"/>
        <w:rPr>
          <w:rFonts w:ascii="Times" w:hAnsi="Times"/>
          <w:sz w:val="24"/>
        </w:rPr>
      </w:pPr>
      <w:r w:rsidRPr="00873E6C">
        <w:rPr>
          <w:rFonts w:ascii="Times" w:hAnsi="Times"/>
          <w:sz w:val="24"/>
        </w:rPr>
        <w:t xml:space="preserve">31. </w:t>
      </w:r>
      <w:r w:rsidRPr="00873E6C">
        <w:rPr>
          <w:rFonts w:ascii="Times" w:hAnsi="Times"/>
          <w:sz w:val="24"/>
        </w:rPr>
        <w:tab/>
        <w:t xml:space="preserve">Lowe D, Horvath S, Raj K (2016) Epigenetic clock analyses of cellular senescence and ageing. </w:t>
      </w:r>
      <w:r w:rsidRPr="00873E6C">
        <w:rPr>
          <w:rFonts w:ascii="Times" w:hAnsi="Times"/>
          <w:i/>
          <w:iCs/>
          <w:sz w:val="24"/>
        </w:rPr>
        <w:t>Oncotarget</w:t>
      </w:r>
      <w:r w:rsidRPr="00873E6C">
        <w:rPr>
          <w:rFonts w:ascii="Times" w:hAnsi="Times"/>
          <w:sz w:val="24"/>
        </w:rPr>
        <w:t xml:space="preserve"> 7(8):8524.</w:t>
      </w:r>
    </w:p>
    <w:p w:rsidR="00E63E12" w:rsidRPr="00873E6C" w:rsidRDefault="00E63E12" w:rsidP="00E63E12">
      <w:pPr>
        <w:pStyle w:val="Bibliography"/>
        <w:rPr>
          <w:rFonts w:ascii="Times" w:hAnsi="Times"/>
          <w:sz w:val="24"/>
        </w:rPr>
      </w:pPr>
      <w:r w:rsidRPr="00873E6C">
        <w:rPr>
          <w:rFonts w:ascii="Times" w:hAnsi="Times"/>
          <w:sz w:val="24"/>
        </w:rPr>
        <w:t xml:space="preserve">32. </w:t>
      </w:r>
      <w:r w:rsidRPr="00873E6C">
        <w:rPr>
          <w:rFonts w:ascii="Times" w:hAnsi="Times"/>
          <w:sz w:val="24"/>
        </w:rPr>
        <w:tab/>
        <w:t xml:space="preserve">Marioni RE, et al. (2016) The epigenetic clock and telomere length are independently associated with chronological age and mortality. </w:t>
      </w:r>
      <w:r w:rsidRPr="00873E6C">
        <w:rPr>
          <w:rFonts w:ascii="Times" w:hAnsi="Times"/>
          <w:i/>
          <w:iCs/>
          <w:sz w:val="24"/>
        </w:rPr>
        <w:t>Int J Epidemiol</w:t>
      </w:r>
      <w:r w:rsidRPr="00873E6C">
        <w:rPr>
          <w:rFonts w:ascii="Times" w:hAnsi="Times"/>
          <w:sz w:val="24"/>
        </w:rPr>
        <w:t>:dyw041.</w:t>
      </w:r>
    </w:p>
    <w:p w:rsidR="00E63E12" w:rsidRPr="00873E6C" w:rsidRDefault="00E63E12" w:rsidP="00E63E12">
      <w:pPr>
        <w:pStyle w:val="Bibliography"/>
        <w:rPr>
          <w:rFonts w:ascii="Times" w:hAnsi="Times"/>
          <w:sz w:val="24"/>
        </w:rPr>
      </w:pPr>
      <w:r w:rsidRPr="00873E6C">
        <w:rPr>
          <w:rFonts w:ascii="Times" w:hAnsi="Times"/>
          <w:sz w:val="24"/>
        </w:rPr>
        <w:t xml:space="preserve">33. </w:t>
      </w:r>
      <w:r w:rsidRPr="00873E6C">
        <w:rPr>
          <w:rFonts w:ascii="Times" w:hAnsi="Times"/>
          <w:sz w:val="24"/>
        </w:rPr>
        <w:tab/>
        <w:t xml:space="preserve">Horvath S, et al. (2015) Decreased epigenetic age of PBMCs from Italian semi-supercentenarians and their offspring. </w:t>
      </w:r>
      <w:r w:rsidRPr="00873E6C">
        <w:rPr>
          <w:rFonts w:ascii="Times" w:hAnsi="Times"/>
          <w:i/>
          <w:iCs/>
          <w:sz w:val="24"/>
        </w:rPr>
        <w:t>Aging</w:t>
      </w:r>
      <w:r w:rsidRPr="00873E6C">
        <w:rPr>
          <w:rFonts w:ascii="Times" w:hAnsi="Times"/>
          <w:sz w:val="24"/>
        </w:rPr>
        <w:t xml:space="preserve"> 7(12):1159.</w:t>
      </w:r>
    </w:p>
    <w:p w:rsidR="00E63E12" w:rsidRPr="00873E6C" w:rsidRDefault="00E63E12" w:rsidP="00E63E12">
      <w:pPr>
        <w:pStyle w:val="Bibliography"/>
        <w:rPr>
          <w:rFonts w:ascii="Times" w:hAnsi="Times"/>
          <w:sz w:val="24"/>
        </w:rPr>
      </w:pPr>
      <w:r w:rsidRPr="00873E6C">
        <w:rPr>
          <w:rFonts w:ascii="Times" w:hAnsi="Times"/>
          <w:sz w:val="24"/>
        </w:rPr>
        <w:t xml:space="preserve">34. </w:t>
      </w:r>
      <w:r w:rsidRPr="00873E6C">
        <w:rPr>
          <w:rFonts w:ascii="Times" w:hAnsi="Times"/>
          <w:sz w:val="24"/>
        </w:rPr>
        <w:tab/>
        <w:t xml:space="preserve">Hjelmborg JB, et al. (2015) The heritability of leucocyte telomere length dynamics. </w:t>
      </w:r>
      <w:r w:rsidRPr="00873E6C">
        <w:rPr>
          <w:rFonts w:ascii="Times" w:hAnsi="Times"/>
          <w:i/>
          <w:iCs/>
          <w:sz w:val="24"/>
        </w:rPr>
        <w:t>J Med Genet</w:t>
      </w:r>
      <w:r w:rsidRPr="00873E6C">
        <w:rPr>
          <w:rFonts w:ascii="Times" w:hAnsi="Times"/>
          <w:sz w:val="24"/>
        </w:rPr>
        <w:t xml:space="preserve"> 52(5):297–302.</w:t>
      </w:r>
    </w:p>
    <w:p w:rsidR="00E63E12" w:rsidRPr="00873E6C" w:rsidRDefault="00E63E12" w:rsidP="00E63E12">
      <w:pPr>
        <w:pStyle w:val="Bibliography"/>
        <w:rPr>
          <w:rFonts w:ascii="Times" w:hAnsi="Times"/>
          <w:sz w:val="24"/>
        </w:rPr>
      </w:pPr>
      <w:r w:rsidRPr="00873E6C">
        <w:rPr>
          <w:rFonts w:ascii="Times" w:hAnsi="Times"/>
          <w:sz w:val="24"/>
        </w:rPr>
        <w:t xml:space="preserve">35. </w:t>
      </w:r>
      <w:r w:rsidRPr="00873E6C">
        <w:rPr>
          <w:rFonts w:ascii="Times" w:hAnsi="Times"/>
          <w:sz w:val="24"/>
        </w:rPr>
        <w:tab/>
        <w:t xml:space="preserve">Honig LS, et al. (2015) Heritability of telomere length in a study of long-lived families. </w:t>
      </w:r>
      <w:r w:rsidRPr="00873E6C">
        <w:rPr>
          <w:rFonts w:ascii="Times" w:hAnsi="Times"/>
          <w:i/>
          <w:iCs/>
          <w:sz w:val="24"/>
        </w:rPr>
        <w:t>Neurobiol Aging</w:t>
      </w:r>
      <w:r w:rsidRPr="00873E6C">
        <w:rPr>
          <w:rFonts w:ascii="Times" w:hAnsi="Times"/>
          <w:sz w:val="24"/>
        </w:rPr>
        <w:t xml:space="preserve"> 36(10):2785–2790.</w:t>
      </w:r>
    </w:p>
    <w:p w:rsidR="00E63E12" w:rsidRPr="00873E6C" w:rsidRDefault="00E63E12" w:rsidP="00E63E12">
      <w:pPr>
        <w:pStyle w:val="Bibliography"/>
        <w:rPr>
          <w:rFonts w:ascii="Times" w:hAnsi="Times"/>
          <w:sz w:val="24"/>
        </w:rPr>
      </w:pPr>
      <w:r w:rsidRPr="00873E6C">
        <w:rPr>
          <w:rFonts w:ascii="Times" w:hAnsi="Times"/>
          <w:sz w:val="24"/>
        </w:rPr>
        <w:t xml:space="preserve">36. </w:t>
      </w:r>
      <w:r w:rsidRPr="00873E6C">
        <w:rPr>
          <w:rFonts w:ascii="Times" w:hAnsi="Times"/>
          <w:sz w:val="24"/>
        </w:rPr>
        <w:tab/>
        <w:t xml:space="preserve">Simons RL, et al. (2016) Economic hardship and biological weathering: The epigenetics of aging in a U.S. sample of black women. </w:t>
      </w:r>
      <w:r w:rsidRPr="00873E6C">
        <w:rPr>
          <w:rFonts w:ascii="Times" w:hAnsi="Times"/>
          <w:i/>
          <w:iCs/>
          <w:sz w:val="24"/>
        </w:rPr>
        <w:t>Soc Sci Med</w:t>
      </w:r>
      <w:r w:rsidRPr="00873E6C">
        <w:rPr>
          <w:rFonts w:ascii="Times" w:hAnsi="Times"/>
          <w:sz w:val="24"/>
        </w:rPr>
        <w:t xml:space="preserve"> 150:192–200.</w:t>
      </w:r>
    </w:p>
    <w:p w:rsidR="00E63E12" w:rsidRPr="00873E6C" w:rsidRDefault="00E63E12" w:rsidP="00E63E12">
      <w:pPr>
        <w:pStyle w:val="Bibliography"/>
        <w:rPr>
          <w:rFonts w:ascii="Times" w:hAnsi="Times"/>
          <w:sz w:val="24"/>
        </w:rPr>
      </w:pPr>
      <w:r w:rsidRPr="00873E6C">
        <w:rPr>
          <w:rFonts w:ascii="Times" w:hAnsi="Times"/>
          <w:sz w:val="24"/>
        </w:rPr>
        <w:t xml:space="preserve">37. </w:t>
      </w:r>
      <w:r w:rsidRPr="00873E6C">
        <w:rPr>
          <w:rFonts w:ascii="Times" w:hAnsi="Times"/>
          <w:sz w:val="24"/>
        </w:rPr>
        <w:tab/>
        <w:t xml:space="preserve">Miller GE, Yu T, Chen E, Brody GH (2015) Self-control forecasts better psychosocial outcomes but faster epigenetic aging in low-SES youth. </w:t>
      </w:r>
      <w:r w:rsidRPr="00873E6C">
        <w:rPr>
          <w:rFonts w:ascii="Times" w:hAnsi="Times"/>
          <w:i/>
          <w:iCs/>
          <w:sz w:val="24"/>
        </w:rPr>
        <w:t>Proc Natl Acad Sci</w:t>
      </w:r>
      <w:r w:rsidRPr="00873E6C">
        <w:rPr>
          <w:rFonts w:ascii="Times" w:hAnsi="Times"/>
          <w:sz w:val="24"/>
        </w:rPr>
        <w:t xml:space="preserve"> 112(33):10325–10330.</w:t>
      </w:r>
    </w:p>
    <w:p w:rsidR="00E63E12" w:rsidRPr="00873E6C" w:rsidRDefault="00E63E12" w:rsidP="00E63E12">
      <w:pPr>
        <w:pStyle w:val="Bibliography"/>
        <w:rPr>
          <w:rFonts w:ascii="Times" w:hAnsi="Times"/>
          <w:sz w:val="24"/>
        </w:rPr>
      </w:pPr>
      <w:r w:rsidRPr="00873E6C">
        <w:rPr>
          <w:rFonts w:ascii="Times" w:hAnsi="Times"/>
          <w:sz w:val="24"/>
        </w:rPr>
        <w:t xml:space="preserve">38. </w:t>
      </w:r>
      <w:r w:rsidRPr="00873E6C">
        <w:rPr>
          <w:rFonts w:ascii="Times" w:hAnsi="Times"/>
          <w:sz w:val="24"/>
        </w:rPr>
        <w:tab/>
        <w:t xml:space="preserve">Boks MP, et al. (2015) Longitudinal changes of telomere length and epigenetic age related to traumatic stress and post-traumatic stress disorder. </w:t>
      </w:r>
      <w:r w:rsidRPr="00873E6C">
        <w:rPr>
          <w:rFonts w:ascii="Times" w:hAnsi="Times"/>
          <w:i/>
          <w:iCs/>
          <w:sz w:val="24"/>
        </w:rPr>
        <w:t>Psychoneuroendocrinology</w:t>
      </w:r>
      <w:r w:rsidRPr="00873E6C">
        <w:rPr>
          <w:rFonts w:ascii="Times" w:hAnsi="Times"/>
          <w:sz w:val="24"/>
        </w:rPr>
        <w:t xml:space="preserve"> 51:506–512.</w:t>
      </w:r>
    </w:p>
    <w:p w:rsidR="00E63E12" w:rsidRPr="00873E6C" w:rsidRDefault="00E63E12" w:rsidP="00E63E12">
      <w:pPr>
        <w:pStyle w:val="Bibliography"/>
        <w:rPr>
          <w:rFonts w:ascii="Times" w:hAnsi="Times"/>
          <w:sz w:val="24"/>
        </w:rPr>
      </w:pPr>
      <w:r w:rsidRPr="00873E6C">
        <w:rPr>
          <w:rFonts w:ascii="Times" w:hAnsi="Times"/>
          <w:sz w:val="24"/>
        </w:rPr>
        <w:t xml:space="preserve">39. </w:t>
      </w:r>
      <w:r w:rsidRPr="00873E6C">
        <w:rPr>
          <w:rFonts w:ascii="Times" w:hAnsi="Times"/>
          <w:sz w:val="24"/>
        </w:rPr>
        <w:tab/>
        <w:t xml:space="preserve">Zannas AS, et al. (2015) Lifetime stress accelerates epigenetic aging in an urban, African American cohort: relevance of glucocorticoid signaling. </w:t>
      </w:r>
      <w:r w:rsidRPr="00873E6C">
        <w:rPr>
          <w:rFonts w:ascii="Times" w:hAnsi="Times"/>
          <w:i/>
          <w:iCs/>
          <w:sz w:val="24"/>
        </w:rPr>
        <w:t>Genome Biol</w:t>
      </w:r>
      <w:r w:rsidRPr="00873E6C">
        <w:rPr>
          <w:rFonts w:ascii="Times" w:hAnsi="Times"/>
          <w:sz w:val="24"/>
        </w:rPr>
        <w:t xml:space="preserve"> 16(1):266.</w:t>
      </w:r>
    </w:p>
    <w:p w:rsidR="00E63E12" w:rsidRPr="00873E6C" w:rsidRDefault="00E63E12" w:rsidP="00E63E12">
      <w:pPr>
        <w:pStyle w:val="Bibliography"/>
        <w:rPr>
          <w:rFonts w:ascii="Times" w:hAnsi="Times"/>
          <w:sz w:val="24"/>
        </w:rPr>
      </w:pPr>
      <w:r w:rsidRPr="00873E6C">
        <w:rPr>
          <w:rFonts w:ascii="Times" w:hAnsi="Times"/>
          <w:sz w:val="24"/>
        </w:rPr>
        <w:t xml:space="preserve">40. </w:t>
      </w:r>
      <w:r w:rsidRPr="00873E6C">
        <w:rPr>
          <w:rFonts w:ascii="Times" w:hAnsi="Times"/>
          <w:sz w:val="24"/>
        </w:rPr>
        <w:tab/>
        <w:t xml:space="preserve">Horvath S, Levine AJ (2015) HIV-1 Infection Accelerates Age According to the Epigenetic Clock. </w:t>
      </w:r>
      <w:r w:rsidRPr="00873E6C">
        <w:rPr>
          <w:rFonts w:ascii="Times" w:hAnsi="Times"/>
          <w:i/>
          <w:iCs/>
          <w:sz w:val="24"/>
        </w:rPr>
        <w:t>J Infect Dis</w:t>
      </w:r>
      <w:r w:rsidRPr="00873E6C">
        <w:rPr>
          <w:rFonts w:ascii="Times" w:hAnsi="Times"/>
          <w:sz w:val="24"/>
        </w:rPr>
        <w:t xml:space="preserve"> 212(10):1563–1573.</w:t>
      </w:r>
    </w:p>
    <w:p w:rsidR="00E63E12" w:rsidRPr="00873E6C" w:rsidRDefault="00E63E12" w:rsidP="00E63E12">
      <w:pPr>
        <w:pStyle w:val="Bibliography"/>
        <w:rPr>
          <w:rFonts w:ascii="Times" w:hAnsi="Times"/>
          <w:sz w:val="24"/>
        </w:rPr>
      </w:pPr>
      <w:r w:rsidRPr="00873E6C">
        <w:rPr>
          <w:rFonts w:ascii="Times" w:hAnsi="Times"/>
          <w:sz w:val="24"/>
        </w:rPr>
        <w:t xml:space="preserve">41. </w:t>
      </w:r>
      <w:r w:rsidRPr="00873E6C">
        <w:rPr>
          <w:rFonts w:ascii="Times" w:hAnsi="Times"/>
          <w:sz w:val="24"/>
        </w:rPr>
        <w:tab/>
        <w:t xml:space="preserve">Jasienska G (2009) Reproduction and lifespan: Trade-offs, overall energy budgets, intergenerational costs, and costs neglected by research. </w:t>
      </w:r>
      <w:r w:rsidRPr="00873E6C">
        <w:rPr>
          <w:rFonts w:ascii="Times" w:hAnsi="Times"/>
          <w:i/>
          <w:iCs/>
          <w:sz w:val="24"/>
        </w:rPr>
        <w:t>Am J Hum Biol</w:t>
      </w:r>
      <w:r w:rsidRPr="00873E6C">
        <w:rPr>
          <w:rFonts w:ascii="Times" w:hAnsi="Times"/>
          <w:sz w:val="24"/>
        </w:rPr>
        <w:t xml:space="preserve"> 21(4):524–532.</w:t>
      </w:r>
    </w:p>
    <w:p w:rsidR="00E63E12" w:rsidRPr="00873E6C" w:rsidRDefault="00E63E12" w:rsidP="00E63E12">
      <w:pPr>
        <w:pStyle w:val="Bibliography"/>
        <w:rPr>
          <w:rFonts w:ascii="Times" w:hAnsi="Times"/>
          <w:sz w:val="24"/>
        </w:rPr>
      </w:pPr>
      <w:r w:rsidRPr="00873E6C">
        <w:rPr>
          <w:rFonts w:ascii="Times" w:hAnsi="Times"/>
          <w:sz w:val="24"/>
        </w:rPr>
        <w:t xml:space="preserve">42. </w:t>
      </w:r>
      <w:r w:rsidRPr="00873E6C">
        <w:rPr>
          <w:rFonts w:ascii="Times" w:hAnsi="Times"/>
          <w:sz w:val="24"/>
        </w:rPr>
        <w:tab/>
        <w:t xml:space="preserve">Speakman J, Król E (2005) Limits to sustained energy intake IX: a review of hypotheses. </w:t>
      </w:r>
      <w:r w:rsidRPr="00873E6C">
        <w:rPr>
          <w:rFonts w:ascii="Times" w:hAnsi="Times"/>
          <w:i/>
          <w:iCs/>
          <w:sz w:val="24"/>
        </w:rPr>
        <w:t>J Comp Physiol [B]</w:t>
      </w:r>
      <w:r w:rsidRPr="00873E6C">
        <w:rPr>
          <w:rFonts w:ascii="Times" w:hAnsi="Times"/>
          <w:sz w:val="24"/>
        </w:rPr>
        <w:t xml:space="preserve"> 175(6):375–394.</w:t>
      </w:r>
    </w:p>
    <w:p w:rsidR="00E63E12" w:rsidRPr="00873E6C" w:rsidRDefault="00E63E12" w:rsidP="00E63E12">
      <w:pPr>
        <w:pStyle w:val="Bibliography"/>
        <w:rPr>
          <w:rFonts w:ascii="Times" w:hAnsi="Times"/>
          <w:sz w:val="24"/>
        </w:rPr>
      </w:pPr>
      <w:r w:rsidRPr="00873E6C">
        <w:rPr>
          <w:rFonts w:ascii="Times" w:hAnsi="Times"/>
          <w:sz w:val="24"/>
        </w:rPr>
        <w:t xml:space="preserve">43. </w:t>
      </w:r>
      <w:r w:rsidRPr="00873E6C">
        <w:rPr>
          <w:rFonts w:ascii="Times" w:hAnsi="Times"/>
          <w:sz w:val="24"/>
        </w:rPr>
        <w:tab/>
        <w:t xml:space="preserve">Lurie S, Rahamim E, Piper I, Golan A, Sadan O (2008) Total and differential leukocyte counts percentiles in normal pregnancy. </w:t>
      </w:r>
      <w:r w:rsidRPr="00873E6C">
        <w:rPr>
          <w:rFonts w:ascii="Times" w:hAnsi="Times"/>
          <w:i/>
          <w:iCs/>
          <w:sz w:val="24"/>
        </w:rPr>
        <w:t>Eur J Obstet Gynecol Reprod Biol</w:t>
      </w:r>
      <w:r w:rsidRPr="00873E6C">
        <w:rPr>
          <w:rFonts w:ascii="Times" w:hAnsi="Times"/>
          <w:sz w:val="24"/>
        </w:rPr>
        <w:t xml:space="preserve"> 136(1):16–19.</w:t>
      </w:r>
    </w:p>
    <w:p w:rsidR="00E63E12" w:rsidRPr="00873E6C" w:rsidRDefault="00E63E12" w:rsidP="00E63E12">
      <w:pPr>
        <w:pStyle w:val="Bibliography"/>
        <w:rPr>
          <w:rFonts w:ascii="Times" w:hAnsi="Times"/>
          <w:sz w:val="24"/>
        </w:rPr>
      </w:pPr>
      <w:r w:rsidRPr="00873E6C">
        <w:rPr>
          <w:rFonts w:ascii="Times" w:hAnsi="Times"/>
          <w:sz w:val="24"/>
        </w:rPr>
        <w:t xml:space="preserve">44. </w:t>
      </w:r>
      <w:r w:rsidRPr="00873E6C">
        <w:rPr>
          <w:rFonts w:ascii="Times" w:hAnsi="Times"/>
          <w:sz w:val="24"/>
        </w:rPr>
        <w:tab/>
        <w:t xml:space="preserve">Bauer KA (2014) Hematologic changes in pregnancy. </w:t>
      </w:r>
      <w:r w:rsidRPr="00873E6C">
        <w:rPr>
          <w:rFonts w:ascii="Times" w:hAnsi="Times"/>
          <w:i/>
          <w:iCs/>
          <w:sz w:val="24"/>
        </w:rPr>
        <w:t>UpToDate</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45. </w:t>
      </w:r>
      <w:r w:rsidRPr="00873E6C">
        <w:rPr>
          <w:rFonts w:ascii="Times" w:hAnsi="Times"/>
          <w:sz w:val="24"/>
        </w:rPr>
        <w:tab/>
        <w:t xml:space="preserve">Roberts CW, Satoskar A, Alexander J (1996) Sex steroids, pregnancy-associated hormones and immunity to parasitic infection. </w:t>
      </w:r>
      <w:r w:rsidRPr="00873E6C">
        <w:rPr>
          <w:rFonts w:ascii="Times" w:hAnsi="Times"/>
          <w:i/>
          <w:iCs/>
          <w:sz w:val="24"/>
        </w:rPr>
        <w:t>Parasitol Today</w:t>
      </w:r>
      <w:r w:rsidRPr="00873E6C">
        <w:rPr>
          <w:rFonts w:ascii="Times" w:hAnsi="Times"/>
          <w:sz w:val="24"/>
        </w:rPr>
        <w:t xml:space="preserve"> 12(10):382–388.</w:t>
      </w:r>
    </w:p>
    <w:p w:rsidR="00E63E12" w:rsidRPr="00873E6C" w:rsidRDefault="00E63E12" w:rsidP="00E63E12">
      <w:pPr>
        <w:pStyle w:val="Bibliography"/>
        <w:rPr>
          <w:rFonts w:ascii="Times" w:hAnsi="Times"/>
          <w:sz w:val="24"/>
        </w:rPr>
      </w:pPr>
      <w:r w:rsidRPr="00873E6C">
        <w:rPr>
          <w:rFonts w:ascii="Times" w:hAnsi="Times"/>
          <w:sz w:val="24"/>
        </w:rPr>
        <w:t xml:space="preserve">46. </w:t>
      </w:r>
      <w:r w:rsidRPr="00873E6C">
        <w:rPr>
          <w:rFonts w:ascii="Times" w:hAnsi="Times"/>
          <w:sz w:val="24"/>
        </w:rPr>
        <w:tab/>
        <w:t xml:space="preserve">Lanciers S, Despinasse B, Mehta DI, Blecker U (1999) Increased susceptibility to Helicobacter pylori infection in pregnancy. </w:t>
      </w:r>
      <w:r w:rsidRPr="00873E6C">
        <w:rPr>
          <w:rFonts w:ascii="Times" w:hAnsi="Times"/>
          <w:i/>
          <w:iCs/>
          <w:sz w:val="24"/>
        </w:rPr>
        <w:t>Infect Obstet Gynecol</w:t>
      </w:r>
      <w:r w:rsidRPr="00873E6C">
        <w:rPr>
          <w:rFonts w:ascii="Times" w:hAnsi="Times"/>
          <w:sz w:val="24"/>
        </w:rPr>
        <w:t xml:space="preserve"> 7(4):195–8.</w:t>
      </w:r>
    </w:p>
    <w:p w:rsidR="00E63E12" w:rsidRPr="00873E6C" w:rsidRDefault="00E63E12" w:rsidP="00E63E12">
      <w:pPr>
        <w:pStyle w:val="Bibliography"/>
        <w:rPr>
          <w:rFonts w:ascii="Times" w:hAnsi="Times"/>
          <w:sz w:val="24"/>
        </w:rPr>
      </w:pPr>
      <w:r w:rsidRPr="00873E6C">
        <w:rPr>
          <w:rFonts w:ascii="Times" w:hAnsi="Times"/>
          <w:sz w:val="24"/>
        </w:rPr>
        <w:t xml:space="preserve">47. </w:t>
      </w:r>
      <w:r w:rsidRPr="00873E6C">
        <w:rPr>
          <w:rFonts w:ascii="Times" w:hAnsi="Times"/>
          <w:sz w:val="24"/>
        </w:rPr>
        <w:tab/>
        <w:t xml:space="preserve">Gray RH, et al. (2005) Increased risk of incident HIV during pregnancy in Rakai, Uganda: a prospective study. </w:t>
      </w:r>
      <w:r w:rsidRPr="00873E6C">
        <w:rPr>
          <w:rFonts w:ascii="Times" w:hAnsi="Times"/>
          <w:i/>
          <w:iCs/>
          <w:sz w:val="24"/>
        </w:rPr>
        <w:t>The Lancet</w:t>
      </w:r>
      <w:r w:rsidRPr="00873E6C">
        <w:rPr>
          <w:rFonts w:ascii="Times" w:hAnsi="Times"/>
          <w:sz w:val="24"/>
        </w:rPr>
        <w:t xml:space="preserve"> 366(9492):1182–1188.</w:t>
      </w:r>
    </w:p>
    <w:p w:rsidR="00E63E12" w:rsidRPr="00873E6C" w:rsidRDefault="00E63E12" w:rsidP="00E63E12">
      <w:pPr>
        <w:pStyle w:val="Bibliography"/>
        <w:rPr>
          <w:rFonts w:ascii="Times" w:hAnsi="Times"/>
          <w:sz w:val="24"/>
        </w:rPr>
      </w:pPr>
      <w:r w:rsidRPr="00873E6C">
        <w:rPr>
          <w:rFonts w:ascii="Times" w:hAnsi="Times"/>
          <w:sz w:val="24"/>
        </w:rPr>
        <w:t xml:space="preserve">48. </w:t>
      </w:r>
      <w:r w:rsidRPr="00873E6C">
        <w:rPr>
          <w:rFonts w:ascii="Times" w:hAnsi="Times"/>
          <w:sz w:val="24"/>
        </w:rPr>
        <w:tab/>
        <w:t xml:space="preserve">Pommier J-P, et al. (1997) Immunosenescence in HIV Pathogenesis. </w:t>
      </w:r>
      <w:r w:rsidRPr="00873E6C">
        <w:rPr>
          <w:rFonts w:ascii="Times" w:hAnsi="Times"/>
          <w:i/>
          <w:iCs/>
          <w:sz w:val="24"/>
        </w:rPr>
        <w:t>Virology</w:t>
      </w:r>
      <w:r w:rsidRPr="00873E6C">
        <w:rPr>
          <w:rFonts w:ascii="Times" w:hAnsi="Times"/>
          <w:sz w:val="24"/>
        </w:rPr>
        <w:t xml:space="preserve"> 231(1):148–154.</w:t>
      </w:r>
    </w:p>
    <w:p w:rsidR="00E63E12" w:rsidRPr="00873E6C" w:rsidRDefault="00E63E12" w:rsidP="00E63E12">
      <w:pPr>
        <w:pStyle w:val="Bibliography"/>
        <w:rPr>
          <w:rFonts w:ascii="Times" w:hAnsi="Times"/>
          <w:sz w:val="24"/>
        </w:rPr>
      </w:pPr>
      <w:r w:rsidRPr="00873E6C">
        <w:rPr>
          <w:rFonts w:ascii="Times" w:hAnsi="Times"/>
          <w:sz w:val="24"/>
        </w:rPr>
        <w:t xml:space="preserve">49. </w:t>
      </w:r>
      <w:r w:rsidRPr="00873E6C">
        <w:rPr>
          <w:rFonts w:ascii="Times" w:hAnsi="Times"/>
          <w:sz w:val="24"/>
        </w:rPr>
        <w:tab/>
        <w:t xml:space="preserve">Sampson MJ, Winterbone MS, Hughes JC, Dozio N, Hughes DA (2006) Monocyte telomere shortening and oxidative DNA damage in type 2 diabetes. </w:t>
      </w:r>
      <w:r w:rsidRPr="00873E6C">
        <w:rPr>
          <w:rFonts w:ascii="Times" w:hAnsi="Times"/>
          <w:i/>
          <w:iCs/>
          <w:sz w:val="24"/>
        </w:rPr>
        <w:t>Diabetes Care</w:t>
      </w:r>
      <w:r w:rsidRPr="00873E6C">
        <w:rPr>
          <w:rFonts w:ascii="Times" w:hAnsi="Times"/>
          <w:sz w:val="24"/>
        </w:rPr>
        <w:t xml:space="preserve"> 29(2):283–9.</w:t>
      </w:r>
    </w:p>
    <w:p w:rsidR="00E63E12" w:rsidRPr="00873E6C" w:rsidRDefault="00E63E12" w:rsidP="00E63E12">
      <w:pPr>
        <w:pStyle w:val="Bibliography"/>
        <w:rPr>
          <w:rFonts w:ascii="Times" w:hAnsi="Times"/>
          <w:sz w:val="24"/>
        </w:rPr>
      </w:pPr>
      <w:r w:rsidRPr="00873E6C">
        <w:rPr>
          <w:rFonts w:ascii="Times" w:hAnsi="Times"/>
          <w:sz w:val="24"/>
        </w:rPr>
        <w:t xml:space="preserve">50. </w:t>
      </w:r>
      <w:r w:rsidRPr="00873E6C">
        <w:rPr>
          <w:rFonts w:ascii="Times" w:hAnsi="Times"/>
          <w:sz w:val="24"/>
        </w:rPr>
        <w:tab/>
        <w:t xml:space="preserve">Carrero JJ, et al. (2008) Telomere attrition is associated with inflammation, low fetuin-A levels and high mortality in prevalent haemodialysis patients. </w:t>
      </w:r>
      <w:r w:rsidRPr="00873E6C">
        <w:rPr>
          <w:rFonts w:ascii="Times" w:hAnsi="Times"/>
          <w:i/>
          <w:iCs/>
          <w:sz w:val="24"/>
        </w:rPr>
        <w:t>J Intern Med</w:t>
      </w:r>
      <w:r w:rsidRPr="00873E6C">
        <w:rPr>
          <w:rFonts w:ascii="Times" w:hAnsi="Times"/>
          <w:sz w:val="24"/>
        </w:rPr>
        <w:t xml:space="preserve"> 263(3):302–312.</w:t>
      </w:r>
    </w:p>
    <w:p w:rsidR="00E63E12" w:rsidRPr="00873E6C" w:rsidRDefault="00E63E12" w:rsidP="00E63E12">
      <w:pPr>
        <w:pStyle w:val="Bibliography"/>
        <w:rPr>
          <w:rFonts w:ascii="Times" w:hAnsi="Times"/>
          <w:sz w:val="24"/>
        </w:rPr>
      </w:pPr>
      <w:r w:rsidRPr="00873E6C">
        <w:rPr>
          <w:rFonts w:ascii="Times" w:hAnsi="Times"/>
          <w:sz w:val="24"/>
        </w:rPr>
        <w:t xml:space="preserve">51. </w:t>
      </w:r>
      <w:r w:rsidRPr="00873E6C">
        <w:rPr>
          <w:rFonts w:ascii="Times" w:hAnsi="Times"/>
          <w:sz w:val="24"/>
        </w:rPr>
        <w:tab/>
        <w:t xml:space="preserve">O’Donovan A, et al. (2011) Cumulative Inflammatory Load Is Associated with Short Leukocyte Telomere Length in the Health, Aging and Body Composition Study. </w:t>
      </w:r>
      <w:r w:rsidRPr="00873E6C">
        <w:rPr>
          <w:rFonts w:ascii="Times" w:hAnsi="Times"/>
          <w:i/>
          <w:iCs/>
          <w:sz w:val="24"/>
        </w:rPr>
        <w:t>PLoS ONE</w:t>
      </w:r>
      <w:r w:rsidRPr="00873E6C">
        <w:rPr>
          <w:rFonts w:ascii="Times" w:hAnsi="Times"/>
          <w:sz w:val="24"/>
        </w:rPr>
        <w:t xml:space="preserve"> 6(5):e19687.</w:t>
      </w:r>
    </w:p>
    <w:p w:rsidR="00E63E12" w:rsidRPr="00873E6C" w:rsidRDefault="00E63E12" w:rsidP="00E63E12">
      <w:pPr>
        <w:pStyle w:val="Bibliography"/>
        <w:rPr>
          <w:rFonts w:ascii="Times" w:hAnsi="Times"/>
          <w:sz w:val="24"/>
        </w:rPr>
      </w:pPr>
      <w:r w:rsidRPr="00873E6C">
        <w:rPr>
          <w:rFonts w:ascii="Times" w:hAnsi="Times"/>
          <w:sz w:val="24"/>
        </w:rPr>
        <w:t xml:space="preserve">52. </w:t>
      </w:r>
      <w:r w:rsidRPr="00873E6C">
        <w:rPr>
          <w:rFonts w:ascii="Times" w:hAnsi="Times"/>
          <w:sz w:val="24"/>
        </w:rPr>
        <w:tab/>
        <w:t xml:space="preserve">Aviv A, et al. (2006) Menopause Modifies the Association of Leukocyte Telomere Length with Insulin Resistance and Inflammation. </w:t>
      </w:r>
      <w:r w:rsidRPr="00873E6C">
        <w:rPr>
          <w:rFonts w:ascii="Times" w:hAnsi="Times"/>
          <w:i/>
          <w:iCs/>
          <w:sz w:val="24"/>
        </w:rPr>
        <w:t>J Clin Endocrinol Metab</w:t>
      </w:r>
      <w:r w:rsidRPr="00873E6C">
        <w:rPr>
          <w:rFonts w:ascii="Times" w:hAnsi="Times"/>
          <w:sz w:val="24"/>
        </w:rPr>
        <w:t xml:space="preserve"> 91(2):635–640.</w:t>
      </w:r>
    </w:p>
    <w:p w:rsidR="00E63E12" w:rsidRPr="00873E6C" w:rsidRDefault="00E63E12" w:rsidP="00E63E12">
      <w:pPr>
        <w:pStyle w:val="Bibliography"/>
        <w:rPr>
          <w:rFonts w:ascii="Times" w:hAnsi="Times"/>
          <w:sz w:val="24"/>
        </w:rPr>
      </w:pPr>
      <w:r w:rsidRPr="00873E6C">
        <w:rPr>
          <w:rFonts w:ascii="Times" w:hAnsi="Times"/>
          <w:sz w:val="24"/>
        </w:rPr>
        <w:t xml:space="preserve">53. </w:t>
      </w:r>
      <w:r w:rsidRPr="00873E6C">
        <w:rPr>
          <w:rFonts w:ascii="Times" w:hAnsi="Times"/>
          <w:sz w:val="24"/>
        </w:rPr>
        <w:tab/>
        <w:t xml:space="preserve">Farzaneh-Far R, et al. (2010) Telomere length trajectory and its determinants in persons with coronary artery disease: longitudinal findings from the heart and soul study. </w:t>
      </w:r>
      <w:r w:rsidRPr="00873E6C">
        <w:rPr>
          <w:rFonts w:ascii="Times" w:hAnsi="Times"/>
          <w:i/>
          <w:iCs/>
          <w:sz w:val="24"/>
        </w:rPr>
        <w:t>PLoS One</w:t>
      </w:r>
      <w:r w:rsidRPr="00873E6C">
        <w:rPr>
          <w:rFonts w:ascii="Times" w:hAnsi="Times"/>
          <w:sz w:val="24"/>
        </w:rPr>
        <w:t xml:space="preserve"> 5(1):e8612.</w:t>
      </w:r>
    </w:p>
    <w:p w:rsidR="00E63E12" w:rsidRPr="00873E6C" w:rsidRDefault="00E63E12" w:rsidP="00E63E12">
      <w:pPr>
        <w:pStyle w:val="Bibliography"/>
        <w:rPr>
          <w:rFonts w:ascii="Times" w:hAnsi="Times"/>
          <w:sz w:val="24"/>
        </w:rPr>
      </w:pPr>
      <w:r w:rsidRPr="00873E6C">
        <w:rPr>
          <w:rFonts w:ascii="Times" w:hAnsi="Times"/>
          <w:sz w:val="24"/>
        </w:rPr>
        <w:t xml:space="preserve">54. </w:t>
      </w:r>
      <w:r w:rsidRPr="00873E6C">
        <w:rPr>
          <w:rFonts w:ascii="Times" w:hAnsi="Times"/>
          <w:sz w:val="24"/>
        </w:rPr>
        <w:tab/>
        <w:t xml:space="preserve">Solorio S, et al. (2011) Association Between Telomere Length and C-Reactive Protein and the Development of Coronary Collateral Circulation in Patients with Coronary Artery Disease. </w:t>
      </w:r>
      <w:r w:rsidRPr="00873E6C">
        <w:rPr>
          <w:rFonts w:ascii="Times" w:hAnsi="Times"/>
          <w:i/>
          <w:iCs/>
          <w:sz w:val="24"/>
        </w:rPr>
        <w:t>Angiology</w:t>
      </w:r>
      <w:r w:rsidRPr="00873E6C">
        <w:rPr>
          <w:rFonts w:ascii="Times" w:hAnsi="Times"/>
          <w:sz w:val="24"/>
        </w:rPr>
        <w:t xml:space="preserve"> 62(6):467–472.</w:t>
      </w:r>
    </w:p>
    <w:p w:rsidR="00E63E12" w:rsidRPr="00873E6C" w:rsidRDefault="00E63E12" w:rsidP="00E63E12">
      <w:pPr>
        <w:pStyle w:val="Bibliography"/>
        <w:rPr>
          <w:rFonts w:ascii="Times" w:hAnsi="Times"/>
          <w:sz w:val="24"/>
        </w:rPr>
      </w:pPr>
      <w:r w:rsidRPr="00873E6C">
        <w:rPr>
          <w:rFonts w:ascii="Times" w:hAnsi="Times"/>
          <w:sz w:val="24"/>
        </w:rPr>
        <w:t xml:space="preserve">55. </w:t>
      </w:r>
      <w:r w:rsidRPr="00873E6C">
        <w:rPr>
          <w:rFonts w:ascii="Times" w:hAnsi="Times"/>
          <w:sz w:val="24"/>
        </w:rPr>
        <w:tab/>
        <w:t xml:space="preserve">Sanders JL, et al. (2012) Leukocyte telomere length is associated with noninvasively measured age-related disease: The Cardiovascular Health Study. </w:t>
      </w:r>
      <w:r w:rsidRPr="00873E6C">
        <w:rPr>
          <w:rFonts w:ascii="Times" w:hAnsi="Times"/>
          <w:i/>
          <w:iCs/>
          <w:sz w:val="24"/>
        </w:rPr>
        <w:t>J Gerontol Biol Sci Med Sci</w:t>
      </w:r>
      <w:r w:rsidRPr="00873E6C">
        <w:rPr>
          <w:rFonts w:ascii="Times" w:hAnsi="Times"/>
          <w:sz w:val="24"/>
        </w:rPr>
        <w:t xml:space="preserve"> 67(4):409–16.</w:t>
      </w:r>
    </w:p>
    <w:p w:rsidR="00E63E12" w:rsidRPr="00873E6C" w:rsidRDefault="00E63E12" w:rsidP="00E63E12">
      <w:pPr>
        <w:pStyle w:val="Bibliography"/>
        <w:rPr>
          <w:rFonts w:ascii="Times" w:hAnsi="Times"/>
          <w:sz w:val="24"/>
        </w:rPr>
      </w:pPr>
      <w:r w:rsidRPr="00873E6C">
        <w:rPr>
          <w:rFonts w:ascii="Times" w:hAnsi="Times"/>
          <w:sz w:val="24"/>
        </w:rPr>
        <w:t xml:space="preserve">56. </w:t>
      </w:r>
      <w:r w:rsidRPr="00873E6C">
        <w:rPr>
          <w:rFonts w:ascii="Times" w:hAnsi="Times"/>
          <w:sz w:val="24"/>
        </w:rPr>
        <w:tab/>
        <w:t xml:space="preserve">Kananen L, et al. (2015) Cytomegalovirus infection accelerates epigenetic aging. </w:t>
      </w:r>
      <w:r w:rsidRPr="00873E6C">
        <w:rPr>
          <w:rFonts w:ascii="Times" w:hAnsi="Times"/>
          <w:i/>
          <w:iCs/>
          <w:sz w:val="24"/>
        </w:rPr>
        <w:t>Exp Gerontol</w:t>
      </w:r>
      <w:r w:rsidRPr="00873E6C">
        <w:rPr>
          <w:rFonts w:ascii="Times" w:hAnsi="Times"/>
          <w:sz w:val="24"/>
        </w:rPr>
        <w:t xml:space="preserve"> 72:227–229.</w:t>
      </w:r>
    </w:p>
    <w:p w:rsidR="00E63E12" w:rsidRPr="00873E6C" w:rsidRDefault="00E63E12" w:rsidP="00E63E12">
      <w:pPr>
        <w:pStyle w:val="Bibliography"/>
        <w:rPr>
          <w:rFonts w:ascii="Times" w:hAnsi="Times"/>
          <w:sz w:val="24"/>
        </w:rPr>
      </w:pPr>
      <w:r w:rsidRPr="00873E6C">
        <w:rPr>
          <w:rFonts w:ascii="Times" w:hAnsi="Times"/>
          <w:sz w:val="24"/>
        </w:rPr>
        <w:t xml:space="preserve">57. </w:t>
      </w:r>
      <w:r w:rsidRPr="00873E6C">
        <w:rPr>
          <w:rFonts w:ascii="Times" w:hAnsi="Times"/>
          <w:sz w:val="24"/>
        </w:rPr>
        <w:tab/>
        <w:t xml:space="preserve">Levine ME, et al. (2016) Menopause accelerates biological aging. </w:t>
      </w:r>
      <w:r w:rsidRPr="00873E6C">
        <w:rPr>
          <w:rFonts w:ascii="Times" w:hAnsi="Times"/>
          <w:i/>
          <w:iCs/>
          <w:sz w:val="24"/>
        </w:rPr>
        <w:t>Proc Natl Acad Sci</w:t>
      </w:r>
      <w:r w:rsidRPr="00873E6C">
        <w:rPr>
          <w:rFonts w:ascii="Times" w:hAnsi="Times"/>
          <w:sz w:val="24"/>
        </w:rPr>
        <w:t>:201604558.</w:t>
      </w:r>
    </w:p>
    <w:p w:rsidR="00E63E12" w:rsidRPr="00873E6C" w:rsidRDefault="00E63E12" w:rsidP="00E63E12">
      <w:pPr>
        <w:pStyle w:val="Bibliography"/>
        <w:rPr>
          <w:rFonts w:ascii="Times" w:hAnsi="Times"/>
          <w:sz w:val="24"/>
        </w:rPr>
      </w:pPr>
      <w:r w:rsidRPr="00873E6C">
        <w:rPr>
          <w:rFonts w:ascii="Times" w:hAnsi="Times"/>
          <w:sz w:val="24"/>
        </w:rPr>
        <w:t xml:space="preserve">58. </w:t>
      </w:r>
      <w:r w:rsidRPr="00873E6C">
        <w:rPr>
          <w:rFonts w:ascii="Times" w:hAnsi="Times"/>
          <w:sz w:val="24"/>
        </w:rPr>
        <w:tab/>
        <w:t xml:space="preserve">Barha CK, et al. (2016) Number of Children and Telomere Length in Women: A Prospective, Longitudinal Evaluation. </w:t>
      </w:r>
      <w:r w:rsidRPr="00873E6C">
        <w:rPr>
          <w:rFonts w:ascii="Times" w:hAnsi="Times"/>
          <w:i/>
          <w:iCs/>
          <w:sz w:val="24"/>
        </w:rPr>
        <w:t>PLOS ONE</w:t>
      </w:r>
      <w:r w:rsidRPr="00873E6C">
        <w:rPr>
          <w:rFonts w:ascii="Times" w:hAnsi="Times"/>
          <w:sz w:val="24"/>
        </w:rPr>
        <w:t xml:space="preserve"> 11(1):e0146424.</w:t>
      </w:r>
    </w:p>
    <w:p w:rsidR="00E63E12" w:rsidRPr="00873E6C" w:rsidRDefault="00E63E12" w:rsidP="00E63E12">
      <w:pPr>
        <w:pStyle w:val="Bibliography"/>
        <w:rPr>
          <w:rFonts w:ascii="Times" w:hAnsi="Times"/>
          <w:sz w:val="24"/>
        </w:rPr>
      </w:pPr>
      <w:r w:rsidRPr="00873E6C">
        <w:rPr>
          <w:rFonts w:ascii="Times" w:hAnsi="Times"/>
          <w:sz w:val="24"/>
        </w:rPr>
        <w:t xml:space="preserve">59. </w:t>
      </w:r>
      <w:r w:rsidRPr="00873E6C">
        <w:rPr>
          <w:rFonts w:ascii="Times" w:hAnsi="Times"/>
          <w:sz w:val="24"/>
        </w:rPr>
        <w:tab/>
        <w:t xml:space="preserve">Lane-Cordova AD, et al. (2017) Gravidity is not associated with telomere length in a biracial cohort of middle-aged women: The Coronary Artery Risk Development in Young Adults (CARDIA) study. </w:t>
      </w:r>
      <w:r w:rsidRPr="00873E6C">
        <w:rPr>
          <w:rFonts w:ascii="Times" w:hAnsi="Times"/>
          <w:i/>
          <w:iCs/>
          <w:sz w:val="24"/>
        </w:rPr>
        <w:t>PLOS ONE</w:t>
      </w:r>
      <w:r w:rsidRPr="00873E6C">
        <w:rPr>
          <w:rFonts w:ascii="Times" w:hAnsi="Times"/>
          <w:sz w:val="24"/>
        </w:rPr>
        <w:t xml:space="preserve"> 12(10):e0186495.</w:t>
      </w:r>
    </w:p>
    <w:p w:rsidR="00E63E12" w:rsidRPr="00873E6C" w:rsidRDefault="00E63E12" w:rsidP="00E63E12">
      <w:pPr>
        <w:pStyle w:val="Bibliography"/>
        <w:rPr>
          <w:rFonts w:ascii="Times" w:hAnsi="Times"/>
          <w:sz w:val="24"/>
        </w:rPr>
      </w:pPr>
      <w:r w:rsidRPr="00873E6C">
        <w:rPr>
          <w:rFonts w:ascii="Times" w:hAnsi="Times"/>
          <w:sz w:val="24"/>
        </w:rPr>
        <w:t xml:space="preserve">60. </w:t>
      </w:r>
      <w:r w:rsidRPr="00873E6C">
        <w:rPr>
          <w:rFonts w:ascii="Times" w:hAnsi="Times"/>
          <w:sz w:val="24"/>
        </w:rPr>
        <w:tab/>
        <w:t xml:space="preserve">Eisenberg DT, Kuzawa CW, Hayes MG (2015) Improving qPCR telomere length assays: Controlling for well position effects increases statistical power. </w:t>
      </w:r>
      <w:r w:rsidRPr="00873E6C">
        <w:rPr>
          <w:rFonts w:ascii="Times" w:hAnsi="Times"/>
          <w:i/>
          <w:iCs/>
          <w:sz w:val="24"/>
        </w:rPr>
        <w:t>Am J Hum Biol</w:t>
      </w:r>
      <w:r w:rsidRPr="00873E6C">
        <w:rPr>
          <w:rFonts w:ascii="Times" w:hAnsi="Times"/>
          <w:sz w:val="24"/>
        </w:rPr>
        <w:t xml:space="preserve"> 27(4):570–5.</w:t>
      </w:r>
    </w:p>
    <w:p w:rsidR="00E63E12" w:rsidRPr="00873E6C" w:rsidRDefault="00E63E12" w:rsidP="00E63E12">
      <w:pPr>
        <w:pStyle w:val="Bibliography"/>
        <w:rPr>
          <w:rFonts w:ascii="Times" w:hAnsi="Times"/>
          <w:sz w:val="24"/>
        </w:rPr>
      </w:pPr>
      <w:r w:rsidRPr="00873E6C">
        <w:rPr>
          <w:rFonts w:ascii="Times" w:hAnsi="Times"/>
          <w:sz w:val="24"/>
        </w:rPr>
        <w:t xml:space="preserve">61. </w:t>
      </w:r>
      <w:r w:rsidRPr="00873E6C">
        <w:rPr>
          <w:rFonts w:ascii="Times" w:hAnsi="Times"/>
          <w:sz w:val="24"/>
        </w:rPr>
        <w:tab/>
        <w:t xml:space="preserve">Eisenberg DT, Hayes MG, Kuzawa CW (2012) Delayed paternal age of reproduction in humans is associated with longer telomeres across two generations of descendants. </w:t>
      </w:r>
      <w:r w:rsidRPr="00873E6C">
        <w:rPr>
          <w:rFonts w:ascii="Times" w:hAnsi="Times"/>
          <w:i/>
          <w:iCs/>
          <w:sz w:val="24"/>
        </w:rPr>
        <w:t>Proc Natl Acad Sci</w:t>
      </w:r>
      <w:r w:rsidRPr="00873E6C">
        <w:rPr>
          <w:rFonts w:ascii="Times" w:hAnsi="Times"/>
          <w:sz w:val="24"/>
        </w:rPr>
        <w:t xml:space="preserve"> 109(26):10251–6.</w:t>
      </w:r>
    </w:p>
    <w:p w:rsidR="00E63E12" w:rsidRPr="00873E6C" w:rsidRDefault="00E63E12" w:rsidP="00E63E12">
      <w:pPr>
        <w:pStyle w:val="Bibliography"/>
        <w:rPr>
          <w:rFonts w:ascii="Times" w:hAnsi="Times"/>
          <w:sz w:val="24"/>
        </w:rPr>
      </w:pPr>
      <w:r w:rsidRPr="00873E6C">
        <w:rPr>
          <w:rFonts w:ascii="Times" w:hAnsi="Times"/>
          <w:sz w:val="24"/>
        </w:rPr>
        <w:t xml:space="preserve">62. </w:t>
      </w:r>
      <w:r w:rsidRPr="00873E6C">
        <w:rPr>
          <w:rFonts w:ascii="Times" w:hAnsi="Times"/>
          <w:sz w:val="24"/>
        </w:rPr>
        <w:tab/>
        <w:t xml:space="preserve">Hansen MEB, et al. (2016) Shorter telomere length in Europeans than in Africans due to polygenetic adaptation. </w:t>
      </w:r>
      <w:r w:rsidRPr="00873E6C">
        <w:rPr>
          <w:rFonts w:ascii="Times" w:hAnsi="Times"/>
          <w:i/>
          <w:iCs/>
          <w:sz w:val="24"/>
        </w:rPr>
        <w:t>Hum Mol Genet</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63. </w:t>
      </w:r>
      <w:r w:rsidRPr="00873E6C">
        <w:rPr>
          <w:rFonts w:ascii="Times" w:hAnsi="Times"/>
          <w:sz w:val="24"/>
        </w:rPr>
        <w:tab/>
        <w:t xml:space="preserve">Yeap BB, et al. (2016) Epidemiological and Mendelian randomisation studies of dihydrotestosterone and estradiol, and leucocyte telomere length in men. </w:t>
      </w:r>
      <w:r w:rsidRPr="00873E6C">
        <w:rPr>
          <w:rFonts w:ascii="Times" w:hAnsi="Times"/>
          <w:i/>
          <w:iCs/>
          <w:sz w:val="24"/>
        </w:rPr>
        <w:t>J Clin Endocrinol Metab</w:t>
      </w:r>
      <w:r w:rsidRPr="00873E6C">
        <w:rPr>
          <w:rFonts w:ascii="Times" w:hAnsi="Times"/>
          <w:sz w:val="24"/>
        </w:rPr>
        <w:t>:jc.2015-4139.</w:t>
      </w:r>
    </w:p>
    <w:p w:rsidR="00E63E12" w:rsidRPr="00873E6C" w:rsidRDefault="00E63E12" w:rsidP="00E63E12">
      <w:pPr>
        <w:pStyle w:val="Bibliography"/>
        <w:rPr>
          <w:rFonts w:ascii="Times" w:hAnsi="Times"/>
          <w:sz w:val="24"/>
        </w:rPr>
      </w:pPr>
      <w:r w:rsidRPr="00873E6C">
        <w:rPr>
          <w:rFonts w:ascii="Times" w:hAnsi="Times"/>
          <w:sz w:val="24"/>
        </w:rPr>
        <w:t xml:space="preserve">64. </w:t>
      </w:r>
      <w:r w:rsidRPr="00873E6C">
        <w:rPr>
          <w:rFonts w:ascii="Times" w:hAnsi="Times"/>
          <w:sz w:val="24"/>
        </w:rPr>
        <w:tab/>
        <w:t xml:space="preserve">Adams Waldorf KM, et al. (2010) Dynamic Changes in Fetal Microchimerism in Maternal Peripheral Blood Mononuclear Cells, CD4+ and CD8+ cells in Normal Pregnancy. </w:t>
      </w:r>
      <w:r w:rsidRPr="00873E6C">
        <w:rPr>
          <w:rFonts w:ascii="Times" w:hAnsi="Times"/>
          <w:i/>
          <w:iCs/>
          <w:sz w:val="24"/>
        </w:rPr>
        <w:t>Placenta</w:t>
      </w:r>
      <w:r w:rsidRPr="00873E6C">
        <w:rPr>
          <w:rFonts w:ascii="Times" w:hAnsi="Times"/>
          <w:sz w:val="24"/>
        </w:rPr>
        <w:t xml:space="preserve"> 31(7):589–594.</w:t>
      </w:r>
    </w:p>
    <w:p w:rsidR="00E63E12" w:rsidRPr="00873E6C" w:rsidRDefault="00E63E12" w:rsidP="00E63E12">
      <w:pPr>
        <w:pStyle w:val="Bibliography"/>
        <w:rPr>
          <w:rFonts w:ascii="Times" w:hAnsi="Times"/>
          <w:sz w:val="24"/>
        </w:rPr>
      </w:pPr>
      <w:r w:rsidRPr="00873E6C">
        <w:rPr>
          <w:rFonts w:ascii="Times" w:hAnsi="Times"/>
          <w:sz w:val="24"/>
        </w:rPr>
        <w:t xml:space="preserve">65. </w:t>
      </w:r>
      <w:r w:rsidRPr="00873E6C">
        <w:rPr>
          <w:rFonts w:ascii="Times" w:hAnsi="Times"/>
          <w:sz w:val="24"/>
        </w:rPr>
        <w:tab/>
        <w:t xml:space="preserve">Lo YMD, et al. (1997) Presence of fetal DNA in maternal plasma and serum. </w:t>
      </w:r>
      <w:r w:rsidRPr="00873E6C">
        <w:rPr>
          <w:rFonts w:ascii="Times" w:hAnsi="Times"/>
          <w:i/>
          <w:iCs/>
          <w:sz w:val="24"/>
        </w:rPr>
        <w:t>The Lancet</w:t>
      </w:r>
      <w:r w:rsidRPr="00873E6C">
        <w:rPr>
          <w:rFonts w:ascii="Times" w:hAnsi="Times"/>
          <w:sz w:val="24"/>
        </w:rPr>
        <w:t xml:space="preserve"> 350(9076):485–487.</w:t>
      </w:r>
    </w:p>
    <w:p w:rsidR="00E63E12" w:rsidRPr="00873E6C" w:rsidRDefault="00E63E12" w:rsidP="00E63E12">
      <w:pPr>
        <w:pStyle w:val="Bibliography"/>
        <w:rPr>
          <w:rFonts w:ascii="Times" w:hAnsi="Times"/>
          <w:sz w:val="24"/>
        </w:rPr>
      </w:pPr>
      <w:r w:rsidRPr="00873E6C">
        <w:rPr>
          <w:rFonts w:ascii="Times" w:hAnsi="Times"/>
          <w:sz w:val="24"/>
        </w:rPr>
        <w:t xml:space="preserve">66. </w:t>
      </w:r>
      <w:r w:rsidRPr="00873E6C">
        <w:rPr>
          <w:rFonts w:ascii="Times" w:hAnsi="Times"/>
          <w:sz w:val="24"/>
        </w:rPr>
        <w:tab/>
        <w:t xml:space="preserve">Gurven M, et al. (2016) Health costs of reproduction are minimal despite high fertility, mortality and subsistence lifestyle. </w:t>
      </w:r>
      <w:r w:rsidRPr="00873E6C">
        <w:rPr>
          <w:rFonts w:ascii="Times" w:hAnsi="Times"/>
          <w:i/>
          <w:iCs/>
          <w:sz w:val="24"/>
        </w:rPr>
        <w:t>Sci Rep</w:t>
      </w:r>
      <w:r w:rsidRPr="00873E6C">
        <w:rPr>
          <w:rFonts w:ascii="Times" w:hAnsi="Times"/>
          <w:sz w:val="24"/>
        </w:rPr>
        <w:t xml:space="preserve"> 6:30056.</w:t>
      </w:r>
    </w:p>
    <w:p w:rsidR="00E63E12" w:rsidRPr="00873E6C" w:rsidRDefault="00E63E12" w:rsidP="00E63E12">
      <w:pPr>
        <w:pStyle w:val="Bibliography"/>
        <w:rPr>
          <w:rFonts w:ascii="Times" w:hAnsi="Times"/>
          <w:sz w:val="24"/>
        </w:rPr>
      </w:pPr>
      <w:r w:rsidRPr="00873E6C">
        <w:rPr>
          <w:rFonts w:ascii="Times" w:hAnsi="Times"/>
          <w:sz w:val="24"/>
        </w:rPr>
        <w:t xml:space="preserve">67. </w:t>
      </w:r>
      <w:r w:rsidRPr="00873E6C">
        <w:rPr>
          <w:rFonts w:ascii="Times" w:hAnsi="Times"/>
          <w:sz w:val="24"/>
        </w:rPr>
        <w:tab/>
        <w:t xml:space="preserve">O’Callaghan N, et al. (2008) Buccal cells: a non-invasive measurement of selenium, zinc and magnesium status, and telomere length. </w:t>
      </w:r>
      <w:r w:rsidRPr="00873E6C">
        <w:rPr>
          <w:rFonts w:ascii="Times" w:hAnsi="Times"/>
          <w:i/>
          <w:iCs/>
          <w:sz w:val="24"/>
        </w:rPr>
        <w:t>Asia Pac J Clin Nutr</w:t>
      </w:r>
      <w:r w:rsidRPr="00873E6C">
        <w:rPr>
          <w:rFonts w:ascii="Times" w:hAnsi="Times"/>
          <w:sz w:val="24"/>
        </w:rPr>
        <w:t xml:space="preserve"> 17:S19.</w:t>
      </w:r>
    </w:p>
    <w:p w:rsidR="00E63E12" w:rsidRPr="00873E6C" w:rsidRDefault="00E63E12" w:rsidP="00E63E12">
      <w:pPr>
        <w:pStyle w:val="Bibliography"/>
        <w:rPr>
          <w:rFonts w:ascii="Times" w:hAnsi="Times"/>
          <w:sz w:val="24"/>
        </w:rPr>
      </w:pPr>
      <w:r w:rsidRPr="00873E6C">
        <w:rPr>
          <w:rFonts w:ascii="Times" w:hAnsi="Times"/>
          <w:sz w:val="24"/>
        </w:rPr>
        <w:t xml:space="preserve">68. </w:t>
      </w:r>
      <w:r w:rsidRPr="00873E6C">
        <w:rPr>
          <w:rFonts w:ascii="Times" w:hAnsi="Times"/>
          <w:sz w:val="24"/>
        </w:rPr>
        <w:tab/>
        <w:t>Thomas P (2008) Changes in buccal cytome biomarkers in relation to ageing and Alzheimer’s disease.</w:t>
      </w:r>
    </w:p>
    <w:p w:rsidR="00E63E12" w:rsidRPr="00873E6C" w:rsidRDefault="00E63E12" w:rsidP="00E63E12">
      <w:pPr>
        <w:pStyle w:val="Bibliography"/>
        <w:rPr>
          <w:rFonts w:ascii="Times" w:hAnsi="Times"/>
          <w:sz w:val="24"/>
        </w:rPr>
      </w:pPr>
      <w:r w:rsidRPr="00873E6C">
        <w:rPr>
          <w:rFonts w:ascii="Times" w:hAnsi="Times"/>
          <w:sz w:val="24"/>
        </w:rPr>
        <w:t xml:space="preserve">69. </w:t>
      </w:r>
      <w:r w:rsidRPr="00873E6C">
        <w:rPr>
          <w:rFonts w:ascii="Times" w:hAnsi="Times"/>
          <w:sz w:val="24"/>
        </w:rPr>
        <w:tab/>
        <w:t xml:space="preserve">Goldman EA, et al. (2017) Evaluating minimally invasive sample collection methods for telomere length measurement. </w:t>
      </w:r>
      <w:r w:rsidRPr="00873E6C">
        <w:rPr>
          <w:rFonts w:ascii="Times" w:hAnsi="Times"/>
          <w:i/>
          <w:iCs/>
          <w:sz w:val="24"/>
        </w:rPr>
        <w:t>Am J Hum Biol</w:t>
      </w:r>
      <w:r w:rsidRPr="00873E6C">
        <w:rPr>
          <w:rFonts w:ascii="Times" w:hAnsi="Times"/>
          <w:sz w:val="24"/>
        </w:rPr>
        <w:t>:e23062–n/a.</w:t>
      </w:r>
    </w:p>
    <w:p w:rsidR="00E63E12" w:rsidRPr="00873E6C" w:rsidRDefault="00E63E12" w:rsidP="00E63E12">
      <w:pPr>
        <w:pStyle w:val="Bibliography"/>
        <w:rPr>
          <w:rFonts w:ascii="Times" w:hAnsi="Times"/>
          <w:sz w:val="24"/>
        </w:rPr>
      </w:pPr>
      <w:r w:rsidRPr="00873E6C">
        <w:rPr>
          <w:rFonts w:ascii="Times" w:hAnsi="Times"/>
          <w:sz w:val="24"/>
        </w:rPr>
        <w:t xml:space="preserve">70. </w:t>
      </w:r>
      <w:r w:rsidRPr="00873E6C">
        <w:rPr>
          <w:rFonts w:ascii="Times" w:hAnsi="Times"/>
          <w:sz w:val="24"/>
        </w:rPr>
        <w:tab/>
        <w:t xml:space="preserve">Benetos A, et al. (2013) Tracking and fixed ranking of leukocyte telomere length across the adult life course. </w:t>
      </w:r>
      <w:r w:rsidRPr="00873E6C">
        <w:rPr>
          <w:rFonts w:ascii="Times" w:hAnsi="Times"/>
          <w:i/>
          <w:iCs/>
          <w:sz w:val="24"/>
        </w:rPr>
        <w:t>Aging Cell</w:t>
      </w:r>
      <w:r w:rsidRPr="00873E6C">
        <w:rPr>
          <w:rFonts w:ascii="Times" w:hAnsi="Times"/>
          <w:sz w:val="24"/>
        </w:rPr>
        <w:t xml:space="preserve"> 12(4):615–21.</w:t>
      </w:r>
    </w:p>
    <w:p w:rsidR="00E63E12" w:rsidRPr="00873E6C" w:rsidRDefault="00E63E12" w:rsidP="00E63E12">
      <w:pPr>
        <w:pStyle w:val="Bibliography"/>
        <w:rPr>
          <w:rFonts w:ascii="Times" w:hAnsi="Times"/>
          <w:sz w:val="24"/>
        </w:rPr>
      </w:pPr>
      <w:r w:rsidRPr="00873E6C">
        <w:rPr>
          <w:rFonts w:ascii="Times" w:hAnsi="Times"/>
          <w:sz w:val="24"/>
        </w:rPr>
        <w:t xml:space="preserve">71. </w:t>
      </w:r>
      <w:r w:rsidRPr="00873E6C">
        <w:rPr>
          <w:rFonts w:ascii="Times" w:hAnsi="Times"/>
          <w:sz w:val="24"/>
        </w:rPr>
        <w:tab/>
        <w:t xml:space="preserve">Frenck RW, Blackburn EH, Shannon KM (1998) The rate of telomere sequence loss in human leukocytes varies with age. </w:t>
      </w:r>
      <w:r w:rsidRPr="00873E6C">
        <w:rPr>
          <w:rFonts w:ascii="Times" w:hAnsi="Times"/>
          <w:i/>
          <w:iCs/>
          <w:sz w:val="24"/>
        </w:rPr>
        <w:t>Proc Natl Acad Sci</w:t>
      </w:r>
      <w:r w:rsidRPr="00873E6C">
        <w:rPr>
          <w:rFonts w:ascii="Times" w:hAnsi="Times"/>
          <w:sz w:val="24"/>
        </w:rPr>
        <w:t xml:space="preserve"> 95(10):5607–5610.</w:t>
      </w:r>
    </w:p>
    <w:p w:rsidR="00E63E12" w:rsidRPr="00873E6C" w:rsidRDefault="00E63E12" w:rsidP="00E63E12">
      <w:pPr>
        <w:pStyle w:val="Bibliography"/>
        <w:rPr>
          <w:rFonts w:ascii="Times" w:hAnsi="Times"/>
          <w:sz w:val="24"/>
        </w:rPr>
      </w:pPr>
      <w:r w:rsidRPr="00873E6C">
        <w:rPr>
          <w:rFonts w:ascii="Times" w:hAnsi="Times"/>
          <w:sz w:val="24"/>
        </w:rPr>
        <w:t xml:space="preserve">72. </w:t>
      </w:r>
      <w:r w:rsidRPr="00873E6C">
        <w:rPr>
          <w:rFonts w:ascii="Times" w:hAnsi="Times"/>
          <w:sz w:val="24"/>
        </w:rPr>
        <w:tab/>
        <w:t xml:space="preserve">Hill K, Kaplan  and H (1999) Life History Traits in Humans: Theory and Empirical Studies. </w:t>
      </w:r>
      <w:r w:rsidRPr="00873E6C">
        <w:rPr>
          <w:rFonts w:ascii="Times" w:hAnsi="Times"/>
          <w:i/>
          <w:iCs/>
          <w:sz w:val="24"/>
        </w:rPr>
        <w:t>Annu Rev Anthropol</w:t>
      </w:r>
      <w:r w:rsidRPr="00873E6C">
        <w:rPr>
          <w:rFonts w:ascii="Times" w:hAnsi="Times"/>
          <w:sz w:val="24"/>
        </w:rPr>
        <w:t xml:space="preserve"> 28(1):397–430.</w:t>
      </w:r>
    </w:p>
    <w:p w:rsidR="00E63E12" w:rsidRPr="00873E6C" w:rsidRDefault="00E63E12" w:rsidP="00E63E12">
      <w:pPr>
        <w:pStyle w:val="Bibliography"/>
        <w:rPr>
          <w:rFonts w:ascii="Times" w:hAnsi="Times"/>
          <w:sz w:val="24"/>
        </w:rPr>
      </w:pPr>
      <w:r w:rsidRPr="00873E6C">
        <w:rPr>
          <w:rFonts w:ascii="Times" w:hAnsi="Times"/>
          <w:sz w:val="24"/>
        </w:rPr>
        <w:t xml:space="preserve">73. </w:t>
      </w:r>
      <w:r w:rsidRPr="00873E6C">
        <w:rPr>
          <w:rFonts w:ascii="Times" w:hAnsi="Times"/>
          <w:sz w:val="24"/>
        </w:rPr>
        <w:tab/>
        <w:t xml:space="preserve">Belsky DW, et al. (2018) Eleven Telomere, Epigenetic Clock, and Biomarker-Composite Quantifications of Biological Aging: Do They Measure the Same Thing? </w:t>
      </w:r>
      <w:r w:rsidRPr="00873E6C">
        <w:rPr>
          <w:rFonts w:ascii="Times" w:hAnsi="Times"/>
          <w:i/>
          <w:iCs/>
          <w:sz w:val="24"/>
        </w:rPr>
        <w:t>Am J Epidemiol</w:t>
      </w:r>
      <w:r w:rsidRPr="00873E6C">
        <w:rPr>
          <w:rFonts w:ascii="Times" w:hAnsi="Times"/>
          <w:sz w:val="24"/>
        </w:rPr>
        <w:t>. doi:10.1093/aje/kwx346.</w:t>
      </w:r>
    </w:p>
    <w:p w:rsidR="00E63E12" w:rsidRPr="00873E6C" w:rsidRDefault="00E63E12" w:rsidP="00E63E12">
      <w:pPr>
        <w:pStyle w:val="Bibliography"/>
        <w:rPr>
          <w:rFonts w:ascii="Times" w:hAnsi="Times"/>
          <w:sz w:val="24"/>
        </w:rPr>
      </w:pPr>
      <w:r w:rsidRPr="00873E6C">
        <w:rPr>
          <w:rFonts w:ascii="Times" w:hAnsi="Times"/>
          <w:sz w:val="24"/>
        </w:rPr>
        <w:t xml:space="preserve">74. </w:t>
      </w:r>
      <w:r w:rsidRPr="00873E6C">
        <w:rPr>
          <w:rFonts w:ascii="Times" w:hAnsi="Times"/>
          <w:sz w:val="24"/>
        </w:rPr>
        <w:tab/>
        <w:t xml:space="preserve">Kuzawa CW, Adair LS, Borja J, Mcdade TW (2013) C-reactive protein by pregnancy and lactational status among Filipino young adult women. </w:t>
      </w:r>
      <w:r w:rsidRPr="00873E6C">
        <w:rPr>
          <w:rFonts w:ascii="Times" w:hAnsi="Times"/>
          <w:i/>
          <w:iCs/>
          <w:sz w:val="24"/>
        </w:rPr>
        <w:t>Am J Hum Biol</w:t>
      </w:r>
      <w:r w:rsidRPr="00873E6C">
        <w:rPr>
          <w:rFonts w:ascii="Times" w:hAnsi="Times"/>
          <w:sz w:val="24"/>
        </w:rPr>
        <w:t xml:space="preserve"> 25(1):131–134.</w:t>
      </w:r>
    </w:p>
    <w:p w:rsidR="00E63E12" w:rsidRPr="00873E6C" w:rsidRDefault="00E63E12" w:rsidP="00E63E12">
      <w:pPr>
        <w:pStyle w:val="Bibliography"/>
        <w:rPr>
          <w:rFonts w:ascii="Times" w:hAnsi="Times"/>
          <w:sz w:val="24"/>
        </w:rPr>
      </w:pPr>
      <w:r w:rsidRPr="00873E6C">
        <w:rPr>
          <w:rFonts w:ascii="Times" w:hAnsi="Times"/>
          <w:sz w:val="24"/>
        </w:rPr>
        <w:t xml:space="preserve">75. </w:t>
      </w:r>
      <w:r w:rsidRPr="00873E6C">
        <w:rPr>
          <w:rFonts w:ascii="Times" w:hAnsi="Times"/>
          <w:sz w:val="24"/>
        </w:rPr>
        <w:tab/>
        <w:t xml:space="preserve">Ryan CP, Brownlie JC, Whyard S (2016) Hsp90 and physiological stress are linked to autonomous transposon mobility and heritable genetic change in nematodes. </w:t>
      </w:r>
      <w:r w:rsidRPr="00873E6C">
        <w:rPr>
          <w:rFonts w:ascii="Times" w:hAnsi="Times"/>
          <w:i/>
          <w:iCs/>
          <w:sz w:val="24"/>
        </w:rPr>
        <w:t>Genome Biol Evol</w:t>
      </w:r>
      <w:r w:rsidRPr="00873E6C">
        <w:rPr>
          <w:rFonts w:ascii="Times" w:hAnsi="Times"/>
          <w:sz w:val="24"/>
        </w:rPr>
        <w:t xml:space="preserve"> 8(12):3794–3805.</w:t>
      </w:r>
    </w:p>
    <w:p w:rsidR="00E63E12" w:rsidRPr="00873E6C" w:rsidRDefault="00E63E12" w:rsidP="00E63E12">
      <w:pPr>
        <w:pStyle w:val="Bibliography"/>
        <w:rPr>
          <w:rFonts w:ascii="Times" w:hAnsi="Times"/>
          <w:sz w:val="24"/>
        </w:rPr>
      </w:pPr>
      <w:r w:rsidRPr="00873E6C">
        <w:rPr>
          <w:rFonts w:ascii="Times" w:hAnsi="Times"/>
          <w:sz w:val="24"/>
        </w:rPr>
        <w:t xml:space="preserve">76. </w:t>
      </w:r>
      <w:r w:rsidRPr="00873E6C">
        <w:rPr>
          <w:rFonts w:ascii="Times" w:hAnsi="Times"/>
          <w:sz w:val="24"/>
        </w:rPr>
        <w:tab/>
        <w:t xml:space="preserve">Feder ME, Hofmann GE (1999) Heat-shock proteins, molecular chaperones, and the stress response: evolutionary and ecological physiology. </w:t>
      </w:r>
      <w:r w:rsidRPr="00873E6C">
        <w:rPr>
          <w:rFonts w:ascii="Times" w:hAnsi="Times"/>
          <w:i/>
          <w:iCs/>
          <w:sz w:val="24"/>
        </w:rPr>
        <w:t>Annu Rev Physiol</w:t>
      </w:r>
      <w:r w:rsidRPr="00873E6C">
        <w:rPr>
          <w:rFonts w:ascii="Times" w:hAnsi="Times"/>
          <w:sz w:val="24"/>
        </w:rPr>
        <w:t xml:space="preserve"> 61(1):243–282.</w:t>
      </w:r>
    </w:p>
    <w:p w:rsidR="00E63E12" w:rsidRPr="00873E6C" w:rsidRDefault="00E63E12" w:rsidP="00E63E12">
      <w:pPr>
        <w:pStyle w:val="Bibliography"/>
        <w:rPr>
          <w:rFonts w:ascii="Times" w:hAnsi="Times"/>
          <w:sz w:val="24"/>
        </w:rPr>
      </w:pPr>
      <w:r w:rsidRPr="00873E6C">
        <w:rPr>
          <w:rFonts w:ascii="Times" w:hAnsi="Times"/>
          <w:sz w:val="24"/>
        </w:rPr>
        <w:t xml:space="preserve">77. </w:t>
      </w:r>
      <w:r w:rsidRPr="00873E6C">
        <w:rPr>
          <w:rFonts w:ascii="Times" w:hAnsi="Times"/>
          <w:sz w:val="24"/>
        </w:rPr>
        <w:tab/>
        <w:t xml:space="preserve">Okada Y, Teramura K, Takahashi KH (2014) Heat shock proteins mediate trade-offs between early-life reproduction and late survival in Drosophila melanogaster. </w:t>
      </w:r>
      <w:r w:rsidRPr="00873E6C">
        <w:rPr>
          <w:rFonts w:ascii="Times" w:hAnsi="Times"/>
          <w:i/>
          <w:iCs/>
          <w:sz w:val="24"/>
        </w:rPr>
        <w:t>Physiol Entomol</w:t>
      </w:r>
      <w:r w:rsidRPr="00873E6C">
        <w:rPr>
          <w:rFonts w:ascii="Times" w:hAnsi="Times"/>
          <w:sz w:val="24"/>
        </w:rPr>
        <w:t xml:space="preserve"> 39(4):304–312.</w:t>
      </w:r>
    </w:p>
    <w:p w:rsidR="00E63E12" w:rsidRPr="00873E6C" w:rsidRDefault="00E63E12" w:rsidP="00E63E12">
      <w:pPr>
        <w:pStyle w:val="Bibliography"/>
        <w:rPr>
          <w:rFonts w:ascii="Times" w:hAnsi="Times"/>
          <w:sz w:val="24"/>
        </w:rPr>
      </w:pPr>
      <w:r w:rsidRPr="00873E6C">
        <w:rPr>
          <w:rFonts w:ascii="Times" w:hAnsi="Times"/>
          <w:sz w:val="24"/>
        </w:rPr>
        <w:t xml:space="preserve">78. </w:t>
      </w:r>
      <w:r w:rsidRPr="00873E6C">
        <w:rPr>
          <w:rFonts w:ascii="Times" w:hAnsi="Times"/>
          <w:sz w:val="24"/>
        </w:rPr>
        <w:tab/>
        <w:t xml:space="preserve">Marshall KE, Sinclair BJ (2010) Repeated stress exposure results in a survival-reproduction trade-off in Drosophila melanogaster. </w:t>
      </w:r>
      <w:r w:rsidRPr="00873E6C">
        <w:rPr>
          <w:rFonts w:ascii="Times" w:hAnsi="Times"/>
          <w:i/>
          <w:iCs/>
          <w:sz w:val="24"/>
        </w:rPr>
        <w:t>Proc R Soc B Biol Sci</w:t>
      </w:r>
      <w:r w:rsidRPr="00873E6C">
        <w:rPr>
          <w:rFonts w:ascii="Times" w:hAnsi="Times"/>
          <w:sz w:val="24"/>
        </w:rPr>
        <w:t xml:space="preserve"> 277(1683):963–969.</w:t>
      </w:r>
    </w:p>
    <w:p w:rsidR="00E63E12" w:rsidRPr="00873E6C" w:rsidRDefault="00E63E12" w:rsidP="00E63E12">
      <w:pPr>
        <w:pStyle w:val="Bibliography"/>
        <w:rPr>
          <w:rFonts w:ascii="Times" w:hAnsi="Times"/>
          <w:sz w:val="24"/>
        </w:rPr>
      </w:pPr>
      <w:r w:rsidRPr="00873E6C">
        <w:rPr>
          <w:rFonts w:ascii="Times" w:hAnsi="Times"/>
          <w:sz w:val="24"/>
        </w:rPr>
        <w:t xml:space="preserve">79. </w:t>
      </w:r>
      <w:r w:rsidRPr="00873E6C">
        <w:rPr>
          <w:rFonts w:ascii="Times" w:hAnsi="Times"/>
          <w:sz w:val="24"/>
        </w:rPr>
        <w:tab/>
        <w:t xml:space="preserve">Noordwijk AJ van, Jong G de (1986) Acquisition and Allocation of Resources: Their Influence on Variation in Life History Tactics. </w:t>
      </w:r>
      <w:r w:rsidRPr="00873E6C">
        <w:rPr>
          <w:rFonts w:ascii="Times" w:hAnsi="Times"/>
          <w:i/>
          <w:iCs/>
          <w:sz w:val="24"/>
        </w:rPr>
        <w:t>Am Nat</w:t>
      </w:r>
      <w:r w:rsidRPr="00873E6C">
        <w:rPr>
          <w:rFonts w:ascii="Times" w:hAnsi="Times"/>
          <w:sz w:val="24"/>
        </w:rPr>
        <w:t xml:space="preserve"> 128(1):137–142.</w:t>
      </w:r>
    </w:p>
    <w:p w:rsidR="00E63E12" w:rsidRPr="00873E6C" w:rsidRDefault="00E63E12" w:rsidP="00E63E12">
      <w:pPr>
        <w:pStyle w:val="Bibliography"/>
        <w:rPr>
          <w:rFonts w:ascii="Times" w:hAnsi="Times"/>
          <w:sz w:val="24"/>
        </w:rPr>
      </w:pPr>
      <w:r w:rsidRPr="00873E6C">
        <w:rPr>
          <w:rFonts w:ascii="Times" w:hAnsi="Times"/>
          <w:sz w:val="24"/>
        </w:rPr>
        <w:t xml:space="preserve">80. </w:t>
      </w:r>
      <w:r w:rsidRPr="00873E6C">
        <w:rPr>
          <w:rFonts w:ascii="Times" w:hAnsi="Times"/>
          <w:sz w:val="24"/>
        </w:rPr>
        <w:tab/>
        <w:t xml:space="preserve">Helle S (2017) Accounting for measurement error in human life history trade-offs using structural equation modeling. </w:t>
      </w:r>
      <w:r w:rsidRPr="00873E6C">
        <w:rPr>
          <w:rFonts w:ascii="Times" w:hAnsi="Times"/>
          <w:i/>
          <w:iCs/>
          <w:sz w:val="24"/>
        </w:rPr>
        <w:t>Am J Hum Biol</w:t>
      </w:r>
      <w:r w:rsidRPr="00873E6C">
        <w:rPr>
          <w:rFonts w:ascii="Times" w:hAnsi="Times"/>
          <w:sz w:val="24"/>
        </w:rPr>
        <w:t>:e23075.</w:t>
      </w:r>
    </w:p>
    <w:p w:rsidR="00E63E12" w:rsidRPr="00873E6C" w:rsidRDefault="00E63E12" w:rsidP="00E63E12">
      <w:pPr>
        <w:pStyle w:val="Bibliography"/>
        <w:rPr>
          <w:rFonts w:ascii="Times" w:hAnsi="Times"/>
          <w:sz w:val="24"/>
        </w:rPr>
      </w:pPr>
      <w:r w:rsidRPr="00873E6C">
        <w:rPr>
          <w:rFonts w:ascii="Times" w:hAnsi="Times"/>
          <w:sz w:val="24"/>
        </w:rPr>
        <w:t xml:space="preserve">81. </w:t>
      </w:r>
      <w:r w:rsidRPr="00873E6C">
        <w:rPr>
          <w:rFonts w:ascii="Times" w:hAnsi="Times"/>
          <w:sz w:val="24"/>
        </w:rPr>
        <w:tab/>
        <w:t xml:space="preserve">Adair LS, et al. (2011) Cohort Profile: The Cebu Longitudinal Health and Nutrition Survey. </w:t>
      </w:r>
      <w:r w:rsidRPr="00873E6C">
        <w:rPr>
          <w:rFonts w:ascii="Times" w:hAnsi="Times"/>
          <w:i/>
          <w:iCs/>
          <w:sz w:val="24"/>
        </w:rPr>
        <w:t>Int J Epidemiol</w:t>
      </w:r>
      <w:r w:rsidRPr="00873E6C">
        <w:rPr>
          <w:rFonts w:ascii="Times" w:hAnsi="Times"/>
          <w:sz w:val="24"/>
        </w:rPr>
        <w:t xml:space="preserve"> 40(3):619–625.</w:t>
      </w:r>
    </w:p>
    <w:p w:rsidR="00E63E12" w:rsidRPr="00873E6C" w:rsidRDefault="00E63E12" w:rsidP="00E63E12">
      <w:pPr>
        <w:pStyle w:val="Bibliography"/>
        <w:rPr>
          <w:rFonts w:ascii="Times" w:hAnsi="Times"/>
          <w:sz w:val="24"/>
        </w:rPr>
      </w:pPr>
      <w:r w:rsidRPr="00873E6C">
        <w:rPr>
          <w:rFonts w:ascii="Times" w:hAnsi="Times"/>
          <w:sz w:val="24"/>
        </w:rPr>
        <w:t xml:space="preserve">82. </w:t>
      </w:r>
      <w:r w:rsidRPr="00873E6C">
        <w:rPr>
          <w:rFonts w:ascii="Times" w:hAnsi="Times"/>
          <w:sz w:val="24"/>
        </w:rPr>
        <w:tab/>
        <w:t xml:space="preserve">Verhulst S, et al. (2015) Commentary: The reliability of telomere length measurements. </w:t>
      </w:r>
      <w:r w:rsidRPr="00873E6C">
        <w:rPr>
          <w:rFonts w:ascii="Times" w:hAnsi="Times"/>
          <w:i/>
          <w:iCs/>
          <w:sz w:val="24"/>
        </w:rPr>
        <w:t>Int J Epidemiol</w:t>
      </w:r>
      <w:r w:rsidRPr="00873E6C">
        <w:rPr>
          <w:rFonts w:ascii="Times" w:hAnsi="Times"/>
          <w:sz w:val="24"/>
        </w:rPr>
        <w:t xml:space="preserve"> 44(5):1683–6.</w:t>
      </w:r>
    </w:p>
    <w:p w:rsidR="00E63E12" w:rsidRPr="00873E6C" w:rsidRDefault="00E63E12" w:rsidP="00E63E12">
      <w:pPr>
        <w:pStyle w:val="Bibliography"/>
        <w:rPr>
          <w:rFonts w:ascii="Times" w:hAnsi="Times"/>
          <w:sz w:val="24"/>
        </w:rPr>
      </w:pPr>
      <w:r w:rsidRPr="00873E6C">
        <w:rPr>
          <w:rFonts w:ascii="Times" w:hAnsi="Times"/>
          <w:sz w:val="24"/>
        </w:rPr>
        <w:t xml:space="preserve">83. </w:t>
      </w:r>
      <w:r w:rsidRPr="00873E6C">
        <w:rPr>
          <w:rFonts w:ascii="Times" w:hAnsi="Times"/>
          <w:sz w:val="24"/>
        </w:rPr>
        <w:tab/>
        <w:t xml:space="preserve">Eisenberg DT (2016) Telomere length measurement validity: the coefficient of variation is invalid and cannot be used to compare quantitative polymerase chain reaction and Southern blot telomere length measurement techniques. </w:t>
      </w:r>
      <w:r w:rsidRPr="00873E6C">
        <w:rPr>
          <w:rFonts w:ascii="Times" w:hAnsi="Times"/>
          <w:i/>
          <w:iCs/>
          <w:sz w:val="24"/>
        </w:rPr>
        <w:t>Int J Epidemiol</w:t>
      </w:r>
      <w:r w:rsidRPr="00873E6C">
        <w:rPr>
          <w:rFonts w:ascii="Times" w:hAnsi="Times"/>
          <w:sz w:val="24"/>
        </w:rPr>
        <w:t xml:space="preserve"> 45(4):1295–1298.</w:t>
      </w:r>
    </w:p>
    <w:p w:rsidR="00E63E12" w:rsidRPr="00873E6C" w:rsidRDefault="00E63E12" w:rsidP="00E63E12">
      <w:pPr>
        <w:pStyle w:val="Bibliography"/>
        <w:rPr>
          <w:rFonts w:ascii="Times" w:hAnsi="Times"/>
          <w:sz w:val="24"/>
        </w:rPr>
      </w:pPr>
      <w:r w:rsidRPr="00873E6C">
        <w:rPr>
          <w:rFonts w:ascii="Times" w:hAnsi="Times"/>
          <w:sz w:val="24"/>
        </w:rPr>
        <w:t xml:space="preserve">84. </w:t>
      </w:r>
      <w:r w:rsidRPr="00873E6C">
        <w:rPr>
          <w:rFonts w:ascii="Times" w:hAnsi="Times"/>
          <w:sz w:val="24"/>
        </w:rPr>
        <w:tab/>
        <w:t xml:space="preserve">Eisenberg DTA, Borja JB, Hayes MG, Kuzawa CW (2017) Early life infection, but not breastfeeding, predicts adult blood telomere lengths in the Philippines. </w:t>
      </w:r>
      <w:r w:rsidRPr="00873E6C">
        <w:rPr>
          <w:rFonts w:ascii="Times" w:hAnsi="Times"/>
          <w:i/>
          <w:iCs/>
          <w:sz w:val="24"/>
        </w:rPr>
        <w:t>Am J Hum Biol</w:t>
      </w:r>
      <w:r w:rsidRPr="00873E6C">
        <w:rPr>
          <w:rFonts w:ascii="Times" w:hAnsi="Times"/>
          <w:sz w:val="24"/>
        </w:rPr>
        <w:t xml:space="preserve"> 29(4).</w:t>
      </w:r>
    </w:p>
    <w:p w:rsidR="00E63E12" w:rsidRPr="00873E6C" w:rsidRDefault="00E63E12" w:rsidP="00E63E12">
      <w:pPr>
        <w:pStyle w:val="Bibliography"/>
        <w:rPr>
          <w:rFonts w:ascii="Times" w:hAnsi="Times"/>
          <w:sz w:val="24"/>
        </w:rPr>
      </w:pPr>
      <w:r w:rsidRPr="00873E6C">
        <w:rPr>
          <w:rFonts w:ascii="Times" w:hAnsi="Times"/>
          <w:sz w:val="24"/>
        </w:rPr>
        <w:t xml:space="preserve">85. </w:t>
      </w:r>
      <w:r w:rsidRPr="00873E6C">
        <w:rPr>
          <w:rFonts w:ascii="Times" w:hAnsi="Times"/>
          <w:sz w:val="24"/>
        </w:rPr>
        <w:tab/>
        <w:t xml:space="preserve">Du P, Kibbe WA, Lin SM (2008) lumi: a pipeline for processing Illumina microarray. </w:t>
      </w:r>
      <w:r w:rsidRPr="00873E6C">
        <w:rPr>
          <w:rFonts w:ascii="Times" w:hAnsi="Times"/>
          <w:i/>
          <w:iCs/>
          <w:sz w:val="24"/>
        </w:rPr>
        <w:t>Bioinformatics</w:t>
      </w:r>
      <w:r w:rsidRPr="00873E6C">
        <w:rPr>
          <w:rFonts w:ascii="Times" w:hAnsi="Times"/>
          <w:sz w:val="24"/>
        </w:rPr>
        <w:t xml:space="preserve"> 24(13):1547–1548.</w:t>
      </w:r>
    </w:p>
    <w:p w:rsidR="00E63E12" w:rsidRPr="00873E6C" w:rsidRDefault="00E63E12" w:rsidP="00E63E12">
      <w:pPr>
        <w:pStyle w:val="Bibliography"/>
        <w:rPr>
          <w:rFonts w:ascii="Times" w:hAnsi="Times"/>
          <w:sz w:val="24"/>
        </w:rPr>
      </w:pPr>
      <w:r w:rsidRPr="00873E6C">
        <w:rPr>
          <w:rFonts w:ascii="Times" w:hAnsi="Times"/>
          <w:sz w:val="24"/>
        </w:rPr>
        <w:t xml:space="preserve">86. </w:t>
      </w:r>
      <w:r w:rsidRPr="00873E6C">
        <w:rPr>
          <w:rFonts w:ascii="Times" w:hAnsi="Times"/>
          <w:sz w:val="24"/>
        </w:rPr>
        <w:tab/>
        <w:t xml:space="preserve">Dahly DL, Adair LS (2007) Quantifying the urban environment: A scale measure of urbanicity outperforms the urban–rural dichotomy. </w:t>
      </w:r>
      <w:r w:rsidRPr="00873E6C">
        <w:rPr>
          <w:rFonts w:ascii="Times" w:hAnsi="Times"/>
          <w:i/>
          <w:iCs/>
          <w:sz w:val="24"/>
        </w:rPr>
        <w:t>Soc Sci Med</w:t>
      </w:r>
      <w:r w:rsidRPr="00873E6C">
        <w:rPr>
          <w:rFonts w:ascii="Times" w:hAnsi="Times"/>
          <w:sz w:val="24"/>
        </w:rPr>
        <w:t xml:space="preserve"> 64(7):1407–1419.</w:t>
      </w:r>
    </w:p>
    <w:p w:rsidR="00E63E12" w:rsidRPr="00873E6C" w:rsidRDefault="00E63E12" w:rsidP="00E63E12">
      <w:pPr>
        <w:pStyle w:val="Bibliography"/>
        <w:rPr>
          <w:rFonts w:ascii="Times" w:hAnsi="Times"/>
          <w:sz w:val="24"/>
        </w:rPr>
      </w:pPr>
      <w:r w:rsidRPr="00873E6C">
        <w:rPr>
          <w:rFonts w:ascii="Times" w:hAnsi="Times"/>
          <w:sz w:val="24"/>
        </w:rPr>
        <w:t xml:space="preserve">87. </w:t>
      </w:r>
      <w:r w:rsidRPr="00873E6C">
        <w:rPr>
          <w:rFonts w:ascii="Times" w:hAnsi="Times"/>
          <w:sz w:val="24"/>
        </w:rPr>
        <w:tab/>
        <w:t xml:space="preserve">Wu Y, et al. (2012) Genome-wide Association with C-Reactive Protein Levels in CLHNS: Evidence for the CRP and HNF1A Loci and their Interaction with Exposure to a Pathogenic Environment. </w:t>
      </w:r>
      <w:r w:rsidRPr="00873E6C">
        <w:rPr>
          <w:rFonts w:ascii="Times" w:hAnsi="Times"/>
          <w:i/>
          <w:iCs/>
          <w:sz w:val="24"/>
        </w:rPr>
        <w:t>Inflammation</w:t>
      </w:r>
      <w:r w:rsidRPr="00873E6C">
        <w:rPr>
          <w:rFonts w:ascii="Times" w:hAnsi="Times"/>
          <w:sz w:val="24"/>
        </w:rPr>
        <w:t xml:space="preserve"> 35(2):574–583.</w:t>
      </w:r>
    </w:p>
    <w:p w:rsidR="00E63E12" w:rsidRPr="00873E6C" w:rsidRDefault="00E63E12" w:rsidP="00E63E12">
      <w:pPr>
        <w:pStyle w:val="Bibliography"/>
        <w:rPr>
          <w:rFonts w:ascii="Times" w:hAnsi="Times"/>
          <w:sz w:val="24"/>
        </w:rPr>
      </w:pPr>
      <w:r w:rsidRPr="00873E6C">
        <w:rPr>
          <w:rFonts w:ascii="Times" w:hAnsi="Times"/>
          <w:sz w:val="24"/>
        </w:rPr>
        <w:t xml:space="preserve">88. </w:t>
      </w:r>
      <w:r w:rsidRPr="00873E6C">
        <w:rPr>
          <w:rFonts w:ascii="Times" w:hAnsi="Times"/>
          <w:sz w:val="24"/>
        </w:rPr>
        <w:tab/>
        <w:t xml:space="preserve">Croteau-Chonka DC, et al. (2011) Genome-wide association study of anthropometric traits and evidence of interactions with age and study year in Filipino women. </w:t>
      </w:r>
      <w:r w:rsidRPr="00873E6C">
        <w:rPr>
          <w:rFonts w:ascii="Times" w:hAnsi="Times"/>
          <w:i/>
          <w:iCs/>
          <w:sz w:val="24"/>
        </w:rPr>
        <w:t>Obes Silver Spring</w:t>
      </w:r>
      <w:r w:rsidRPr="00873E6C">
        <w:rPr>
          <w:rFonts w:ascii="Times" w:hAnsi="Times"/>
          <w:sz w:val="24"/>
        </w:rPr>
        <w:t xml:space="preserve"> 19(5):1019–27.</w:t>
      </w:r>
    </w:p>
    <w:p w:rsidR="00E63E12" w:rsidRPr="00873E6C" w:rsidRDefault="00E63E12" w:rsidP="00E63E12">
      <w:pPr>
        <w:pStyle w:val="Bibliography"/>
        <w:rPr>
          <w:rFonts w:ascii="Times" w:hAnsi="Times"/>
          <w:sz w:val="24"/>
        </w:rPr>
      </w:pPr>
      <w:r w:rsidRPr="00873E6C">
        <w:rPr>
          <w:rFonts w:ascii="Times" w:hAnsi="Times"/>
          <w:sz w:val="24"/>
        </w:rPr>
        <w:t xml:space="preserve">89. </w:t>
      </w:r>
      <w:r w:rsidRPr="00873E6C">
        <w:rPr>
          <w:rFonts w:ascii="Times" w:hAnsi="Times"/>
          <w:sz w:val="24"/>
        </w:rPr>
        <w:tab/>
        <w:t xml:space="preserve">Croteau-Chonka DC, et al. (2012) Population-specific coding variant underlies genome-wide association with adiponectin level. </w:t>
      </w:r>
      <w:r w:rsidRPr="00873E6C">
        <w:rPr>
          <w:rFonts w:ascii="Times" w:hAnsi="Times"/>
          <w:i/>
          <w:iCs/>
          <w:sz w:val="24"/>
        </w:rPr>
        <w:t>Hum Mol Genet</w:t>
      </w:r>
      <w:r w:rsidRPr="00873E6C">
        <w:rPr>
          <w:rFonts w:ascii="Times" w:hAnsi="Times"/>
          <w:sz w:val="24"/>
        </w:rPr>
        <w:t xml:space="preserve"> 21(2):463–71.</w:t>
      </w:r>
    </w:p>
    <w:p w:rsidR="00E63E12" w:rsidRPr="00873E6C" w:rsidRDefault="00E63E12" w:rsidP="00E63E12">
      <w:pPr>
        <w:pStyle w:val="Bibliography"/>
        <w:rPr>
          <w:rFonts w:ascii="Times" w:hAnsi="Times"/>
          <w:sz w:val="24"/>
        </w:rPr>
      </w:pPr>
      <w:r w:rsidRPr="00873E6C">
        <w:rPr>
          <w:rFonts w:ascii="Times" w:hAnsi="Times"/>
          <w:sz w:val="24"/>
        </w:rPr>
        <w:t xml:space="preserve">90. </w:t>
      </w:r>
      <w:r w:rsidRPr="00873E6C">
        <w:rPr>
          <w:rFonts w:ascii="Times" w:hAnsi="Times"/>
          <w:sz w:val="24"/>
        </w:rPr>
        <w:tab/>
        <w:t xml:space="preserve">Bethancourt HJ, et al. (2015) No Association between Blood Telomere Length and Longitudinally-Assessed Diet or Adiposity or Diet in a Young Adult Filipino Population. </w:t>
      </w:r>
      <w:r w:rsidRPr="00873E6C">
        <w:rPr>
          <w:rFonts w:ascii="Times" w:hAnsi="Times"/>
          <w:i/>
          <w:iCs/>
          <w:sz w:val="24"/>
        </w:rPr>
        <w:t>Eur J Nutr</w:t>
      </w:r>
      <w:r w:rsidRPr="00873E6C">
        <w:rPr>
          <w:rFonts w:ascii="Times" w:hAnsi="Times"/>
          <w:sz w:val="24"/>
        </w:rPr>
        <w:t>:1–14.</w:t>
      </w:r>
    </w:p>
    <w:p w:rsidR="00E63E12" w:rsidRPr="00873E6C" w:rsidRDefault="00E63E12" w:rsidP="00E63E12">
      <w:pPr>
        <w:pStyle w:val="Bibliography"/>
        <w:rPr>
          <w:rFonts w:ascii="Times" w:hAnsi="Times"/>
          <w:sz w:val="24"/>
        </w:rPr>
      </w:pPr>
      <w:r w:rsidRPr="00873E6C">
        <w:rPr>
          <w:rFonts w:ascii="Times" w:hAnsi="Times"/>
          <w:sz w:val="24"/>
        </w:rPr>
        <w:t xml:space="preserve">91. </w:t>
      </w:r>
      <w:r w:rsidRPr="00873E6C">
        <w:rPr>
          <w:rFonts w:ascii="Times" w:hAnsi="Times"/>
          <w:sz w:val="24"/>
        </w:rPr>
        <w:tab/>
        <w:t xml:space="preserve">Kleiber C, Zeileis A (2008) </w:t>
      </w:r>
      <w:r w:rsidRPr="00873E6C">
        <w:rPr>
          <w:rFonts w:ascii="Times" w:hAnsi="Times"/>
          <w:i/>
          <w:iCs/>
          <w:sz w:val="24"/>
        </w:rPr>
        <w:t>Applied econometrics with R</w:t>
      </w:r>
      <w:r w:rsidRPr="00873E6C">
        <w:rPr>
          <w:rFonts w:ascii="Times" w:hAnsi="Times"/>
          <w:sz w:val="24"/>
        </w:rPr>
        <w:t xml:space="preserve"> (Springer Verlag).</w:t>
      </w:r>
    </w:p>
    <w:p w:rsidR="00E63E12" w:rsidRPr="00873E6C" w:rsidRDefault="00E63E12" w:rsidP="00E63E12">
      <w:pPr>
        <w:pStyle w:val="Bibliography"/>
        <w:rPr>
          <w:rFonts w:ascii="Times" w:hAnsi="Times"/>
          <w:sz w:val="24"/>
        </w:rPr>
      </w:pPr>
      <w:r w:rsidRPr="00873E6C">
        <w:rPr>
          <w:rFonts w:ascii="Times" w:hAnsi="Times"/>
          <w:sz w:val="24"/>
        </w:rPr>
        <w:t xml:space="preserve">92. </w:t>
      </w:r>
      <w:r w:rsidRPr="00873E6C">
        <w:rPr>
          <w:rFonts w:ascii="Times" w:hAnsi="Times"/>
          <w:sz w:val="24"/>
        </w:rPr>
        <w:tab/>
        <w:t xml:space="preserve">R Core Development Team (2011) R: A language and environment for statistical computing, reference index version 2.12.2. </w:t>
      </w:r>
      <w:r w:rsidRPr="00873E6C">
        <w:rPr>
          <w:rFonts w:ascii="Times" w:hAnsi="Times"/>
          <w:i/>
          <w:iCs/>
          <w:sz w:val="24"/>
        </w:rPr>
        <w:t>R Found Stat Comput Vienna Austria</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93. </w:t>
      </w:r>
      <w:r w:rsidRPr="00873E6C">
        <w:rPr>
          <w:rFonts w:ascii="Times" w:hAnsi="Times"/>
          <w:sz w:val="24"/>
        </w:rPr>
        <w:tab/>
        <w:t>Wickham H, Chang W, Wickham MH (2013) Package ‘ggplot2.’</w:t>
      </w:r>
    </w:p>
    <w:p w:rsidR="00E63E12" w:rsidRPr="00873E6C" w:rsidRDefault="00E63E12" w:rsidP="00E63E12">
      <w:pPr>
        <w:pStyle w:val="Bibliography"/>
        <w:rPr>
          <w:rFonts w:ascii="Times" w:hAnsi="Times"/>
          <w:sz w:val="24"/>
        </w:rPr>
      </w:pPr>
      <w:r w:rsidRPr="00873E6C">
        <w:rPr>
          <w:rFonts w:ascii="Times" w:hAnsi="Times"/>
          <w:sz w:val="24"/>
        </w:rPr>
        <w:t xml:space="preserve">94. </w:t>
      </w:r>
      <w:r w:rsidRPr="00873E6C">
        <w:rPr>
          <w:rFonts w:ascii="Times" w:hAnsi="Times"/>
          <w:sz w:val="24"/>
        </w:rPr>
        <w:tab/>
        <w:t xml:space="preserve">Hlavac M (2014) stargazer: LaTeX code and ASCII text for well-formatted regression and summary statistics tables. </w:t>
      </w:r>
      <w:r w:rsidRPr="00873E6C">
        <w:rPr>
          <w:rFonts w:ascii="Times" w:hAnsi="Times"/>
          <w:i/>
          <w:iCs/>
          <w:sz w:val="24"/>
        </w:rPr>
        <w:t>Vienna Austria R Found Stat Comput</w:t>
      </w:r>
      <w:r w:rsidRPr="00873E6C">
        <w:rPr>
          <w:rFonts w:ascii="Times" w:hAnsi="Times"/>
          <w:sz w:val="24"/>
        </w:rPr>
        <w:t>.</w:t>
      </w:r>
    </w:p>
    <w:p w:rsidR="00E63E12" w:rsidRPr="00873E6C" w:rsidRDefault="00272D04" w:rsidP="00E63E12">
      <w:pPr>
        <w:rPr>
          <w:rFonts w:ascii="Times" w:hAnsi="Times" w:cs="Times New Roman"/>
          <w:b/>
          <w:sz w:val="24"/>
          <w:szCs w:val="24"/>
        </w:rPr>
      </w:pPr>
      <w:r w:rsidRPr="00873E6C">
        <w:rPr>
          <w:rFonts w:ascii="Times" w:hAnsi="Times" w:cs="Times New Roman"/>
          <w:b/>
          <w:sz w:val="24"/>
          <w:szCs w:val="24"/>
        </w:rPr>
        <w:fldChar w:fldCharType="end"/>
      </w: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br w:type="page"/>
        <w:t>Supplementary Information</w:t>
      </w:r>
    </w:p>
    <w:p w:rsidR="00E63E12" w:rsidRPr="00873E6C" w:rsidRDefault="00E63E12" w:rsidP="00E63E12">
      <w:pPr>
        <w:rPr>
          <w:rFonts w:ascii="Times" w:hAnsi="Times" w:cs="Times New Roman"/>
          <w:sz w:val="24"/>
          <w:szCs w:val="24"/>
        </w:rPr>
      </w:pPr>
      <w:r w:rsidRPr="00873E6C">
        <w:rPr>
          <w:rFonts w:ascii="Times" w:hAnsi="Times" w:cs="Times New Roman"/>
          <w:b/>
          <w:sz w:val="24"/>
          <w:szCs w:val="24"/>
        </w:rPr>
        <w:t xml:space="preserve">Table S1. </w:t>
      </w:r>
      <w:proofErr w:type="gramStart"/>
      <w:r w:rsidRPr="00873E6C">
        <w:rPr>
          <w:rFonts w:ascii="Times" w:hAnsi="Times" w:cs="Times New Roman"/>
          <w:b/>
          <w:sz w:val="24"/>
          <w:szCs w:val="24"/>
        </w:rPr>
        <w:t>Comparison of TL across ethnicities.</w:t>
      </w:r>
      <w:proofErr w:type="gramEnd"/>
      <w:r w:rsidRPr="00873E6C">
        <w:rPr>
          <w:rFonts w:ascii="Times" w:hAnsi="Times" w:cs="Times New Roman"/>
          <w:b/>
          <w:sz w:val="24"/>
          <w:szCs w:val="24"/>
        </w:rPr>
        <w:t xml:space="preserve"> </w:t>
      </w:r>
      <w:proofErr w:type="spellStart"/>
      <w:proofErr w:type="gramStart"/>
      <w:r w:rsidRPr="00873E6C">
        <w:rPr>
          <w:rFonts w:ascii="Times" w:hAnsi="Times" w:cs="Times New Roman"/>
          <w:sz w:val="24"/>
          <w:szCs w:val="24"/>
        </w:rPr>
        <w:t>qPCR</w:t>
      </w:r>
      <w:proofErr w:type="spellEnd"/>
      <w:proofErr w:type="gramEnd"/>
      <w:r w:rsidRPr="00873E6C">
        <w:rPr>
          <w:rFonts w:ascii="Times" w:hAnsi="Times" w:cs="Times New Roman"/>
          <w:sz w:val="24"/>
          <w:szCs w:val="24"/>
        </w:rPr>
        <w:t xml:space="preserve"> measured TL does not permit comparisons across populations, but 190 samples from the population for which the samples from this paper come from have had southern blot TL measured (Eisenberg et al. 2015). The average age of this sample is 35.96 (± 15.83, range 21.02-68.33), with an average TL of </w:t>
      </w:r>
      <w:proofErr w:type="gramStart"/>
      <w:r w:rsidRPr="00873E6C">
        <w:rPr>
          <w:rFonts w:ascii="Times" w:hAnsi="Times" w:cs="Times New Roman"/>
          <w:sz w:val="24"/>
          <w:szCs w:val="24"/>
        </w:rPr>
        <w:t>7.86 kb</w:t>
      </w:r>
      <w:proofErr w:type="gramEnd"/>
      <w:r w:rsidRPr="00873E6C">
        <w:rPr>
          <w:rFonts w:ascii="Times" w:hAnsi="Times" w:cs="Times New Roman"/>
          <w:sz w:val="24"/>
          <w:szCs w:val="24"/>
        </w:rPr>
        <w:t xml:space="preserve"> (± 0.76), and an estimated age related decline in TL of 21.98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(95% CI 15.81-28.15). This age related decline is non-significantly less than that found in other populations (African=27.7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African Americans = 25.6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Europeans = 27.3 </w:t>
      </w:r>
      <w:proofErr w:type="spellStart"/>
      <w:r w:rsidRPr="00873E6C">
        <w:rPr>
          <w:rFonts w:ascii="Times" w:hAnsi="Times" w:cs="Times New Roman"/>
          <w:sz w:val="24"/>
          <w:szCs w:val="24"/>
        </w:rPr>
        <w:t>bp</w:t>
      </w:r>
      <w:proofErr w:type="spellEnd"/>
      <w:r w:rsidRPr="00873E6C">
        <w:rPr>
          <w:rFonts w:ascii="Times" w:hAnsi="Times" w:cs="Times New Roman"/>
          <w:sz w:val="24"/>
          <w:szCs w:val="24"/>
        </w:rPr>
        <w:t>/year) (Hansen et al. 2016). These three populations from Hansen et al. (2016) have an average age of 43.25. Adjusting the Cebu population TL for the 7.29 years younger they are by assuming the observed 21</w:t>
      </w:r>
      <w:proofErr w:type="gramStart"/>
      <w:r w:rsidRPr="00873E6C">
        <w:rPr>
          <w:rFonts w:ascii="Times" w:hAnsi="Times" w:cs="Times New Roman"/>
          <w:sz w:val="24"/>
          <w:szCs w:val="24"/>
        </w:rPr>
        <w:t xml:space="preserve">.98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w:t>
      </w:r>
      <w:proofErr w:type="gramEnd"/>
      <w:r w:rsidRPr="00873E6C">
        <w:rPr>
          <w:rFonts w:ascii="Times" w:hAnsi="Times" w:cs="Times New Roman"/>
          <w:sz w:val="24"/>
          <w:szCs w:val="24"/>
        </w:rPr>
        <w:t>year attrition rates yields an interpolated TL of 7.70 kb if the mean age was 43.25, the same as the samples in Hansen et al. (2016). This suggests that the TL in Cebu is longer than that of European and African Americans, but slightly shorter than that of Africans (Table S1).</w:t>
      </w:r>
    </w:p>
    <w:p w:rsidR="00E63E12" w:rsidRPr="00873E6C" w:rsidRDefault="00E63E12" w:rsidP="00E63E12">
      <w:pPr>
        <w:rPr>
          <w:rFonts w:ascii="Times" w:hAnsi="Times" w:cs="Times New Roman"/>
          <w:sz w:val="20"/>
          <w:szCs w:val="24"/>
        </w:rPr>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2718"/>
        <w:gridCol w:w="2092"/>
        <w:gridCol w:w="2092"/>
        <w:gridCol w:w="2093"/>
      </w:tblGrid>
      <w:tr w:rsidR="00E63E12" w:rsidRPr="00873E6C">
        <w:tc>
          <w:tcPr>
            <w:tcW w:w="2718" w:type="dxa"/>
            <w:tcBorders>
              <w:top w:val="double" w:sz="4" w:space="0" w:color="auto"/>
              <w:bottom w:val="single" w:sz="4" w:space="0" w:color="auto"/>
            </w:tcBorders>
            <w:shd w:val="clear" w:color="auto" w:fill="auto"/>
          </w:tcPr>
          <w:p w:rsidR="00E63E12" w:rsidRPr="00873E6C" w:rsidRDefault="00E63E12" w:rsidP="00DE79F2">
            <w:pPr>
              <w:rPr>
                <w:rFonts w:ascii="Times" w:hAnsi="Times" w:cs="Times New Roman"/>
                <w:b/>
                <w:sz w:val="20"/>
                <w:szCs w:val="24"/>
              </w:rPr>
            </w:pPr>
            <w:r w:rsidRPr="00873E6C">
              <w:rPr>
                <w:rFonts w:ascii="Times" w:hAnsi="Times" w:cs="Times New Roman"/>
                <w:b/>
                <w:sz w:val="20"/>
                <w:szCs w:val="24"/>
              </w:rPr>
              <w:t>Ethnicity (N)</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 Female</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Age (years)</w:t>
            </w:r>
          </w:p>
        </w:tc>
        <w:tc>
          <w:tcPr>
            <w:tcW w:w="2093"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LTL (kb)</w:t>
            </w:r>
          </w:p>
        </w:tc>
      </w:tr>
      <w:tr w:rsidR="00E63E12" w:rsidRPr="00873E6C">
        <w:tc>
          <w:tcPr>
            <w:tcW w:w="2718" w:type="dxa"/>
            <w:tcBorders>
              <w:top w:val="single" w:sz="4" w:space="0" w:color="auto"/>
            </w:tcBorders>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Europeans (90)*</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63.3</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43.9 (18-78)</w:t>
            </w:r>
          </w:p>
        </w:tc>
        <w:tc>
          <w:tcPr>
            <w:tcW w:w="2093"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7.21 (5.39-9.42)</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 Americans (97)*</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67.1</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42.9 (21-79)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7.45 (5.55-9.16)</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Africans (100)*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68.0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43.0 (18-79)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7.85 (5.64-10.13)</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Cebu, Philippines (190)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50.3</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43.3~</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7.70 (6.10-9.21)</w:t>
            </w:r>
          </w:p>
        </w:tc>
      </w:tr>
    </w:tbl>
    <w:p w:rsidR="00E63E12" w:rsidRPr="00873E6C" w:rsidRDefault="00E63E12" w:rsidP="00E63E12">
      <w:pPr>
        <w:spacing w:after="0"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from</w:t>
      </w:r>
      <w:proofErr w:type="gramEnd"/>
      <w:r w:rsidRPr="00873E6C">
        <w:rPr>
          <w:rFonts w:ascii="Times" w:hAnsi="Times" w:cs="Times New Roman"/>
          <w:sz w:val="20"/>
          <w:szCs w:val="24"/>
        </w:rPr>
        <w:t xml:space="preserve"> </w:t>
      </w:r>
      <w:r w:rsidRPr="00873E6C">
        <w:rPr>
          <w:rFonts w:ascii="Times" w:hAnsi="Times"/>
          <w:sz w:val="20"/>
          <w:szCs w:val="20"/>
        </w:rPr>
        <w:t xml:space="preserve">Hansen MEB, et al. (2016) Shorter telomere length in Europeans than in Africans due to polygenetic adaptation. </w:t>
      </w:r>
      <w:proofErr w:type="gramStart"/>
      <w:r w:rsidRPr="00873E6C">
        <w:rPr>
          <w:rFonts w:ascii="Times" w:hAnsi="Times"/>
          <w:i/>
          <w:sz w:val="20"/>
          <w:szCs w:val="20"/>
        </w:rPr>
        <w:t>Human Molecular Genetics</w:t>
      </w:r>
      <w:r w:rsidRPr="00873E6C">
        <w:rPr>
          <w:rFonts w:ascii="Times" w:hAnsi="Times"/>
          <w:sz w:val="20"/>
          <w:szCs w:val="20"/>
        </w:rPr>
        <w:t>.</w:t>
      </w:r>
      <w:proofErr w:type="gramEnd"/>
    </w:p>
    <w:p w:rsidR="00E63E12" w:rsidRPr="00873E6C" w:rsidRDefault="00E63E12" w:rsidP="00E63E12">
      <w:pPr>
        <w:spacing w:after="0" w:line="240" w:lineRule="auto"/>
        <w:rPr>
          <w:rFonts w:ascii="Times" w:hAnsi="Times"/>
          <w:sz w:val="20"/>
          <w:szCs w:val="20"/>
        </w:rPr>
      </w:pPr>
      <w:r w:rsidRPr="00873E6C">
        <w:rPr>
          <w:rFonts w:ascii="Times" w:hAnsi="Times"/>
          <w:sz w:val="20"/>
          <w:szCs w:val="20"/>
        </w:rPr>
        <w:t>†</w:t>
      </w:r>
      <w:proofErr w:type="gramStart"/>
      <w:r w:rsidRPr="00873E6C">
        <w:rPr>
          <w:rFonts w:ascii="Times" w:hAnsi="Times"/>
          <w:sz w:val="20"/>
          <w:szCs w:val="20"/>
        </w:rPr>
        <w:t>from</w:t>
      </w:r>
      <w:proofErr w:type="gramEnd"/>
      <w:r w:rsidRPr="00873E6C">
        <w:rPr>
          <w:rFonts w:ascii="Times" w:hAnsi="Times"/>
          <w:sz w:val="20"/>
          <w:szCs w:val="20"/>
        </w:rPr>
        <w:t xml:space="preserve"> Eisenberg DT, </w:t>
      </w:r>
      <w:proofErr w:type="spellStart"/>
      <w:r w:rsidRPr="00873E6C">
        <w:rPr>
          <w:rFonts w:ascii="Times" w:hAnsi="Times"/>
          <w:sz w:val="20"/>
          <w:szCs w:val="20"/>
        </w:rPr>
        <w:t>Kuzawa</w:t>
      </w:r>
      <w:proofErr w:type="spellEnd"/>
      <w:r w:rsidRPr="00873E6C">
        <w:rPr>
          <w:rFonts w:ascii="Times" w:hAnsi="Times"/>
          <w:sz w:val="20"/>
          <w:szCs w:val="20"/>
        </w:rPr>
        <w:t xml:space="preserve"> CW, Hayes MG (2015) Improving </w:t>
      </w:r>
      <w:proofErr w:type="spellStart"/>
      <w:r w:rsidRPr="00873E6C">
        <w:rPr>
          <w:rFonts w:ascii="Times" w:hAnsi="Times"/>
          <w:sz w:val="20"/>
          <w:szCs w:val="20"/>
        </w:rPr>
        <w:t>qPCR</w:t>
      </w:r>
      <w:proofErr w:type="spellEnd"/>
      <w:r w:rsidRPr="00873E6C">
        <w:rPr>
          <w:rFonts w:ascii="Times" w:hAnsi="Times"/>
          <w:sz w:val="20"/>
          <w:szCs w:val="20"/>
        </w:rPr>
        <w:t xml:space="preserve"> telomere length assays: Controlling for well position effects increases statistical power. </w:t>
      </w:r>
      <w:r w:rsidRPr="00873E6C">
        <w:rPr>
          <w:rFonts w:ascii="Times" w:hAnsi="Times"/>
          <w:i/>
          <w:sz w:val="20"/>
          <w:szCs w:val="20"/>
        </w:rPr>
        <w:t xml:space="preserve">Am J Hum </w:t>
      </w:r>
      <w:proofErr w:type="spellStart"/>
      <w:r w:rsidRPr="00873E6C">
        <w:rPr>
          <w:rFonts w:ascii="Times" w:hAnsi="Times"/>
          <w:i/>
          <w:sz w:val="20"/>
          <w:szCs w:val="20"/>
        </w:rPr>
        <w:t>Biol</w:t>
      </w:r>
      <w:proofErr w:type="spellEnd"/>
      <w:r w:rsidRPr="00873E6C">
        <w:rPr>
          <w:rFonts w:ascii="Times" w:hAnsi="Times"/>
          <w:sz w:val="20"/>
          <w:szCs w:val="20"/>
        </w:rPr>
        <w:t xml:space="preserve"> 27(4)</w:t>
      </w:r>
      <w:proofErr w:type="gramStart"/>
      <w:r w:rsidRPr="00873E6C">
        <w:rPr>
          <w:rFonts w:ascii="Times" w:hAnsi="Times"/>
          <w:sz w:val="20"/>
          <w:szCs w:val="20"/>
        </w:rPr>
        <w:t>:570</w:t>
      </w:r>
      <w:proofErr w:type="gramEnd"/>
      <w:r w:rsidRPr="00873E6C">
        <w:rPr>
          <w:rFonts w:ascii="Times" w:hAnsi="Times"/>
          <w:sz w:val="20"/>
          <w:szCs w:val="20"/>
        </w:rPr>
        <w:t xml:space="preserve">–5. </w:t>
      </w:r>
    </w:p>
    <w:p w:rsidR="00E63E12" w:rsidRPr="00873E6C" w:rsidRDefault="00E63E12" w:rsidP="00E63E12">
      <w:pPr>
        <w:spacing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interpolated</w:t>
      </w:r>
      <w:proofErr w:type="gramEnd"/>
      <w:r w:rsidRPr="00873E6C">
        <w:rPr>
          <w:rFonts w:ascii="Times" w:hAnsi="Times" w:cs="Times New Roman"/>
          <w:sz w:val="20"/>
          <w:szCs w:val="24"/>
        </w:rPr>
        <w:t xml:space="preserve"> to match mean age of other populations - see above text</w:t>
      </w:r>
    </w:p>
    <w:p w:rsidR="00E63E12" w:rsidRPr="00873E6C" w:rsidRDefault="00E63E12" w:rsidP="00E63E12">
      <w:pPr>
        <w:spacing w:after="0"/>
        <w:rPr>
          <w:rFonts w:ascii="Times" w:hAnsi="Times" w:cs="Times New Roman"/>
          <w:b/>
          <w:sz w:val="24"/>
          <w:szCs w:val="24"/>
        </w:rPr>
      </w:pPr>
      <w:r w:rsidRPr="00873E6C">
        <w:rPr>
          <w:rFonts w:ascii="Times" w:hAnsi="Times" w:cs="Times New Roman"/>
          <w:b/>
          <w:sz w:val="24"/>
          <w:szCs w:val="24"/>
        </w:rPr>
        <w:br w:type="page"/>
        <w:t>Table S2. Full model estimates for parity and telomere length and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among young women in the Philippines.</w:t>
      </w:r>
    </w:p>
    <w:tbl>
      <w:tblPr>
        <w:tblW w:w="9810" w:type="dxa"/>
        <w:tblCellSpacing w:w="15" w:type="dxa"/>
        <w:tblLayout w:type="fixed"/>
        <w:tblCellMar>
          <w:top w:w="15" w:type="dxa"/>
          <w:left w:w="15" w:type="dxa"/>
          <w:bottom w:w="15" w:type="dxa"/>
          <w:right w:w="15" w:type="dxa"/>
        </w:tblCellMar>
        <w:tblLook w:val="0000"/>
      </w:tblPr>
      <w:tblGrid>
        <w:gridCol w:w="2475"/>
        <w:gridCol w:w="916"/>
        <w:gridCol w:w="917"/>
        <w:gridCol w:w="917"/>
        <w:gridCol w:w="917"/>
        <w:gridCol w:w="917"/>
        <w:gridCol w:w="917"/>
        <w:gridCol w:w="917"/>
        <w:gridCol w:w="917"/>
      </w:tblGrid>
      <w:tr w:rsidR="00E63E12" w:rsidRPr="00873E6C">
        <w:trPr>
          <w:trHeight w:hRule="exact" w:val="288"/>
          <w:tblHeader/>
          <w:tblCellSpacing w:w="15" w:type="dxa"/>
        </w:trPr>
        <w:tc>
          <w:tcPr>
            <w:tcW w:w="2430" w:type="dxa"/>
            <w:tcBorders>
              <w:top w:val="double" w:sz="4" w:space="0" w:color="auto"/>
            </w:tcBorders>
            <w:shd w:val="clear" w:color="auto" w:fill="auto"/>
            <w:vAlign w:val="center"/>
          </w:tcPr>
          <w:p w:rsidR="00E63E12" w:rsidRPr="00873E6C" w:rsidRDefault="00E63E12" w:rsidP="00EF6829">
            <w:pPr>
              <w:rPr>
                <w:rFonts w:ascii="Times" w:hAnsi="Times"/>
                <w:sz w:val="20"/>
                <w:szCs w:val="20"/>
              </w:rPr>
            </w:pPr>
          </w:p>
        </w:tc>
        <w:tc>
          <w:tcPr>
            <w:tcW w:w="3637"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r w:rsidRPr="00873E6C">
              <w:rPr>
                <w:rFonts w:ascii="Times" w:hAnsi="Times"/>
                <w:b/>
                <w:sz w:val="20"/>
                <w:szCs w:val="20"/>
              </w:rPr>
              <w:t>Telomere Length~</w:t>
            </w:r>
          </w:p>
        </w:tc>
        <w:tc>
          <w:tcPr>
            <w:tcW w:w="3623"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proofErr w:type="spellStart"/>
            <w:r w:rsidRPr="00873E6C">
              <w:rPr>
                <w:rFonts w:ascii="Times" w:hAnsi="Times"/>
                <w:b/>
                <w:sz w:val="20"/>
                <w:szCs w:val="20"/>
              </w:rPr>
              <w:t>DNAmAge</w:t>
            </w:r>
            <w:proofErr w:type="spellEnd"/>
            <w:r w:rsidRPr="00873E6C">
              <w:rPr>
                <w:rFonts w:ascii="Times" w:hAnsi="Times"/>
                <w:b/>
                <w:sz w:val="20"/>
                <w:szCs w:val="20"/>
              </w:rPr>
              <w:t>~</w:t>
            </w:r>
          </w:p>
        </w:tc>
      </w:tr>
      <w:tr w:rsidR="00E63E12" w:rsidRPr="00873E6C">
        <w:trPr>
          <w:trHeight w:hRule="exact" w:val="259"/>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(6)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(7)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Age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0.667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0.629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0.293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0.363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0.011</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0.007</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-11.623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PC2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-0.155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-0.144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5.098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4.679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4.207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0.494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0.540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PC3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8.510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9.075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8.853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0.955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0.992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0.972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PC4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11.991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11.495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11.551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0.917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0.949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0.078</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PC5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-0.244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-14.441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PC6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-0.304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-3.125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-3.748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0.637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0.574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PC7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-0.529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18.513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19.744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20.019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0.005</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PC8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3.987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3.796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3.691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0.061</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0.534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0.552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PC9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-0.457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-0.476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-1.730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-1.521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-1.534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PC10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0.559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-2.701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-1.672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0.690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0.769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0.804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-0.190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-0.271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0.395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0.146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0.123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0.075</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Urbanicity</w:t>
            </w:r>
            <w:proofErr w:type="spellEnd"/>
            <w:r w:rsidRPr="00873E6C">
              <w:rPr>
                <w:rFonts w:ascii="Times" w:hAnsi="Times"/>
                <w:b/>
                <w:sz w:val="18"/>
                <w:szCs w:val="20"/>
              </w:rPr>
              <w:t xml:space="preserve">-score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0.260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Currently Pregnancy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-1.223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0.018</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0.019</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0.354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0.365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Intercept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1.303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14.818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10.319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11.177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11.422 </w:t>
            </w:r>
          </w:p>
        </w:tc>
      </w:tr>
      <w:tr w:rsidR="00E63E12" w:rsidRPr="00873E6C">
        <w:trPr>
          <w:trHeight w:hRule="exact" w:val="432"/>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0.138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0.318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0.276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0.266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Observations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0.075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Adjusted 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0.052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Residual Std. Error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0.161 (</w:t>
            </w:r>
            <w:proofErr w:type="spellStart"/>
            <w:r w:rsidRPr="00873E6C">
              <w:rPr>
                <w:rFonts w:ascii="Times" w:hAnsi="Times"/>
                <w:sz w:val="18"/>
                <w:szCs w:val="20"/>
              </w:rPr>
              <w:t>df</w:t>
            </w:r>
            <w:proofErr w:type="spellEnd"/>
            <w:r w:rsidRPr="00873E6C">
              <w:rPr>
                <w:rFonts w:ascii="Times" w:hAnsi="Times"/>
                <w:sz w:val="18"/>
                <w:szCs w:val="20"/>
              </w:rPr>
              <w:t xml:space="preserve"> = 821)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3.165 (</w:t>
            </w:r>
            <w:proofErr w:type="spellStart"/>
            <w:r w:rsidRPr="00873E6C">
              <w:rPr>
                <w:rFonts w:ascii="Times" w:hAnsi="Times"/>
                <w:sz w:val="18"/>
                <w:szCs w:val="20"/>
              </w:rPr>
              <w:t>df</w:t>
            </w:r>
            <w:proofErr w:type="spellEnd"/>
            <w:r w:rsidRPr="00873E6C">
              <w:rPr>
                <w:rFonts w:ascii="Times" w:hAnsi="Times"/>
                <w:sz w:val="18"/>
                <w:szCs w:val="20"/>
              </w:rPr>
              <w:t xml:space="preserve"> = 394)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3.117 (</w:t>
            </w:r>
            <w:proofErr w:type="spellStart"/>
            <w:r w:rsidRPr="00873E6C">
              <w:rPr>
                <w:rFonts w:ascii="Times" w:hAnsi="Times"/>
                <w:sz w:val="18"/>
                <w:szCs w:val="20"/>
              </w:rPr>
              <w:t>df</w:t>
            </w:r>
            <w:proofErr w:type="spellEnd"/>
            <w:r w:rsidRPr="00873E6C">
              <w:rPr>
                <w:rFonts w:ascii="Times" w:hAnsi="Times"/>
                <w:sz w:val="18"/>
                <w:szCs w:val="20"/>
              </w:rPr>
              <w:t xml:space="preserve"> = 382)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380) </w:t>
            </w:r>
          </w:p>
        </w:tc>
      </w:tr>
      <w:tr w:rsidR="00E63E12" w:rsidRPr="00873E6C">
        <w:trPr>
          <w:trHeight w:hRule="exact" w:val="432"/>
          <w:tblCellSpacing w:w="15" w:type="dxa"/>
        </w:trPr>
        <w:tc>
          <w:tcPr>
            <w:tcW w:w="2430" w:type="dxa"/>
            <w:tcBorders>
              <w:bottom w:val="double" w:sz="4" w:space="0" w:color="auto"/>
            </w:tcBorders>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F Statistic </w:t>
            </w:r>
          </w:p>
        </w:tc>
        <w:tc>
          <w:tcPr>
            <w:tcW w:w="886"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7.089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821)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5.007</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809)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4.892</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808)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4.639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807)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3.220</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394)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2.214</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382)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2.475</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381) </w:t>
            </w:r>
          </w:p>
        </w:tc>
        <w:tc>
          <w:tcPr>
            <w:tcW w:w="872"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2.371</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380) </w:t>
            </w:r>
          </w:p>
        </w:tc>
      </w:tr>
    </w:tbl>
    <w:p w:rsidR="00E63E12" w:rsidRPr="00873E6C" w:rsidRDefault="00E63E12" w:rsidP="00E63E12">
      <w:pPr>
        <w:spacing w:after="0"/>
        <w:rPr>
          <w:rFonts w:ascii="Times" w:hAnsi="Times" w:cs="Times New Roman"/>
          <w:sz w:val="24"/>
          <w:szCs w:val="24"/>
        </w:rPr>
      </w:pPr>
      <w:r w:rsidRPr="00873E6C">
        <w:rPr>
          <w:rFonts w:ascii="Times" w:hAnsi="Times"/>
        </w:rPr>
        <w:br w:type="page"/>
      </w:r>
      <w:r w:rsidRPr="00873E6C">
        <w:rPr>
          <w:rFonts w:ascii="Times" w:hAnsi="Times" w:cs="Times New Roman"/>
          <w:b/>
          <w:sz w:val="24"/>
          <w:szCs w:val="24"/>
        </w:rPr>
        <w:t xml:space="preserve">Table S3. </w:t>
      </w:r>
      <w:proofErr w:type="gramStart"/>
      <w:r w:rsidRPr="00873E6C">
        <w:rPr>
          <w:rFonts w:ascii="Times" w:hAnsi="Times" w:cs="Times New Roman"/>
          <w:b/>
          <w:sz w:val="24"/>
          <w:szCs w:val="24"/>
        </w:rPr>
        <w:t>Predictive effect of Telomere Length (TL) or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on parity over the subsequent 4 years in young women in the Philippines.</w:t>
      </w:r>
      <w:proofErr w:type="gramEnd"/>
      <w:r w:rsidRPr="00873E6C">
        <w:rPr>
          <w:rFonts w:ascii="Times" w:hAnsi="Times" w:cs="Times New Roman"/>
          <w:b/>
          <w:sz w:val="24"/>
          <w:szCs w:val="24"/>
        </w:rPr>
        <w:t xml:space="preserve"> </w:t>
      </w:r>
      <w:r w:rsidRPr="00873E6C">
        <w:rPr>
          <w:rFonts w:ascii="Times" w:hAnsi="Times" w:cs="Times New Roman"/>
          <w:sz w:val="24"/>
          <w:szCs w:val="24"/>
        </w:rPr>
        <w:t xml:space="preserve">Models derived from Poisson generalized linear regression meeting assumptions of </w:t>
      </w:r>
      <w:proofErr w:type="spellStart"/>
      <w:r w:rsidRPr="00873E6C">
        <w:rPr>
          <w:rFonts w:ascii="Times" w:hAnsi="Times" w:cs="Times New Roman"/>
          <w:sz w:val="24"/>
          <w:szCs w:val="24"/>
        </w:rPr>
        <w:t>equidispersion</w:t>
      </w:r>
      <w:proofErr w:type="spellEnd"/>
      <w:r w:rsidRPr="00873E6C">
        <w:rPr>
          <w:rFonts w:ascii="Times" w:hAnsi="Times" w:cs="Times New Roman"/>
          <w:sz w:val="24"/>
          <w:szCs w:val="24"/>
        </w:rPr>
        <w:t xml:space="preserve">. </w:t>
      </w:r>
    </w:p>
    <w:tbl>
      <w:tblPr>
        <w:tblW w:w="0" w:type="auto"/>
        <w:tblCellSpacing w:w="15" w:type="dxa"/>
        <w:tblLayout w:type="fixed"/>
        <w:tblCellMar>
          <w:top w:w="15" w:type="dxa"/>
          <w:left w:w="15" w:type="dxa"/>
          <w:bottom w:w="15" w:type="dxa"/>
          <w:right w:w="15" w:type="dxa"/>
        </w:tblCellMar>
        <w:tblLook w:val="0000"/>
      </w:tblPr>
      <w:tblGrid>
        <w:gridCol w:w="3615"/>
        <w:gridCol w:w="1226"/>
        <w:gridCol w:w="1227"/>
        <w:gridCol w:w="1227"/>
        <w:gridCol w:w="1227"/>
      </w:tblGrid>
      <w:tr w:rsidR="00E63E12" w:rsidRPr="00873E6C">
        <w:trPr>
          <w:trHeight w:hRule="exact" w:val="266"/>
          <w:tblCellSpacing w:w="15" w:type="dxa"/>
        </w:trPr>
        <w:tc>
          <w:tcPr>
            <w:tcW w:w="3570" w:type="dxa"/>
            <w:tcBorders>
              <w:top w:val="double" w:sz="4" w:space="0" w:color="auto"/>
            </w:tcBorders>
            <w:shd w:val="clear" w:color="auto" w:fill="auto"/>
            <w:vAlign w:val="center"/>
          </w:tcPr>
          <w:p w:rsidR="00E63E12" w:rsidRPr="00873E6C" w:rsidRDefault="00E63E12" w:rsidP="00FF5E24">
            <w:pPr>
              <w:rPr>
                <w:rFonts w:ascii="Times" w:hAnsi="Times"/>
                <w:sz w:val="20"/>
                <w:szCs w:val="20"/>
              </w:rPr>
            </w:pPr>
          </w:p>
        </w:tc>
        <w:tc>
          <w:tcPr>
            <w:tcW w:w="4862" w:type="dxa"/>
            <w:gridSpan w:val="4"/>
            <w:tcBorders>
              <w:top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Parity 2005-2009</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2423"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Age Adjusted TL~</w:t>
            </w:r>
          </w:p>
        </w:tc>
        <w:tc>
          <w:tcPr>
            <w:tcW w:w="2409"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 xml:space="preserve">Age Adjusted </w:t>
            </w:r>
            <w:proofErr w:type="spellStart"/>
            <w:r w:rsidRPr="00873E6C">
              <w:rPr>
                <w:rFonts w:ascii="Times" w:hAnsi="Times"/>
                <w:b/>
                <w:sz w:val="20"/>
                <w:szCs w:val="20"/>
              </w:rPr>
              <w:t>DNAmAge</w:t>
            </w:r>
            <w:proofErr w:type="spellEnd"/>
            <w:r w:rsidRPr="00873E6C">
              <w:rPr>
                <w:rFonts w:ascii="Times" w:hAnsi="Times"/>
                <w:sz w:val="20"/>
                <w:szCs w:val="20"/>
              </w:rPr>
              <w:t>~</w:t>
            </w:r>
          </w:p>
        </w:tc>
      </w:tr>
      <w:tr w:rsidR="00E63E12" w:rsidRPr="00873E6C">
        <w:trPr>
          <w:trHeight w:hRule="exact" w:val="266"/>
          <w:tblCellSpacing w:w="15" w:type="dxa"/>
        </w:trPr>
        <w:tc>
          <w:tcPr>
            <w:tcW w:w="3570" w:type="dxa"/>
            <w:tcBorders>
              <w:bottom w:val="single" w:sz="4" w:space="0" w:color="auto"/>
            </w:tcBorders>
            <w:shd w:val="clear" w:color="auto" w:fill="auto"/>
            <w:vAlign w:val="center"/>
          </w:tcPr>
          <w:p w:rsidR="00E63E12" w:rsidRPr="00873E6C" w:rsidRDefault="00E63E12" w:rsidP="00FF5E24">
            <w:pPr>
              <w:rPr>
                <w:rFonts w:ascii="Times" w:hAnsi="Times"/>
                <w:sz w:val="20"/>
                <w:szCs w:val="20"/>
              </w:rPr>
            </w:pPr>
          </w:p>
        </w:tc>
        <w:tc>
          <w:tcPr>
            <w:tcW w:w="1196"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(2)</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w:t>
            </w:r>
          </w:p>
        </w:tc>
        <w:tc>
          <w:tcPr>
            <w:tcW w:w="1182"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Measurement time </w:t>
            </w:r>
            <w:proofErr w:type="spellStart"/>
            <w:r w:rsidRPr="00873E6C">
              <w:rPr>
                <w:rFonts w:ascii="Times" w:hAnsi="Times"/>
                <w:sz w:val="20"/>
                <w:szCs w:val="20"/>
              </w:rPr>
              <w:t>bt</w:t>
            </w:r>
            <w:proofErr w:type="spellEnd"/>
            <w:r w:rsidRPr="00873E6C">
              <w:rPr>
                <w:rFonts w:ascii="Times" w:hAnsi="Times"/>
                <w:sz w:val="20"/>
                <w:szCs w:val="20"/>
              </w:rPr>
              <w:t>. 2005-2009 (Days)</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0.004</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0.009</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0.058</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0.068</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Parity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0.252</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0.123</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0.000</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0.016</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Age Adjusted Telomere Length in 2005</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0.059</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0.148</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0.835</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0.601</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Age Adjusted </w:t>
            </w:r>
            <w:proofErr w:type="spellStart"/>
            <w:r w:rsidRPr="00873E6C">
              <w:rPr>
                <w:rFonts w:ascii="Times" w:hAnsi="Times"/>
                <w:sz w:val="20"/>
                <w:szCs w:val="20"/>
              </w:rPr>
              <w:t>DNAmAge</w:t>
            </w:r>
            <w:proofErr w:type="spellEnd"/>
            <w:r w:rsidRPr="00873E6C">
              <w:rPr>
                <w:rFonts w:ascii="Times" w:hAnsi="Times"/>
                <w:sz w:val="20"/>
                <w:szCs w:val="20"/>
              </w:rPr>
              <w:t xml:space="preserve">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-0.011</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0.483</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0.325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Intercept</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4.457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3.777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3.460</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3.265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0.006</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0.022</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0.062</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0.082</w:t>
            </w:r>
            <w:r w:rsidRPr="00873E6C">
              <w:rPr>
                <w:rFonts w:ascii="Times" w:hAnsi="Times"/>
                <w:sz w:val="20"/>
                <w:szCs w:val="20"/>
                <w:vertAlign w:val="superscript"/>
              </w:rPr>
              <w:t>+</w:t>
            </w:r>
          </w:p>
        </w:tc>
      </w:tr>
      <w:tr w:rsidR="00E63E12" w:rsidRPr="00873E6C">
        <w:trPr>
          <w:trHeight w:hRule="exact" w:val="266"/>
          <w:tblCellSpacing w:w="15" w:type="dxa"/>
        </w:trPr>
        <w:tc>
          <w:tcPr>
            <w:tcW w:w="3570" w:type="dxa"/>
            <w:tcBorders>
              <w:top w:val="single" w:sz="4" w:space="0" w:color="auto"/>
            </w:tcBorders>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Observations</w:t>
            </w:r>
          </w:p>
        </w:tc>
        <w:tc>
          <w:tcPr>
            <w:tcW w:w="1196"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c>
          <w:tcPr>
            <w:tcW w:w="1182"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Log Likelihood</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-836.740</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-818.205</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-485.276</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-482.433</w:t>
            </w:r>
          </w:p>
        </w:tc>
      </w:tr>
      <w:tr w:rsidR="00E63E12" w:rsidRPr="00873E6C">
        <w:trPr>
          <w:trHeight w:hRule="exact" w:val="266"/>
          <w:tblCellSpacing w:w="15" w:type="dxa"/>
        </w:trPr>
        <w:tc>
          <w:tcPr>
            <w:tcW w:w="3570" w:type="dxa"/>
            <w:tcBorders>
              <w:bottom w:val="double" w:sz="4" w:space="0" w:color="auto"/>
            </w:tcBorders>
            <w:shd w:val="clear" w:color="auto" w:fill="auto"/>
            <w:vAlign w:val="center"/>
          </w:tcPr>
          <w:p w:rsidR="00E63E12" w:rsidRPr="00873E6C" w:rsidRDefault="00E63E12" w:rsidP="00FF5E24">
            <w:pPr>
              <w:rPr>
                <w:rFonts w:ascii="Times" w:hAnsi="Times"/>
                <w:sz w:val="20"/>
                <w:szCs w:val="20"/>
              </w:rPr>
            </w:pPr>
            <w:proofErr w:type="spellStart"/>
            <w:r w:rsidRPr="00873E6C">
              <w:rPr>
                <w:rFonts w:ascii="Times" w:hAnsi="Times"/>
                <w:sz w:val="20"/>
                <w:szCs w:val="20"/>
              </w:rPr>
              <w:t>Akaike</w:t>
            </w:r>
            <w:proofErr w:type="spellEnd"/>
            <w:r w:rsidRPr="00873E6C">
              <w:rPr>
                <w:rFonts w:ascii="Times" w:hAnsi="Times"/>
                <w:sz w:val="20"/>
                <w:szCs w:val="20"/>
              </w:rPr>
              <w:t xml:space="preserve"> Inf. Crit.</w:t>
            </w:r>
          </w:p>
        </w:tc>
        <w:tc>
          <w:tcPr>
            <w:tcW w:w="1196"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1,679.481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1,644.411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976.552</w:t>
            </w:r>
          </w:p>
        </w:tc>
        <w:tc>
          <w:tcPr>
            <w:tcW w:w="1182"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972.866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i/>
                <w:sz w:val="20"/>
                <w:szCs w:val="20"/>
              </w:rPr>
              <w:t>Note:</w:t>
            </w:r>
          </w:p>
        </w:tc>
        <w:tc>
          <w:tcPr>
            <w:tcW w:w="4862" w:type="dxa"/>
            <w:gridSpan w:val="4"/>
            <w:shd w:val="clear" w:color="auto" w:fill="auto"/>
            <w:vAlign w:val="center"/>
          </w:tcPr>
          <w:p w:rsidR="00E63E12" w:rsidRPr="00873E6C" w:rsidRDefault="00E63E12" w:rsidP="00FF5E24">
            <w:pPr>
              <w:jc w:val="right"/>
              <w:rPr>
                <w:rFonts w:ascii="Times" w:hAnsi="Times"/>
                <w:sz w:val="20"/>
                <w:szCs w:val="20"/>
              </w:rPr>
            </w:pPr>
            <w:r w:rsidRPr="00873E6C">
              <w:rPr>
                <w:rFonts w:ascii="Times" w:hAnsi="Times"/>
                <w:sz w:val="20"/>
                <w:szCs w:val="20"/>
              </w:rPr>
              <w:t>+</w:t>
            </w:r>
            <w:proofErr w:type="gramStart"/>
            <w:r w:rsidRPr="00873E6C">
              <w:rPr>
                <w:rFonts w:ascii="Times" w:hAnsi="Times"/>
                <w:sz w:val="20"/>
                <w:szCs w:val="20"/>
              </w:rPr>
              <w:t>p</w:t>
            </w:r>
            <w:proofErr w:type="gramEnd"/>
            <w:r w:rsidRPr="00873E6C">
              <w:rPr>
                <w:rFonts w:ascii="Times" w:hAnsi="Times"/>
                <w:sz w:val="20"/>
                <w:szCs w:val="20"/>
              </w:rPr>
              <w:t>&lt;0.1;*p&lt;0.05;**p&lt;0.01;***p&lt;0.001</w:t>
            </w:r>
          </w:p>
        </w:tc>
      </w:tr>
    </w:tbl>
    <w:p w:rsidR="00E63E12" w:rsidRPr="00873E6C" w:rsidRDefault="00E63E12" w:rsidP="00E63E12">
      <w:pPr>
        <w:rPr>
          <w:rFonts w:ascii="Times" w:hAnsi="Times" w:cs="Times New Roman"/>
          <w:b/>
          <w:sz w:val="24"/>
          <w:szCs w:val="24"/>
        </w:rPr>
      </w:pPr>
    </w:p>
    <w:p w:rsidR="00983176" w:rsidRPr="00873E6C" w:rsidRDefault="00983176" w:rsidP="00B34F0E">
      <w:pPr>
        <w:rPr>
          <w:rFonts w:ascii="Times" w:hAnsi="Times" w:cs="Times New Roman"/>
          <w:b/>
          <w:sz w:val="24"/>
          <w:szCs w:val="24"/>
        </w:rPr>
      </w:pPr>
    </w:p>
    <w:sectPr w:rsidR="00983176" w:rsidRPr="00873E6C" w:rsidSect="008B2188">
      <w:footerReference w:type="default" r:id="rId15"/>
      <w:pgSz w:w="12240" w:h="15840"/>
      <w:pgMar w:top="1440" w:right="1440" w:bottom="1440" w:left="1440" w:gutter="0"/>
      <w:lnNumType w:countBy="1"/>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 w:author="CPR" w:date="2018-03-08T20:22:00Z" w:initials="C">
    <w:p w:rsidR="002071E9" w:rsidRDefault="002071E9" w:rsidP="00E63E12">
      <w:pPr>
        <w:pStyle w:val="CommentText"/>
      </w:pPr>
      <w:r>
        <w:rPr>
          <w:rStyle w:val="CommentReference"/>
        </w:rPr>
        <w:annotationRef/>
      </w:r>
      <w:r>
        <w:t xml:space="preserve">Individuals missing </w:t>
      </w:r>
      <w:proofErr w:type="spellStart"/>
      <w:r>
        <w:t>reprostat</w:t>
      </w:r>
      <w:proofErr w:type="spellEnd"/>
      <w:r>
        <w:t xml:space="preserve"> shrunk the TL dataset by 3, and </w:t>
      </w:r>
      <w:proofErr w:type="spellStart"/>
      <w:r>
        <w:t>DNAmAge</w:t>
      </w:r>
      <w:proofErr w:type="spellEnd"/>
      <w:r>
        <w:t xml:space="preserve"> by 1. </w:t>
      </w:r>
    </w:p>
  </w:comment>
  <w:comment w:id="7" w:author="CPR" w:date="2018-03-08T20:22:00Z" w:initials="C">
    <w:p w:rsidR="002071E9" w:rsidRDefault="002071E9" w:rsidP="00E63E12">
      <w:pPr>
        <w:pStyle w:val="CommentText"/>
      </w:pPr>
      <w:r>
        <w:rPr>
          <w:rStyle w:val="CommentReference"/>
        </w:rPr>
        <w:annotationRef/>
      </w:r>
      <w:r>
        <w:t>Updated</w:t>
      </w:r>
    </w:p>
  </w:comment>
  <w:comment w:id="8" w:author="CPR" w:date="2018-03-08T20:22:00Z" w:initials="C">
    <w:p w:rsidR="002071E9" w:rsidRDefault="002071E9" w:rsidP="00E63E12">
      <w:pPr>
        <w:pStyle w:val="CommentText"/>
      </w:pPr>
      <w:r>
        <w:rPr>
          <w:rStyle w:val="CommentReference"/>
        </w:rPr>
        <w:annotationRef/>
      </w:r>
      <w:r>
        <w:t>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1F2A0" w15:done="0"/>
  <w15:commentEx w15:paraId="61C4B9E6" w15:done="0"/>
  <w15:commentEx w15:paraId="0C65AAB6" w15:done="0"/>
  <w15:commentEx w15:paraId="07FBAABA" w15:done="0"/>
  <w15:commentEx w15:paraId="7DDC6EDE" w15:done="0"/>
  <w15:commentEx w15:paraId="16F4C1AE" w15:done="0"/>
  <w15:commentEx w15:paraId="1E837D99" w15:done="0"/>
  <w15:commentEx w15:paraId="77A67AC2" w15:done="0"/>
  <w15:commentEx w15:paraId="65FD8CD3" w15:done="0"/>
  <w15:commentEx w15:paraId="677229B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071E9" w:rsidRDefault="002071E9" w:rsidP="005859FC">
      <w:pPr>
        <w:spacing w:after="0" w:line="240" w:lineRule="auto"/>
      </w:pPr>
      <w:r>
        <w:separator/>
      </w:r>
    </w:p>
  </w:endnote>
  <w:endnote w:type="continuationSeparator" w:id="1">
    <w:p w:rsidR="002071E9" w:rsidRDefault="002071E9"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2071E9" w:rsidRDefault="002071E9">
        <w:pPr>
          <w:pStyle w:val="Footer"/>
          <w:jc w:val="right"/>
        </w:pPr>
        <w:fldSimple w:instr=" PAGE   \* MERGEFORMAT ">
          <w:r w:rsidR="00EA4A04">
            <w:rPr>
              <w:noProof/>
            </w:rPr>
            <w:t>3</w:t>
          </w:r>
        </w:fldSimple>
      </w:p>
    </w:sdtContent>
  </w:sdt>
  <w:p w:rsidR="002071E9" w:rsidRDefault="002071E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071E9" w:rsidRDefault="002071E9" w:rsidP="005859FC">
      <w:pPr>
        <w:spacing w:after="0" w:line="240" w:lineRule="auto"/>
      </w:pPr>
      <w:r>
        <w:separator/>
      </w:r>
    </w:p>
  </w:footnote>
  <w:footnote w:type="continuationSeparator" w:id="1">
    <w:p w:rsidR="002071E9" w:rsidRDefault="002071E9"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cDade">
    <w15:presenceInfo w15:providerId="AD" w15:userId="S-1-5-21-1314685492-1227910640-2161445334-160797"/>
  </w15:person>
  <w15:person w15:author="M Geoffrey Hayes">
    <w15:presenceInfo w15:providerId="AD" w15:userId="S-1-5-21-2086500257-1188392490-3880406080-27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0757D"/>
    <w:rsid w:val="0001405D"/>
    <w:rsid w:val="00014DA7"/>
    <w:rsid w:val="00022C0E"/>
    <w:rsid w:val="00023976"/>
    <w:rsid w:val="000308BD"/>
    <w:rsid w:val="000321B3"/>
    <w:rsid w:val="00032CA8"/>
    <w:rsid w:val="00042D68"/>
    <w:rsid w:val="00050BAF"/>
    <w:rsid w:val="0005206D"/>
    <w:rsid w:val="000522BB"/>
    <w:rsid w:val="00052371"/>
    <w:rsid w:val="0005374C"/>
    <w:rsid w:val="00055370"/>
    <w:rsid w:val="0005577E"/>
    <w:rsid w:val="000616E5"/>
    <w:rsid w:val="00063065"/>
    <w:rsid w:val="000652E8"/>
    <w:rsid w:val="0006608F"/>
    <w:rsid w:val="000663CE"/>
    <w:rsid w:val="00070B7C"/>
    <w:rsid w:val="0008612F"/>
    <w:rsid w:val="00095E35"/>
    <w:rsid w:val="0009680D"/>
    <w:rsid w:val="000A4032"/>
    <w:rsid w:val="000A7466"/>
    <w:rsid w:val="000A7711"/>
    <w:rsid w:val="000B055F"/>
    <w:rsid w:val="000B78E6"/>
    <w:rsid w:val="000D4955"/>
    <w:rsid w:val="000E1142"/>
    <w:rsid w:val="000E2A88"/>
    <w:rsid w:val="000E2E42"/>
    <w:rsid w:val="000E30B6"/>
    <w:rsid w:val="000E3771"/>
    <w:rsid w:val="000E50DE"/>
    <w:rsid w:val="000E65D1"/>
    <w:rsid w:val="000F69D1"/>
    <w:rsid w:val="0010053A"/>
    <w:rsid w:val="001007C8"/>
    <w:rsid w:val="00100EE8"/>
    <w:rsid w:val="00101172"/>
    <w:rsid w:val="00101F8A"/>
    <w:rsid w:val="00105870"/>
    <w:rsid w:val="00106637"/>
    <w:rsid w:val="00113515"/>
    <w:rsid w:val="001218FD"/>
    <w:rsid w:val="00122301"/>
    <w:rsid w:val="00132815"/>
    <w:rsid w:val="00134ABF"/>
    <w:rsid w:val="00136674"/>
    <w:rsid w:val="001376CE"/>
    <w:rsid w:val="00140296"/>
    <w:rsid w:val="00142BEC"/>
    <w:rsid w:val="001436BF"/>
    <w:rsid w:val="00146EA3"/>
    <w:rsid w:val="001511F6"/>
    <w:rsid w:val="00167332"/>
    <w:rsid w:val="001710CE"/>
    <w:rsid w:val="00185B36"/>
    <w:rsid w:val="0019133F"/>
    <w:rsid w:val="00194863"/>
    <w:rsid w:val="00194A52"/>
    <w:rsid w:val="001964BE"/>
    <w:rsid w:val="001A2E85"/>
    <w:rsid w:val="001B0002"/>
    <w:rsid w:val="001B791C"/>
    <w:rsid w:val="001C631A"/>
    <w:rsid w:val="001C7A64"/>
    <w:rsid w:val="001D11E4"/>
    <w:rsid w:val="001D65B8"/>
    <w:rsid w:val="001E31F2"/>
    <w:rsid w:val="001E51FD"/>
    <w:rsid w:val="001F2980"/>
    <w:rsid w:val="001F4B3A"/>
    <w:rsid w:val="00202592"/>
    <w:rsid w:val="00202AD8"/>
    <w:rsid w:val="00205AE9"/>
    <w:rsid w:val="002071E9"/>
    <w:rsid w:val="0020784D"/>
    <w:rsid w:val="00207905"/>
    <w:rsid w:val="00212245"/>
    <w:rsid w:val="002205D6"/>
    <w:rsid w:val="00221309"/>
    <w:rsid w:val="00222D66"/>
    <w:rsid w:val="00230DE6"/>
    <w:rsid w:val="00233597"/>
    <w:rsid w:val="0023650D"/>
    <w:rsid w:val="00237EE7"/>
    <w:rsid w:val="00244256"/>
    <w:rsid w:val="00250A4E"/>
    <w:rsid w:val="0025119C"/>
    <w:rsid w:val="00252E05"/>
    <w:rsid w:val="00253364"/>
    <w:rsid w:val="00253400"/>
    <w:rsid w:val="0026603D"/>
    <w:rsid w:val="00272D04"/>
    <w:rsid w:val="00274BA1"/>
    <w:rsid w:val="0028420F"/>
    <w:rsid w:val="0029144E"/>
    <w:rsid w:val="002A0D6C"/>
    <w:rsid w:val="002A5A5E"/>
    <w:rsid w:val="002A5CA3"/>
    <w:rsid w:val="002B029B"/>
    <w:rsid w:val="002B029F"/>
    <w:rsid w:val="002B0F07"/>
    <w:rsid w:val="002B204D"/>
    <w:rsid w:val="002B76FA"/>
    <w:rsid w:val="002C0182"/>
    <w:rsid w:val="002C0FEB"/>
    <w:rsid w:val="002C4C50"/>
    <w:rsid w:val="002D58FD"/>
    <w:rsid w:val="002E1210"/>
    <w:rsid w:val="002E25E0"/>
    <w:rsid w:val="002E4932"/>
    <w:rsid w:val="002F00D1"/>
    <w:rsid w:val="002F192F"/>
    <w:rsid w:val="002F327D"/>
    <w:rsid w:val="002F4024"/>
    <w:rsid w:val="002F5106"/>
    <w:rsid w:val="002F7004"/>
    <w:rsid w:val="003021E8"/>
    <w:rsid w:val="00302D6B"/>
    <w:rsid w:val="003030A2"/>
    <w:rsid w:val="0031202C"/>
    <w:rsid w:val="003218AB"/>
    <w:rsid w:val="003310CE"/>
    <w:rsid w:val="003328DC"/>
    <w:rsid w:val="00335023"/>
    <w:rsid w:val="0034070C"/>
    <w:rsid w:val="00343D0C"/>
    <w:rsid w:val="003447D3"/>
    <w:rsid w:val="00344EC6"/>
    <w:rsid w:val="00344F59"/>
    <w:rsid w:val="00345534"/>
    <w:rsid w:val="003456B4"/>
    <w:rsid w:val="00347480"/>
    <w:rsid w:val="003479EE"/>
    <w:rsid w:val="00351DE5"/>
    <w:rsid w:val="00370815"/>
    <w:rsid w:val="00370B3B"/>
    <w:rsid w:val="00372037"/>
    <w:rsid w:val="003728D5"/>
    <w:rsid w:val="0039090E"/>
    <w:rsid w:val="00393284"/>
    <w:rsid w:val="003A179D"/>
    <w:rsid w:val="003B312B"/>
    <w:rsid w:val="003B58CF"/>
    <w:rsid w:val="003B5C0F"/>
    <w:rsid w:val="003C26CE"/>
    <w:rsid w:val="003D504F"/>
    <w:rsid w:val="003D5CC0"/>
    <w:rsid w:val="003E241F"/>
    <w:rsid w:val="003E354A"/>
    <w:rsid w:val="003E7EBF"/>
    <w:rsid w:val="003F0209"/>
    <w:rsid w:val="003F296D"/>
    <w:rsid w:val="003F4C90"/>
    <w:rsid w:val="003F6512"/>
    <w:rsid w:val="004005E8"/>
    <w:rsid w:val="00400945"/>
    <w:rsid w:val="0040275A"/>
    <w:rsid w:val="00405231"/>
    <w:rsid w:val="004129D7"/>
    <w:rsid w:val="004226A8"/>
    <w:rsid w:val="00422798"/>
    <w:rsid w:val="004306D9"/>
    <w:rsid w:val="004324D8"/>
    <w:rsid w:val="004332C8"/>
    <w:rsid w:val="004357EF"/>
    <w:rsid w:val="0043612E"/>
    <w:rsid w:val="00436DEF"/>
    <w:rsid w:val="00442A27"/>
    <w:rsid w:val="00446107"/>
    <w:rsid w:val="004620B8"/>
    <w:rsid w:val="00465540"/>
    <w:rsid w:val="00465E9C"/>
    <w:rsid w:val="00470655"/>
    <w:rsid w:val="00474E44"/>
    <w:rsid w:val="004806A1"/>
    <w:rsid w:val="00481AC5"/>
    <w:rsid w:val="0048254B"/>
    <w:rsid w:val="00486BF4"/>
    <w:rsid w:val="00486FE8"/>
    <w:rsid w:val="0048758A"/>
    <w:rsid w:val="00493632"/>
    <w:rsid w:val="00493677"/>
    <w:rsid w:val="004966AD"/>
    <w:rsid w:val="004977BF"/>
    <w:rsid w:val="004A1DE1"/>
    <w:rsid w:val="004A2C39"/>
    <w:rsid w:val="004A7D77"/>
    <w:rsid w:val="004B0A33"/>
    <w:rsid w:val="004C0583"/>
    <w:rsid w:val="004C1386"/>
    <w:rsid w:val="004C5AFC"/>
    <w:rsid w:val="004C70FD"/>
    <w:rsid w:val="004D00B5"/>
    <w:rsid w:val="004D2E05"/>
    <w:rsid w:val="004D5110"/>
    <w:rsid w:val="004D7784"/>
    <w:rsid w:val="004E1F16"/>
    <w:rsid w:val="004E7B2B"/>
    <w:rsid w:val="004E7D01"/>
    <w:rsid w:val="004F325C"/>
    <w:rsid w:val="005032C3"/>
    <w:rsid w:val="00503E64"/>
    <w:rsid w:val="00507392"/>
    <w:rsid w:val="00510A43"/>
    <w:rsid w:val="005129A6"/>
    <w:rsid w:val="00515005"/>
    <w:rsid w:val="00520691"/>
    <w:rsid w:val="005217C6"/>
    <w:rsid w:val="00522A1A"/>
    <w:rsid w:val="005246D5"/>
    <w:rsid w:val="005316DC"/>
    <w:rsid w:val="00531915"/>
    <w:rsid w:val="00531EA3"/>
    <w:rsid w:val="00543A73"/>
    <w:rsid w:val="0054548F"/>
    <w:rsid w:val="00547986"/>
    <w:rsid w:val="005517ED"/>
    <w:rsid w:val="00552E29"/>
    <w:rsid w:val="0055480B"/>
    <w:rsid w:val="00555399"/>
    <w:rsid w:val="00560AD6"/>
    <w:rsid w:val="00566BCF"/>
    <w:rsid w:val="0056733D"/>
    <w:rsid w:val="00570CD1"/>
    <w:rsid w:val="00571242"/>
    <w:rsid w:val="00573723"/>
    <w:rsid w:val="00573CED"/>
    <w:rsid w:val="00574620"/>
    <w:rsid w:val="00580EB7"/>
    <w:rsid w:val="005859FC"/>
    <w:rsid w:val="00594068"/>
    <w:rsid w:val="005949CF"/>
    <w:rsid w:val="00594A86"/>
    <w:rsid w:val="005A0089"/>
    <w:rsid w:val="005A3719"/>
    <w:rsid w:val="005A3F4E"/>
    <w:rsid w:val="005A50A2"/>
    <w:rsid w:val="005A702E"/>
    <w:rsid w:val="005A76BE"/>
    <w:rsid w:val="005B2FEF"/>
    <w:rsid w:val="005B3A36"/>
    <w:rsid w:val="005B480D"/>
    <w:rsid w:val="005C313A"/>
    <w:rsid w:val="005C337F"/>
    <w:rsid w:val="005C7A63"/>
    <w:rsid w:val="005D22F7"/>
    <w:rsid w:val="005D492E"/>
    <w:rsid w:val="005D7D3B"/>
    <w:rsid w:val="005D7E1F"/>
    <w:rsid w:val="006015C3"/>
    <w:rsid w:val="00601C78"/>
    <w:rsid w:val="0060588F"/>
    <w:rsid w:val="00610476"/>
    <w:rsid w:val="0061102F"/>
    <w:rsid w:val="00617DF5"/>
    <w:rsid w:val="00620B91"/>
    <w:rsid w:val="00623106"/>
    <w:rsid w:val="00627731"/>
    <w:rsid w:val="0063032D"/>
    <w:rsid w:val="00631A48"/>
    <w:rsid w:val="00632EC9"/>
    <w:rsid w:val="006335EC"/>
    <w:rsid w:val="00634D1F"/>
    <w:rsid w:val="006365B3"/>
    <w:rsid w:val="00636D2E"/>
    <w:rsid w:val="006424F7"/>
    <w:rsid w:val="00644811"/>
    <w:rsid w:val="0066155F"/>
    <w:rsid w:val="00664019"/>
    <w:rsid w:val="0066575B"/>
    <w:rsid w:val="0066600D"/>
    <w:rsid w:val="0067138C"/>
    <w:rsid w:val="0067350A"/>
    <w:rsid w:val="00677256"/>
    <w:rsid w:val="00681296"/>
    <w:rsid w:val="00691050"/>
    <w:rsid w:val="00693A10"/>
    <w:rsid w:val="00697AF5"/>
    <w:rsid w:val="006A0D7E"/>
    <w:rsid w:val="006A283F"/>
    <w:rsid w:val="006A5A93"/>
    <w:rsid w:val="006A6427"/>
    <w:rsid w:val="006A7257"/>
    <w:rsid w:val="006B1B3B"/>
    <w:rsid w:val="006B258F"/>
    <w:rsid w:val="006B53E8"/>
    <w:rsid w:val="006C1866"/>
    <w:rsid w:val="006C2D9F"/>
    <w:rsid w:val="006D0792"/>
    <w:rsid w:val="006E19F5"/>
    <w:rsid w:val="006E5CC5"/>
    <w:rsid w:val="006E690E"/>
    <w:rsid w:val="006F1BE4"/>
    <w:rsid w:val="006F2C9E"/>
    <w:rsid w:val="006F34F7"/>
    <w:rsid w:val="006F358D"/>
    <w:rsid w:val="006F4B9E"/>
    <w:rsid w:val="00703267"/>
    <w:rsid w:val="007053D4"/>
    <w:rsid w:val="007204D4"/>
    <w:rsid w:val="007207CA"/>
    <w:rsid w:val="00722EBF"/>
    <w:rsid w:val="00726C5A"/>
    <w:rsid w:val="007272CC"/>
    <w:rsid w:val="007307C6"/>
    <w:rsid w:val="00734432"/>
    <w:rsid w:val="00745369"/>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3CAA"/>
    <w:rsid w:val="007B7EB1"/>
    <w:rsid w:val="007C3797"/>
    <w:rsid w:val="007D1053"/>
    <w:rsid w:val="007D56C7"/>
    <w:rsid w:val="007D62E7"/>
    <w:rsid w:val="007E0307"/>
    <w:rsid w:val="007F3263"/>
    <w:rsid w:val="007F4E30"/>
    <w:rsid w:val="007F6987"/>
    <w:rsid w:val="008140B3"/>
    <w:rsid w:val="00815C70"/>
    <w:rsid w:val="0081730C"/>
    <w:rsid w:val="00822407"/>
    <w:rsid w:val="00823994"/>
    <w:rsid w:val="00823BDE"/>
    <w:rsid w:val="00825A16"/>
    <w:rsid w:val="00827DEA"/>
    <w:rsid w:val="00833B42"/>
    <w:rsid w:val="0083756B"/>
    <w:rsid w:val="00840434"/>
    <w:rsid w:val="00842E03"/>
    <w:rsid w:val="00846375"/>
    <w:rsid w:val="00847950"/>
    <w:rsid w:val="008479DF"/>
    <w:rsid w:val="00847CDB"/>
    <w:rsid w:val="00850386"/>
    <w:rsid w:val="008505CC"/>
    <w:rsid w:val="008511E4"/>
    <w:rsid w:val="00861010"/>
    <w:rsid w:val="0086261E"/>
    <w:rsid w:val="008631B0"/>
    <w:rsid w:val="00863D00"/>
    <w:rsid w:val="008641ED"/>
    <w:rsid w:val="00867C8D"/>
    <w:rsid w:val="00873E6C"/>
    <w:rsid w:val="00874F50"/>
    <w:rsid w:val="00876104"/>
    <w:rsid w:val="008763C5"/>
    <w:rsid w:val="00880547"/>
    <w:rsid w:val="008832C0"/>
    <w:rsid w:val="00891B5B"/>
    <w:rsid w:val="008965DC"/>
    <w:rsid w:val="00897251"/>
    <w:rsid w:val="008A3FFE"/>
    <w:rsid w:val="008B2188"/>
    <w:rsid w:val="008C3969"/>
    <w:rsid w:val="008C50DE"/>
    <w:rsid w:val="008C63B2"/>
    <w:rsid w:val="008D28FB"/>
    <w:rsid w:val="008D3754"/>
    <w:rsid w:val="008D454D"/>
    <w:rsid w:val="008D642A"/>
    <w:rsid w:val="008E114E"/>
    <w:rsid w:val="008E1754"/>
    <w:rsid w:val="008E3400"/>
    <w:rsid w:val="008E40DA"/>
    <w:rsid w:val="008E7291"/>
    <w:rsid w:val="008E7CA5"/>
    <w:rsid w:val="008F041A"/>
    <w:rsid w:val="008F192D"/>
    <w:rsid w:val="008F1A3B"/>
    <w:rsid w:val="008F48E2"/>
    <w:rsid w:val="008F55B1"/>
    <w:rsid w:val="008F6905"/>
    <w:rsid w:val="008F7F4C"/>
    <w:rsid w:val="00900675"/>
    <w:rsid w:val="00906972"/>
    <w:rsid w:val="00910D87"/>
    <w:rsid w:val="009305EA"/>
    <w:rsid w:val="00930A7E"/>
    <w:rsid w:val="00931E47"/>
    <w:rsid w:val="00932229"/>
    <w:rsid w:val="00932629"/>
    <w:rsid w:val="00945CF7"/>
    <w:rsid w:val="00953059"/>
    <w:rsid w:val="00953AB7"/>
    <w:rsid w:val="00962DA2"/>
    <w:rsid w:val="00963AB4"/>
    <w:rsid w:val="009672EF"/>
    <w:rsid w:val="00975EC8"/>
    <w:rsid w:val="00976559"/>
    <w:rsid w:val="00976585"/>
    <w:rsid w:val="0097706C"/>
    <w:rsid w:val="00983176"/>
    <w:rsid w:val="00983B89"/>
    <w:rsid w:val="00987BA5"/>
    <w:rsid w:val="00992BA9"/>
    <w:rsid w:val="009A56C6"/>
    <w:rsid w:val="009A75DC"/>
    <w:rsid w:val="009B23A7"/>
    <w:rsid w:val="009D02C9"/>
    <w:rsid w:val="009D2422"/>
    <w:rsid w:val="009D2FC0"/>
    <w:rsid w:val="009D5C92"/>
    <w:rsid w:val="009E211C"/>
    <w:rsid w:val="009E2D1B"/>
    <w:rsid w:val="009E5F80"/>
    <w:rsid w:val="009E67B8"/>
    <w:rsid w:val="009F3D00"/>
    <w:rsid w:val="00A02BF9"/>
    <w:rsid w:val="00A068BC"/>
    <w:rsid w:val="00A135B1"/>
    <w:rsid w:val="00A14E86"/>
    <w:rsid w:val="00A150BF"/>
    <w:rsid w:val="00A208B7"/>
    <w:rsid w:val="00A31CEF"/>
    <w:rsid w:val="00A32F87"/>
    <w:rsid w:val="00A36D5C"/>
    <w:rsid w:val="00A44378"/>
    <w:rsid w:val="00A457BA"/>
    <w:rsid w:val="00A560E8"/>
    <w:rsid w:val="00A56232"/>
    <w:rsid w:val="00A61E1C"/>
    <w:rsid w:val="00A6272F"/>
    <w:rsid w:val="00A63B77"/>
    <w:rsid w:val="00A764CF"/>
    <w:rsid w:val="00A76AB3"/>
    <w:rsid w:val="00A86901"/>
    <w:rsid w:val="00A96BB0"/>
    <w:rsid w:val="00A97D8B"/>
    <w:rsid w:val="00AB0306"/>
    <w:rsid w:val="00AB410C"/>
    <w:rsid w:val="00AB68F1"/>
    <w:rsid w:val="00AC0037"/>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06C05"/>
    <w:rsid w:val="00B100BE"/>
    <w:rsid w:val="00B12B4A"/>
    <w:rsid w:val="00B14474"/>
    <w:rsid w:val="00B1602B"/>
    <w:rsid w:val="00B23B11"/>
    <w:rsid w:val="00B274E4"/>
    <w:rsid w:val="00B34F0E"/>
    <w:rsid w:val="00B4220B"/>
    <w:rsid w:val="00B4253B"/>
    <w:rsid w:val="00B44143"/>
    <w:rsid w:val="00B4487E"/>
    <w:rsid w:val="00B44F68"/>
    <w:rsid w:val="00B57376"/>
    <w:rsid w:val="00B70F4D"/>
    <w:rsid w:val="00B71FE0"/>
    <w:rsid w:val="00B76CB6"/>
    <w:rsid w:val="00B8163D"/>
    <w:rsid w:val="00B829D5"/>
    <w:rsid w:val="00B861CC"/>
    <w:rsid w:val="00B916F8"/>
    <w:rsid w:val="00BA1111"/>
    <w:rsid w:val="00BA1780"/>
    <w:rsid w:val="00BA1A63"/>
    <w:rsid w:val="00BA648F"/>
    <w:rsid w:val="00BB3D6C"/>
    <w:rsid w:val="00BB7F53"/>
    <w:rsid w:val="00BC00F2"/>
    <w:rsid w:val="00BC308A"/>
    <w:rsid w:val="00BD2050"/>
    <w:rsid w:val="00BD3B95"/>
    <w:rsid w:val="00C034B9"/>
    <w:rsid w:val="00C05F6D"/>
    <w:rsid w:val="00C07807"/>
    <w:rsid w:val="00C10C2B"/>
    <w:rsid w:val="00C12395"/>
    <w:rsid w:val="00C13F81"/>
    <w:rsid w:val="00C209AD"/>
    <w:rsid w:val="00C212FB"/>
    <w:rsid w:val="00C2180B"/>
    <w:rsid w:val="00C260BF"/>
    <w:rsid w:val="00C3218D"/>
    <w:rsid w:val="00C3379E"/>
    <w:rsid w:val="00C34EF7"/>
    <w:rsid w:val="00C35EBD"/>
    <w:rsid w:val="00C37B11"/>
    <w:rsid w:val="00C40607"/>
    <w:rsid w:val="00C44150"/>
    <w:rsid w:val="00C4678D"/>
    <w:rsid w:val="00C50A8F"/>
    <w:rsid w:val="00C50B18"/>
    <w:rsid w:val="00C523BC"/>
    <w:rsid w:val="00C52D99"/>
    <w:rsid w:val="00C61227"/>
    <w:rsid w:val="00C70099"/>
    <w:rsid w:val="00C72F19"/>
    <w:rsid w:val="00C77368"/>
    <w:rsid w:val="00C7746F"/>
    <w:rsid w:val="00C8220F"/>
    <w:rsid w:val="00C839C4"/>
    <w:rsid w:val="00C84432"/>
    <w:rsid w:val="00C84CD0"/>
    <w:rsid w:val="00C93218"/>
    <w:rsid w:val="00CA26A0"/>
    <w:rsid w:val="00CA29E4"/>
    <w:rsid w:val="00CA6E0D"/>
    <w:rsid w:val="00CB1BFA"/>
    <w:rsid w:val="00CB75F4"/>
    <w:rsid w:val="00CC291F"/>
    <w:rsid w:val="00CC2EC6"/>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200B0"/>
    <w:rsid w:val="00D221CC"/>
    <w:rsid w:val="00D242AE"/>
    <w:rsid w:val="00D364CE"/>
    <w:rsid w:val="00D37603"/>
    <w:rsid w:val="00D421B8"/>
    <w:rsid w:val="00D42FE9"/>
    <w:rsid w:val="00D44B2B"/>
    <w:rsid w:val="00D50DB2"/>
    <w:rsid w:val="00D55088"/>
    <w:rsid w:val="00D579DC"/>
    <w:rsid w:val="00D6452D"/>
    <w:rsid w:val="00D65887"/>
    <w:rsid w:val="00D658DA"/>
    <w:rsid w:val="00D71031"/>
    <w:rsid w:val="00D72CED"/>
    <w:rsid w:val="00D743B1"/>
    <w:rsid w:val="00D7457B"/>
    <w:rsid w:val="00D76BFC"/>
    <w:rsid w:val="00D801AD"/>
    <w:rsid w:val="00D821DD"/>
    <w:rsid w:val="00D857C6"/>
    <w:rsid w:val="00D86A05"/>
    <w:rsid w:val="00D87294"/>
    <w:rsid w:val="00D912CE"/>
    <w:rsid w:val="00D913BE"/>
    <w:rsid w:val="00D91B7A"/>
    <w:rsid w:val="00D93AE5"/>
    <w:rsid w:val="00D93BFB"/>
    <w:rsid w:val="00D9698F"/>
    <w:rsid w:val="00DA0029"/>
    <w:rsid w:val="00DA097A"/>
    <w:rsid w:val="00DA138D"/>
    <w:rsid w:val="00DA69C8"/>
    <w:rsid w:val="00DB10C6"/>
    <w:rsid w:val="00DC2655"/>
    <w:rsid w:val="00DC540D"/>
    <w:rsid w:val="00DC5AB1"/>
    <w:rsid w:val="00DC6A24"/>
    <w:rsid w:val="00DD1FBD"/>
    <w:rsid w:val="00DD7110"/>
    <w:rsid w:val="00DE28C5"/>
    <w:rsid w:val="00DE44C6"/>
    <w:rsid w:val="00DE70DA"/>
    <w:rsid w:val="00DE79F2"/>
    <w:rsid w:val="00DF2DC1"/>
    <w:rsid w:val="00DF5F46"/>
    <w:rsid w:val="00DF693B"/>
    <w:rsid w:val="00E075AE"/>
    <w:rsid w:val="00E1003A"/>
    <w:rsid w:val="00E11DD0"/>
    <w:rsid w:val="00E1237F"/>
    <w:rsid w:val="00E230B7"/>
    <w:rsid w:val="00E2428F"/>
    <w:rsid w:val="00E2548B"/>
    <w:rsid w:val="00E27ECD"/>
    <w:rsid w:val="00E319E6"/>
    <w:rsid w:val="00E3573A"/>
    <w:rsid w:val="00E40B89"/>
    <w:rsid w:val="00E45083"/>
    <w:rsid w:val="00E5343A"/>
    <w:rsid w:val="00E553E9"/>
    <w:rsid w:val="00E56391"/>
    <w:rsid w:val="00E578EE"/>
    <w:rsid w:val="00E63E12"/>
    <w:rsid w:val="00E67CEE"/>
    <w:rsid w:val="00E70565"/>
    <w:rsid w:val="00E81610"/>
    <w:rsid w:val="00E81A24"/>
    <w:rsid w:val="00E8659F"/>
    <w:rsid w:val="00E86EB7"/>
    <w:rsid w:val="00E94876"/>
    <w:rsid w:val="00E948CB"/>
    <w:rsid w:val="00E97946"/>
    <w:rsid w:val="00EA2A34"/>
    <w:rsid w:val="00EA4A04"/>
    <w:rsid w:val="00EB2BD6"/>
    <w:rsid w:val="00EB55FD"/>
    <w:rsid w:val="00EB79FE"/>
    <w:rsid w:val="00EC452F"/>
    <w:rsid w:val="00EC4EF9"/>
    <w:rsid w:val="00EC503E"/>
    <w:rsid w:val="00ED516E"/>
    <w:rsid w:val="00EE0FDA"/>
    <w:rsid w:val="00EF6266"/>
    <w:rsid w:val="00EF6829"/>
    <w:rsid w:val="00F00809"/>
    <w:rsid w:val="00F0086C"/>
    <w:rsid w:val="00F063DA"/>
    <w:rsid w:val="00F155AC"/>
    <w:rsid w:val="00F24DE6"/>
    <w:rsid w:val="00F25762"/>
    <w:rsid w:val="00F25B4D"/>
    <w:rsid w:val="00F35DEB"/>
    <w:rsid w:val="00F37703"/>
    <w:rsid w:val="00F407A1"/>
    <w:rsid w:val="00F4368F"/>
    <w:rsid w:val="00F44B33"/>
    <w:rsid w:val="00F56D8D"/>
    <w:rsid w:val="00F570C3"/>
    <w:rsid w:val="00F57178"/>
    <w:rsid w:val="00F57E3A"/>
    <w:rsid w:val="00F60E81"/>
    <w:rsid w:val="00F71A4B"/>
    <w:rsid w:val="00F71C3D"/>
    <w:rsid w:val="00F905AD"/>
    <w:rsid w:val="00F90F1D"/>
    <w:rsid w:val="00F9466A"/>
    <w:rsid w:val="00FA7023"/>
    <w:rsid w:val="00FB4261"/>
    <w:rsid w:val="00FC6A91"/>
    <w:rsid w:val="00FD7065"/>
    <w:rsid w:val="00FD7D78"/>
    <w:rsid w:val="00FE6280"/>
    <w:rsid w:val="00FF520F"/>
    <w:rsid w:val="00FF5E24"/>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annotation text" w:uiPriority="99"/>
    <w:lsdException w:name="header" w:uiPriority="99"/>
    <w:lsdException w:name="footer" w:uiPriority="99"/>
    <w:lsdException w:name="annotation reference" w:uiPriority="99"/>
    <w:lsdException w:name="Hyperlink" w:uiPriority="99"/>
    <w:lsdException w:name="annotation subjec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240" w:line="240" w:lineRule="auto"/>
      <w:ind w:left="504" w:hanging="504"/>
    </w:pPr>
  </w:style>
  <w:style w:type="character" w:styleId="LineNumber">
    <w:name w:val="line number"/>
    <w:basedOn w:val="DefaultParagraphFont"/>
    <w:rsid w:val="008B2188"/>
  </w:style>
</w:styles>
</file>

<file path=word/webSettings.xml><?xml version="1.0" encoding="utf-8"?>
<w:webSettings xmlns:r="http://schemas.openxmlformats.org/officeDocument/2006/relationships" xmlns:w="http://schemas.openxmlformats.org/wordprocessingml/2006/main">
  <w:divs>
    <w:div w:id="5643030">
      <w:bodyDiv w:val="1"/>
      <w:marLeft w:val="0"/>
      <w:marRight w:val="0"/>
      <w:marTop w:val="0"/>
      <w:marBottom w:val="0"/>
      <w:divBdr>
        <w:top w:val="none" w:sz="0" w:space="0" w:color="auto"/>
        <w:left w:val="none" w:sz="0" w:space="0" w:color="auto"/>
        <w:bottom w:val="none" w:sz="0" w:space="0" w:color="auto"/>
        <w:right w:val="none" w:sz="0" w:space="0" w:color="auto"/>
      </w:divBdr>
      <w:divsChild>
        <w:div w:id="585379523">
          <w:marLeft w:val="0"/>
          <w:marRight w:val="0"/>
          <w:marTop w:val="0"/>
          <w:marBottom w:val="0"/>
          <w:divBdr>
            <w:top w:val="none" w:sz="0" w:space="0" w:color="auto"/>
            <w:left w:val="none" w:sz="0" w:space="0" w:color="auto"/>
            <w:bottom w:val="none" w:sz="0" w:space="0" w:color="auto"/>
            <w:right w:val="none" w:sz="0" w:space="0" w:color="auto"/>
          </w:divBdr>
          <w:divsChild>
            <w:div w:id="6372067">
              <w:marLeft w:val="0"/>
              <w:marRight w:val="0"/>
              <w:marTop w:val="0"/>
              <w:marBottom w:val="0"/>
              <w:divBdr>
                <w:top w:val="none" w:sz="0" w:space="0" w:color="auto"/>
                <w:left w:val="none" w:sz="0" w:space="0" w:color="auto"/>
                <w:bottom w:val="none" w:sz="0" w:space="0" w:color="auto"/>
                <w:right w:val="none" w:sz="0" w:space="0" w:color="auto"/>
              </w:divBdr>
              <w:divsChild>
                <w:div w:id="1410344772">
                  <w:marLeft w:val="0"/>
                  <w:marRight w:val="0"/>
                  <w:marTop w:val="0"/>
                  <w:marBottom w:val="0"/>
                  <w:divBdr>
                    <w:top w:val="none" w:sz="0" w:space="0" w:color="auto"/>
                    <w:left w:val="none" w:sz="0" w:space="0" w:color="auto"/>
                    <w:bottom w:val="none" w:sz="0" w:space="0" w:color="auto"/>
                    <w:right w:val="none" w:sz="0" w:space="0" w:color="auto"/>
                  </w:divBdr>
                  <w:divsChild>
                    <w:div w:id="914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650">
      <w:bodyDiv w:val="1"/>
      <w:marLeft w:val="0"/>
      <w:marRight w:val="0"/>
      <w:marTop w:val="0"/>
      <w:marBottom w:val="0"/>
      <w:divBdr>
        <w:top w:val="none" w:sz="0" w:space="0" w:color="auto"/>
        <w:left w:val="none" w:sz="0" w:space="0" w:color="auto"/>
        <w:bottom w:val="none" w:sz="0" w:space="0" w:color="auto"/>
        <w:right w:val="none" w:sz="0" w:space="0" w:color="auto"/>
      </w:divBdr>
      <w:divsChild>
        <w:div w:id="1549148549">
          <w:marLeft w:val="0"/>
          <w:marRight w:val="0"/>
          <w:marTop w:val="0"/>
          <w:marBottom w:val="0"/>
          <w:divBdr>
            <w:top w:val="none" w:sz="0" w:space="0" w:color="auto"/>
            <w:left w:val="none" w:sz="0" w:space="0" w:color="auto"/>
            <w:bottom w:val="none" w:sz="0" w:space="0" w:color="auto"/>
            <w:right w:val="none" w:sz="0" w:space="0" w:color="auto"/>
          </w:divBdr>
          <w:divsChild>
            <w:div w:id="1664628555">
              <w:marLeft w:val="0"/>
              <w:marRight w:val="0"/>
              <w:marTop w:val="0"/>
              <w:marBottom w:val="0"/>
              <w:divBdr>
                <w:top w:val="none" w:sz="0" w:space="0" w:color="auto"/>
                <w:left w:val="none" w:sz="0" w:space="0" w:color="auto"/>
                <w:bottom w:val="none" w:sz="0" w:space="0" w:color="auto"/>
                <w:right w:val="none" w:sz="0" w:space="0" w:color="auto"/>
              </w:divBdr>
              <w:divsChild>
                <w:div w:id="993722587">
                  <w:marLeft w:val="0"/>
                  <w:marRight w:val="0"/>
                  <w:marTop w:val="0"/>
                  <w:marBottom w:val="0"/>
                  <w:divBdr>
                    <w:top w:val="none" w:sz="0" w:space="0" w:color="auto"/>
                    <w:left w:val="none" w:sz="0" w:space="0" w:color="auto"/>
                    <w:bottom w:val="none" w:sz="0" w:space="0" w:color="auto"/>
                    <w:right w:val="none" w:sz="0" w:space="0" w:color="auto"/>
                  </w:divBdr>
                  <w:divsChild>
                    <w:div w:id="874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237205886">
      <w:bodyDiv w:val="1"/>
      <w:marLeft w:val="0"/>
      <w:marRight w:val="0"/>
      <w:marTop w:val="0"/>
      <w:marBottom w:val="0"/>
      <w:divBdr>
        <w:top w:val="none" w:sz="0" w:space="0" w:color="auto"/>
        <w:left w:val="none" w:sz="0" w:space="0" w:color="auto"/>
        <w:bottom w:val="none" w:sz="0" w:space="0" w:color="auto"/>
        <w:right w:val="none" w:sz="0" w:space="0" w:color="auto"/>
      </w:divBdr>
      <w:divsChild>
        <w:div w:id="264581834">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sChild>
                <w:div w:id="1199858868">
                  <w:marLeft w:val="0"/>
                  <w:marRight w:val="0"/>
                  <w:marTop w:val="0"/>
                  <w:marBottom w:val="0"/>
                  <w:divBdr>
                    <w:top w:val="none" w:sz="0" w:space="0" w:color="auto"/>
                    <w:left w:val="none" w:sz="0" w:space="0" w:color="auto"/>
                    <w:bottom w:val="none" w:sz="0" w:space="0" w:color="auto"/>
                    <w:right w:val="none" w:sz="0" w:space="0" w:color="auto"/>
                  </w:divBdr>
                  <w:divsChild>
                    <w:div w:id="155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194152294">
      <w:bodyDiv w:val="1"/>
      <w:marLeft w:val="0"/>
      <w:marRight w:val="0"/>
      <w:marTop w:val="0"/>
      <w:marBottom w:val="0"/>
      <w:divBdr>
        <w:top w:val="none" w:sz="0" w:space="0" w:color="auto"/>
        <w:left w:val="none" w:sz="0" w:space="0" w:color="auto"/>
        <w:bottom w:val="none" w:sz="0" w:space="0" w:color="auto"/>
        <w:right w:val="none" w:sz="0" w:space="0" w:color="auto"/>
      </w:divBdr>
      <w:divsChild>
        <w:div w:id="881206163">
          <w:marLeft w:val="0"/>
          <w:marRight w:val="0"/>
          <w:marTop w:val="0"/>
          <w:marBottom w:val="0"/>
          <w:divBdr>
            <w:top w:val="none" w:sz="0" w:space="0" w:color="auto"/>
            <w:left w:val="none" w:sz="0" w:space="0" w:color="auto"/>
            <w:bottom w:val="none" w:sz="0" w:space="0" w:color="auto"/>
            <w:right w:val="none" w:sz="0" w:space="0" w:color="auto"/>
          </w:divBdr>
          <w:divsChild>
            <w:div w:id="261646531">
              <w:marLeft w:val="0"/>
              <w:marRight w:val="0"/>
              <w:marTop w:val="0"/>
              <w:marBottom w:val="0"/>
              <w:divBdr>
                <w:top w:val="none" w:sz="0" w:space="0" w:color="auto"/>
                <w:left w:val="none" w:sz="0" w:space="0" w:color="auto"/>
                <w:bottom w:val="none" w:sz="0" w:space="0" w:color="auto"/>
                <w:right w:val="none" w:sz="0" w:space="0" w:color="auto"/>
              </w:divBdr>
              <w:divsChild>
                <w:div w:id="1161891338">
                  <w:marLeft w:val="0"/>
                  <w:marRight w:val="0"/>
                  <w:marTop w:val="0"/>
                  <w:marBottom w:val="0"/>
                  <w:divBdr>
                    <w:top w:val="none" w:sz="0" w:space="0" w:color="auto"/>
                    <w:left w:val="none" w:sz="0" w:space="0" w:color="auto"/>
                    <w:bottom w:val="none" w:sz="0" w:space="0" w:color="auto"/>
                    <w:right w:val="none" w:sz="0" w:space="0" w:color="auto"/>
                  </w:divBdr>
                  <w:divsChild>
                    <w:div w:id="363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154">
      <w:bodyDiv w:val="1"/>
      <w:marLeft w:val="0"/>
      <w:marRight w:val="0"/>
      <w:marTop w:val="0"/>
      <w:marBottom w:val="0"/>
      <w:divBdr>
        <w:top w:val="none" w:sz="0" w:space="0" w:color="auto"/>
        <w:left w:val="none" w:sz="0" w:space="0" w:color="auto"/>
        <w:bottom w:val="none" w:sz="0" w:space="0" w:color="auto"/>
        <w:right w:val="none" w:sz="0" w:space="0" w:color="auto"/>
      </w:divBdr>
      <w:divsChild>
        <w:div w:id="307629659">
          <w:marLeft w:val="0"/>
          <w:marRight w:val="0"/>
          <w:marTop w:val="0"/>
          <w:marBottom w:val="0"/>
          <w:divBdr>
            <w:top w:val="none" w:sz="0" w:space="0" w:color="auto"/>
            <w:left w:val="none" w:sz="0" w:space="0" w:color="auto"/>
            <w:bottom w:val="none" w:sz="0" w:space="0" w:color="auto"/>
            <w:right w:val="none" w:sz="0" w:space="0" w:color="auto"/>
          </w:divBdr>
          <w:divsChild>
            <w:div w:id="1422023850">
              <w:marLeft w:val="0"/>
              <w:marRight w:val="0"/>
              <w:marTop w:val="0"/>
              <w:marBottom w:val="0"/>
              <w:divBdr>
                <w:top w:val="none" w:sz="0" w:space="0" w:color="auto"/>
                <w:left w:val="none" w:sz="0" w:space="0" w:color="auto"/>
                <w:bottom w:val="none" w:sz="0" w:space="0" w:color="auto"/>
                <w:right w:val="none" w:sz="0" w:space="0" w:color="auto"/>
              </w:divBdr>
              <w:divsChild>
                <w:div w:id="1057977174">
                  <w:marLeft w:val="0"/>
                  <w:marRight w:val="0"/>
                  <w:marTop w:val="0"/>
                  <w:marBottom w:val="0"/>
                  <w:divBdr>
                    <w:top w:val="none" w:sz="0" w:space="0" w:color="auto"/>
                    <w:left w:val="none" w:sz="0" w:space="0" w:color="auto"/>
                    <w:bottom w:val="none" w:sz="0" w:space="0" w:color="auto"/>
                    <w:right w:val="none" w:sz="0" w:space="0" w:color="auto"/>
                  </w:divBdr>
                  <w:divsChild>
                    <w:div w:id="1724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10">
      <w:bodyDiv w:val="1"/>
      <w:marLeft w:val="0"/>
      <w:marRight w:val="0"/>
      <w:marTop w:val="0"/>
      <w:marBottom w:val="0"/>
      <w:divBdr>
        <w:top w:val="none" w:sz="0" w:space="0" w:color="auto"/>
        <w:left w:val="none" w:sz="0" w:space="0" w:color="auto"/>
        <w:bottom w:val="none" w:sz="0" w:space="0" w:color="auto"/>
        <w:right w:val="none" w:sz="0" w:space="0" w:color="auto"/>
      </w:divBdr>
      <w:divsChild>
        <w:div w:id="607781657">
          <w:marLeft w:val="0"/>
          <w:marRight w:val="0"/>
          <w:marTop w:val="0"/>
          <w:marBottom w:val="0"/>
          <w:divBdr>
            <w:top w:val="none" w:sz="0" w:space="0" w:color="auto"/>
            <w:left w:val="none" w:sz="0" w:space="0" w:color="auto"/>
            <w:bottom w:val="none" w:sz="0" w:space="0" w:color="auto"/>
            <w:right w:val="none" w:sz="0" w:space="0" w:color="auto"/>
          </w:divBdr>
          <w:divsChild>
            <w:div w:id="82190442">
              <w:marLeft w:val="0"/>
              <w:marRight w:val="0"/>
              <w:marTop w:val="0"/>
              <w:marBottom w:val="0"/>
              <w:divBdr>
                <w:top w:val="none" w:sz="0" w:space="0" w:color="auto"/>
                <w:left w:val="none" w:sz="0" w:space="0" w:color="auto"/>
                <w:bottom w:val="none" w:sz="0" w:space="0" w:color="auto"/>
                <w:right w:val="none" w:sz="0" w:space="0" w:color="auto"/>
              </w:divBdr>
              <w:divsChild>
                <w:div w:id="823740211">
                  <w:marLeft w:val="0"/>
                  <w:marRight w:val="0"/>
                  <w:marTop w:val="0"/>
                  <w:marBottom w:val="0"/>
                  <w:divBdr>
                    <w:top w:val="none" w:sz="0" w:space="0" w:color="auto"/>
                    <w:left w:val="none" w:sz="0" w:space="0" w:color="auto"/>
                    <w:bottom w:val="none" w:sz="0" w:space="0" w:color="auto"/>
                    <w:right w:val="none" w:sz="0" w:space="0" w:color="auto"/>
                  </w:divBdr>
                  <w:divsChild>
                    <w:div w:id="1544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120">
      <w:bodyDiv w:val="1"/>
      <w:marLeft w:val="0"/>
      <w:marRight w:val="0"/>
      <w:marTop w:val="0"/>
      <w:marBottom w:val="0"/>
      <w:divBdr>
        <w:top w:val="none" w:sz="0" w:space="0" w:color="auto"/>
        <w:left w:val="none" w:sz="0" w:space="0" w:color="auto"/>
        <w:bottom w:val="none" w:sz="0" w:space="0" w:color="auto"/>
        <w:right w:val="none" w:sz="0" w:space="0" w:color="auto"/>
      </w:divBdr>
      <w:divsChild>
        <w:div w:id="453603462">
          <w:marLeft w:val="0"/>
          <w:marRight w:val="0"/>
          <w:marTop w:val="0"/>
          <w:marBottom w:val="0"/>
          <w:divBdr>
            <w:top w:val="none" w:sz="0" w:space="0" w:color="auto"/>
            <w:left w:val="none" w:sz="0" w:space="0" w:color="auto"/>
            <w:bottom w:val="none" w:sz="0" w:space="0" w:color="auto"/>
            <w:right w:val="none" w:sz="0" w:space="0" w:color="auto"/>
          </w:divBdr>
          <w:divsChild>
            <w:div w:id="188718296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sChild>
                    <w:div w:id="1654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df"/><Relationship Id="rId12" Type="http://schemas.openxmlformats.org/officeDocument/2006/relationships/image" Target="media/image2.png"/><Relationship Id="rId13" Type="http://schemas.openxmlformats.org/officeDocument/2006/relationships/image" Target="media/image2.pdf"/><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9994-210C-4551-96CD-F00BACA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32750</Words>
  <Characters>186678</Characters>
  <Application>Microsoft Word 12.0.0</Application>
  <DocSecurity>0</DocSecurity>
  <Lines>1555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11</cp:revision>
  <cp:lastPrinted>2018-01-17T04:56:00Z</cp:lastPrinted>
  <dcterms:created xsi:type="dcterms:W3CDTF">2018-03-09T01:22:00Z</dcterms:created>
  <dcterms:modified xsi:type="dcterms:W3CDTF">2018-03-13T19:25:00Z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id="e8ja1PiI"/&gt;&lt;style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