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63E12" w:rsidRPr="008B2188" w:rsidRDefault="00E63E12" w:rsidP="008B2188">
      <w:pPr>
        <w:pStyle w:val="Heading1"/>
        <w:rPr>
          <w:rFonts w:ascii="Times" w:hAnsi="Times" w:cs="Times New Roman"/>
          <w:b/>
          <w:color w:val="auto"/>
          <w:sz w:val="28"/>
          <w:szCs w:val="24"/>
        </w:rPr>
      </w:pPr>
      <w:bookmarkStart w:id="0" w:name="_GoBack"/>
      <w:bookmarkEnd w:id="0"/>
      <w:r w:rsidRPr="00EB55FD">
        <w:rPr>
          <w:rFonts w:ascii="Times" w:hAnsi="Times" w:cs="Times New Roman"/>
          <w:b/>
          <w:color w:val="auto"/>
          <w:sz w:val="28"/>
          <w:szCs w:val="24"/>
        </w:rPr>
        <w:t xml:space="preserve">Reproduction predicts shorter telomeres and epigenetic age acceleration among young adult women </w:t>
      </w:r>
    </w:p>
    <w:p w:rsidR="00E63E12" w:rsidRPr="00873E6C" w:rsidRDefault="00E63E12" w:rsidP="00E63E12">
      <w:pPr>
        <w:rPr>
          <w:rFonts w:ascii="Times" w:hAnsi="Times" w:cs="Times New Roman"/>
          <w:sz w:val="24"/>
          <w:szCs w:val="24"/>
          <w:vertAlign w:val="superscript"/>
        </w:rPr>
      </w:pPr>
      <w:bookmarkStart w:id="1" w:name="OLE_LINK4"/>
      <w:bookmarkStart w:id="2" w:name="OLE_LINK5"/>
      <w:bookmarkStart w:id="3" w:name="OLE_LINK6"/>
      <w:bookmarkStart w:id="4" w:name="OLE_LINK10"/>
      <w:bookmarkStart w:id="5" w:name="OLE_LINK11"/>
      <w:r w:rsidRPr="00873E6C">
        <w:rPr>
          <w:rFonts w:ascii="Times" w:hAnsi="Times" w:cs="Times New Roman"/>
          <w:sz w:val="24"/>
          <w:szCs w:val="24"/>
        </w:rPr>
        <w:t>Dan T.A. Eisenberg</w:t>
      </w:r>
      <w:r w:rsidRPr="00873E6C">
        <w:rPr>
          <w:rFonts w:ascii="Times" w:hAnsi="Times" w:cs="Times New Roman"/>
          <w:sz w:val="24"/>
          <w:szCs w:val="24"/>
          <w:vertAlign w:val="superscript"/>
        </w:rPr>
        <w:t>a</w:t>
      </w:r>
      <w:proofErr w:type="gramStart"/>
      <w:r w:rsidRPr="00873E6C">
        <w:rPr>
          <w:rFonts w:ascii="Times" w:hAnsi="Times" w:cs="Times New Roman"/>
          <w:sz w:val="24"/>
          <w:szCs w:val="24"/>
          <w:vertAlign w:val="superscript"/>
        </w:rPr>
        <w:t>,b,1</w:t>
      </w:r>
      <w:proofErr w:type="gramEnd"/>
      <w:r w:rsidRPr="00873E6C">
        <w:rPr>
          <w:rFonts w:ascii="Times" w:hAnsi="Times" w:cs="Times New Roman"/>
          <w:sz w:val="24"/>
          <w:szCs w:val="24"/>
          <w:vertAlign w:val="superscript"/>
        </w:rPr>
        <w:t>,*</w:t>
      </w:r>
      <w:r w:rsidRPr="00873E6C">
        <w:rPr>
          <w:rFonts w:ascii="Times" w:hAnsi="Times" w:cs="Times New Roman"/>
          <w:sz w:val="24"/>
          <w:szCs w:val="24"/>
        </w:rPr>
        <w:t xml:space="preserve">, </w:t>
      </w: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w:t>
      </w:r>
      <w:r w:rsidRPr="00873E6C">
        <w:rPr>
          <w:rFonts w:ascii="Times" w:hAnsi="Times" w:cs="Times New Roman"/>
          <w:sz w:val="24"/>
          <w:szCs w:val="24"/>
          <w:vertAlign w:val="superscript"/>
        </w:rPr>
        <w:t>c,1,*</w:t>
      </w:r>
      <w:r w:rsidRPr="00873E6C">
        <w:rPr>
          <w:rFonts w:ascii="Times" w:hAnsi="Times" w:cs="Times New Roman"/>
          <w:sz w:val="24"/>
          <w:szCs w:val="24"/>
        </w:rPr>
        <w:t xml:space="preserve">, M. Geoffrey </w:t>
      </w:r>
      <w:proofErr w:type="spellStart"/>
      <w:r w:rsidRPr="00873E6C">
        <w:rPr>
          <w:rFonts w:ascii="Times" w:hAnsi="Times" w:cs="Times New Roman"/>
          <w:sz w:val="24"/>
          <w:szCs w:val="24"/>
        </w:rPr>
        <w:t>Hayes</w:t>
      </w:r>
      <w:r w:rsidRPr="00873E6C">
        <w:rPr>
          <w:rFonts w:ascii="Times" w:hAnsi="Times" w:cs="Times New Roman"/>
          <w:sz w:val="24"/>
          <w:szCs w:val="24"/>
          <w:vertAlign w:val="superscript"/>
        </w:rPr>
        <w:t>d,e,f</w:t>
      </w:r>
      <w:proofErr w:type="spellEnd"/>
      <w:r w:rsidRPr="00873E6C">
        <w:rPr>
          <w:rFonts w:ascii="Times" w:hAnsi="Times" w:cs="Times New Roman"/>
          <w:sz w:val="24"/>
          <w:szCs w:val="24"/>
        </w:rPr>
        <w:t xml:space="preserve">, Nanette R. </w:t>
      </w:r>
      <w:proofErr w:type="spellStart"/>
      <w:r w:rsidRPr="00873E6C">
        <w:rPr>
          <w:rFonts w:ascii="Times" w:hAnsi="Times" w:cs="Times New Roman"/>
          <w:sz w:val="24"/>
          <w:szCs w:val="24"/>
        </w:rPr>
        <w:t>Lee</w:t>
      </w:r>
      <w:r w:rsidRPr="00873E6C">
        <w:rPr>
          <w:rFonts w:ascii="Times" w:hAnsi="Times" w:cs="Times New Roman"/>
          <w:sz w:val="24"/>
          <w:szCs w:val="24"/>
          <w:vertAlign w:val="superscript"/>
        </w:rPr>
        <w:t>g,h</w:t>
      </w:r>
      <w:proofErr w:type="spellEnd"/>
      <w:r w:rsidRPr="00873E6C">
        <w:rPr>
          <w:rFonts w:ascii="Times" w:hAnsi="Times" w:cs="Times New Roman"/>
          <w:sz w:val="24"/>
          <w:szCs w:val="24"/>
        </w:rPr>
        <w:t xml:space="preserve">, Thomas W. </w:t>
      </w:r>
      <w:proofErr w:type="spellStart"/>
      <w:r w:rsidRPr="00873E6C">
        <w:rPr>
          <w:rFonts w:ascii="Times" w:hAnsi="Times" w:cs="Times New Roman"/>
          <w:sz w:val="24"/>
          <w:szCs w:val="24"/>
        </w:rPr>
        <w:t>McDade</w:t>
      </w:r>
      <w:r w:rsidRPr="00873E6C">
        <w:rPr>
          <w:rFonts w:ascii="Times" w:hAnsi="Times" w:cs="Times New Roman"/>
          <w:sz w:val="24"/>
          <w:szCs w:val="24"/>
          <w:vertAlign w:val="superscript"/>
        </w:rPr>
        <w:t>c,i,j</w:t>
      </w:r>
      <w:proofErr w:type="spellEnd"/>
      <w:r w:rsidRPr="00873E6C">
        <w:rPr>
          <w:rFonts w:ascii="Times" w:hAnsi="Times" w:cs="Times New Roman"/>
          <w:sz w:val="24"/>
          <w:szCs w:val="24"/>
        </w:rPr>
        <w:t xml:space="preserve">, Meaghan J. </w:t>
      </w:r>
      <w:proofErr w:type="spellStart"/>
      <w:r w:rsidRPr="00873E6C">
        <w:rPr>
          <w:rFonts w:ascii="Times" w:hAnsi="Times" w:cs="Times New Roman"/>
          <w:sz w:val="24"/>
          <w:szCs w:val="24"/>
        </w:rPr>
        <w:t>Jones</w:t>
      </w:r>
      <w:r w:rsidRPr="00873E6C">
        <w:rPr>
          <w:rFonts w:ascii="Times" w:hAnsi="Times" w:cs="Times New Roman"/>
          <w:sz w:val="24"/>
          <w:szCs w:val="24"/>
          <w:vertAlign w:val="superscript"/>
        </w:rPr>
        <w:t>k</w:t>
      </w:r>
      <w:proofErr w:type="spellEnd"/>
      <w:r w:rsidRPr="00873E6C">
        <w:rPr>
          <w:rFonts w:ascii="Times" w:hAnsi="Times" w:cs="Times New Roman"/>
          <w:sz w:val="24"/>
          <w:szCs w:val="24"/>
        </w:rPr>
        <w:t xml:space="preserve">, Michael S. </w:t>
      </w:r>
      <w:proofErr w:type="spellStart"/>
      <w:r w:rsidRPr="00873E6C">
        <w:rPr>
          <w:rFonts w:ascii="Times" w:hAnsi="Times" w:cs="Times New Roman"/>
          <w:sz w:val="24"/>
          <w:szCs w:val="24"/>
        </w:rPr>
        <w:t>Kobor</w:t>
      </w:r>
      <w:r w:rsidRPr="00873E6C">
        <w:rPr>
          <w:rFonts w:ascii="Times" w:hAnsi="Times" w:cs="Times New Roman"/>
          <w:sz w:val="24"/>
          <w:szCs w:val="24"/>
          <w:vertAlign w:val="superscript"/>
        </w:rPr>
        <w:t>j,k</w:t>
      </w:r>
      <w:proofErr w:type="spellEnd"/>
      <w:r w:rsidRPr="00873E6C">
        <w:rPr>
          <w:rFonts w:ascii="Times" w:hAnsi="Times" w:cs="Times New Roman"/>
          <w:sz w:val="24"/>
          <w:szCs w:val="24"/>
        </w:rPr>
        <w:t xml:space="preserve">, Christopher W. </w:t>
      </w:r>
      <w:proofErr w:type="spellStart"/>
      <w:r w:rsidRPr="00873E6C">
        <w:rPr>
          <w:rFonts w:ascii="Times" w:hAnsi="Times" w:cs="Times New Roman"/>
          <w:sz w:val="24"/>
          <w:szCs w:val="24"/>
        </w:rPr>
        <w:t>Kuzawa</w:t>
      </w:r>
      <w:r w:rsidRPr="00873E6C">
        <w:rPr>
          <w:rFonts w:ascii="Times" w:hAnsi="Times" w:cs="Times New Roman"/>
          <w:sz w:val="24"/>
          <w:szCs w:val="24"/>
          <w:vertAlign w:val="superscript"/>
        </w:rPr>
        <w:t>c,i</w:t>
      </w:r>
      <w:proofErr w:type="spellEnd"/>
    </w:p>
    <w:p w:rsidR="00E63E12" w:rsidRPr="00EB55FD" w:rsidRDefault="00E63E12" w:rsidP="00E63E12">
      <w:pPr>
        <w:rPr>
          <w:rFonts w:ascii="Times" w:hAnsi="Times" w:cs="Times New Roman"/>
          <w:szCs w:val="24"/>
          <w:vertAlign w:val="superscript"/>
        </w:rPr>
      </w:pPr>
      <w:proofErr w:type="spellStart"/>
      <w:proofErr w:type="gramStart"/>
      <w:r w:rsidRPr="00EB55FD">
        <w:rPr>
          <w:rFonts w:ascii="Times" w:hAnsi="Times" w:cs="Times New Roman"/>
          <w:szCs w:val="24"/>
          <w:vertAlign w:val="superscript"/>
        </w:rPr>
        <w:t>a</w:t>
      </w:r>
      <w:r w:rsidRPr="00EB55FD">
        <w:rPr>
          <w:rFonts w:ascii="Times" w:hAnsi="Times" w:cs="Helvetica"/>
          <w:szCs w:val="14"/>
        </w:rPr>
        <w:t>Department</w:t>
      </w:r>
      <w:proofErr w:type="spellEnd"/>
      <w:proofErr w:type="gramEnd"/>
      <w:r w:rsidRPr="00EB55FD">
        <w:rPr>
          <w:rFonts w:ascii="Times" w:hAnsi="Times" w:cs="Helvetica"/>
          <w:szCs w:val="14"/>
        </w:rPr>
        <w:t xml:space="preserve"> of Anthropology, University of Washington, Seattle, WA 98195; </w:t>
      </w:r>
      <w:proofErr w:type="spellStart"/>
      <w:r w:rsidRPr="00EB55FD">
        <w:rPr>
          <w:rFonts w:ascii="Times" w:hAnsi="Times" w:cs="Times New Roman"/>
          <w:szCs w:val="24"/>
          <w:vertAlign w:val="superscript"/>
        </w:rPr>
        <w:t>b</w:t>
      </w:r>
      <w:r w:rsidRPr="00EB55FD">
        <w:rPr>
          <w:rFonts w:ascii="Times" w:hAnsi="Times" w:cs="Helvetica"/>
          <w:szCs w:val="14"/>
        </w:rPr>
        <w:t>Center</w:t>
      </w:r>
      <w:proofErr w:type="spellEnd"/>
      <w:r w:rsidRPr="00EB55FD">
        <w:rPr>
          <w:rFonts w:ascii="Times" w:hAnsi="Times" w:cs="Helvetica"/>
          <w:szCs w:val="14"/>
        </w:rPr>
        <w:t xml:space="preserve"> for Studies in Demography and Ecology, University of Washington, Seattle, WA 98195; </w:t>
      </w:r>
      <w:proofErr w:type="spellStart"/>
      <w:r w:rsidRPr="00EB55FD">
        <w:rPr>
          <w:rFonts w:ascii="Times" w:hAnsi="Times" w:cs="Times New Roman"/>
          <w:szCs w:val="24"/>
          <w:vertAlign w:val="superscript"/>
        </w:rPr>
        <w:t>c</w:t>
      </w:r>
      <w:r w:rsidRPr="00EB55FD">
        <w:rPr>
          <w:rFonts w:ascii="Times" w:hAnsi="Times" w:cs="Helvetica"/>
          <w:szCs w:val="14"/>
        </w:rPr>
        <w:t>Department</w:t>
      </w:r>
      <w:proofErr w:type="spellEnd"/>
      <w:r w:rsidRPr="00EB55FD">
        <w:rPr>
          <w:rFonts w:ascii="Times" w:hAnsi="Times" w:cs="Helvetica"/>
          <w:szCs w:val="14"/>
        </w:rPr>
        <w:t xml:space="preserve"> of Anthropology, Northwestern University, Evanston, IL 60208; </w:t>
      </w:r>
      <w:proofErr w:type="spellStart"/>
      <w:r w:rsidRPr="00EB55FD">
        <w:rPr>
          <w:rFonts w:ascii="Times" w:hAnsi="Times" w:cs="Times New Roman"/>
          <w:szCs w:val="24"/>
          <w:vertAlign w:val="superscript"/>
        </w:rPr>
        <w:t>d</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e</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f</w:t>
      </w:r>
      <w:r w:rsidRPr="00EB55FD">
        <w:rPr>
          <w:rFonts w:ascii="Times" w:hAnsi="Times" w:cs="Helvetica"/>
          <w:szCs w:val="14"/>
        </w:rPr>
        <w:t>Center</w:t>
      </w:r>
      <w:proofErr w:type="spellEnd"/>
      <w:r w:rsidRPr="00EB55FD">
        <w:rPr>
          <w:rFonts w:ascii="Times" w:hAnsi="Times" w:cs="Helvetica"/>
          <w:szCs w:val="14"/>
        </w:rPr>
        <w:t xml:space="preserve"> for Genetic Medicine, Northwestern University Feinberg School of Medicine, Chicago, IL 60611; </w:t>
      </w:r>
      <w:proofErr w:type="spellStart"/>
      <w:r w:rsidRPr="00EB55FD">
        <w:rPr>
          <w:rFonts w:ascii="Times" w:hAnsi="Times" w:cs="Times New Roman"/>
          <w:szCs w:val="24"/>
          <w:vertAlign w:val="superscript"/>
        </w:rPr>
        <w:t>g</w:t>
      </w:r>
      <w:r w:rsidRPr="00EB55FD">
        <w:rPr>
          <w:rFonts w:ascii="Times" w:hAnsi="Times" w:cs="Helvetica"/>
          <w:szCs w:val="14"/>
        </w:rPr>
        <w:t>Office</w:t>
      </w:r>
      <w:proofErr w:type="spellEnd"/>
      <w:r w:rsidRPr="00EB55FD">
        <w:rPr>
          <w:rFonts w:ascii="Times" w:hAnsi="Times" w:cs="Helvetica"/>
          <w:szCs w:val="14"/>
        </w:rPr>
        <w:t xml:space="preserve"> of Population Studies Foundation Inc., Cebu City, Philippines; </w:t>
      </w:r>
      <w:proofErr w:type="spellStart"/>
      <w:r w:rsidRPr="00EB55FD">
        <w:rPr>
          <w:rFonts w:ascii="Times" w:hAnsi="Times" w:cs="Times New Roman"/>
          <w:szCs w:val="24"/>
          <w:vertAlign w:val="superscript"/>
        </w:rPr>
        <w:t>h</w:t>
      </w:r>
      <w:r w:rsidRPr="00EB55FD">
        <w:rPr>
          <w:rFonts w:ascii="Times" w:hAnsi="Times" w:cs="Helvetica"/>
          <w:szCs w:val="14"/>
        </w:rPr>
        <w:t>Department</w:t>
      </w:r>
      <w:proofErr w:type="spellEnd"/>
      <w:r w:rsidRPr="00EB55FD">
        <w:rPr>
          <w:rFonts w:ascii="Times" w:hAnsi="Times" w:cs="Helvetica"/>
          <w:szCs w:val="14"/>
        </w:rPr>
        <w:t xml:space="preserve"> of Anthropology, Sociology, and History, University of San Carlos, Cebu City, Philippines; </w:t>
      </w:r>
      <w:proofErr w:type="spellStart"/>
      <w:r w:rsidRPr="00EB55FD">
        <w:rPr>
          <w:rFonts w:ascii="Times" w:hAnsi="Times" w:cs="Times New Roman"/>
          <w:szCs w:val="24"/>
          <w:vertAlign w:val="superscript"/>
        </w:rPr>
        <w:t>i</w:t>
      </w:r>
      <w:r w:rsidRPr="00EB55FD">
        <w:rPr>
          <w:rFonts w:ascii="Times" w:hAnsi="Times" w:cs="Helvetica"/>
          <w:szCs w:val="14"/>
        </w:rPr>
        <w:t>Institute</w:t>
      </w:r>
      <w:proofErr w:type="spellEnd"/>
      <w:r w:rsidRPr="00EB55FD">
        <w:rPr>
          <w:rFonts w:ascii="Times" w:hAnsi="Times" w:cs="Helvetica"/>
          <w:szCs w:val="14"/>
        </w:rPr>
        <w:t xml:space="preserve"> for Policy Research, Northwestern University, Evanston, IL 60208; </w:t>
      </w:r>
      <w:proofErr w:type="spellStart"/>
      <w:r w:rsidRPr="00EB55FD">
        <w:rPr>
          <w:rFonts w:ascii="Times" w:hAnsi="Times" w:cs="Times New Roman"/>
          <w:szCs w:val="24"/>
          <w:vertAlign w:val="superscript"/>
        </w:rPr>
        <w:t>j</w:t>
      </w:r>
      <w:r w:rsidRPr="00EB55FD">
        <w:rPr>
          <w:rFonts w:ascii="Times" w:hAnsi="Times" w:cs="Helvetica"/>
          <w:szCs w:val="14"/>
        </w:rPr>
        <w:t>Child</w:t>
      </w:r>
      <w:proofErr w:type="spellEnd"/>
      <w:r w:rsidRPr="00EB55FD">
        <w:rPr>
          <w:rFonts w:ascii="Times" w:hAnsi="Times" w:cs="Helvetica"/>
          <w:szCs w:val="14"/>
        </w:rPr>
        <w:t xml:space="preserve"> and Brain Development Program, Canadian Institute for Advanced Research, Toronto, ON, Canada, M5G 1Z8; </w:t>
      </w:r>
      <w:proofErr w:type="spellStart"/>
      <w:r w:rsidRPr="00EB55FD">
        <w:rPr>
          <w:rFonts w:ascii="Times" w:hAnsi="Times" w:cs="Times New Roman"/>
          <w:szCs w:val="24"/>
          <w:vertAlign w:val="superscript"/>
        </w:rPr>
        <w:t>k</w:t>
      </w:r>
      <w:r w:rsidRPr="00EB55FD">
        <w:rPr>
          <w:rFonts w:ascii="Times" w:hAnsi="Times" w:cs="Helvetica"/>
          <w:szCs w:val="14"/>
        </w:rPr>
        <w:t>BC</w:t>
      </w:r>
      <w:proofErr w:type="spellEnd"/>
      <w:r w:rsidRPr="00EB55FD">
        <w:rPr>
          <w:rFonts w:ascii="Times" w:hAnsi="Times" w:cs="Helvetica"/>
          <w:szCs w:val="14"/>
        </w:rPr>
        <w:t xml:space="preserve"> Children’s Hospital Research Institute, University of British Columbia, Vancouver, BC, Canada,V5Z 4H4</w:t>
      </w:r>
    </w:p>
    <w:p w:rsidR="00E63E12" w:rsidRPr="00873E6C" w:rsidRDefault="00E63E12" w:rsidP="00E63E12">
      <w:pPr>
        <w:rPr>
          <w:rFonts w:ascii="Times" w:hAnsi="Times" w:cs="Times New Roman"/>
          <w:sz w:val="24"/>
          <w:szCs w:val="24"/>
        </w:rPr>
      </w:pPr>
    </w:p>
    <w:bookmarkEnd w:id="1"/>
    <w:bookmarkEnd w:id="2"/>
    <w:bookmarkEnd w:id="3"/>
    <w:bookmarkEnd w:id="4"/>
    <w:bookmarkEnd w:id="5"/>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1</w:t>
      </w:r>
      <w:r w:rsidRPr="00873E6C">
        <w:rPr>
          <w:rFonts w:ascii="Times" w:hAnsi="Times" w:cs="Times New Roman"/>
          <w:sz w:val="24"/>
          <w:szCs w:val="24"/>
        </w:rPr>
        <w:t xml:space="preserve">D.T.A.E. </w:t>
      </w:r>
      <w:proofErr w:type="gramStart"/>
      <w:r w:rsidRPr="00873E6C">
        <w:rPr>
          <w:rFonts w:ascii="Times" w:hAnsi="Times" w:cs="Times New Roman"/>
          <w:sz w:val="24"/>
          <w:szCs w:val="24"/>
        </w:rPr>
        <w:t>and</w:t>
      </w:r>
      <w:proofErr w:type="gramEnd"/>
      <w:r w:rsidRPr="00873E6C">
        <w:rPr>
          <w:rFonts w:ascii="Times" w:hAnsi="Times" w:cs="Times New Roman"/>
          <w:sz w:val="24"/>
          <w:szCs w:val="24"/>
        </w:rPr>
        <w:t xml:space="preserve"> C.P.R. contributed equally to this work</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w:t>
      </w:r>
      <w:r w:rsidRPr="00873E6C">
        <w:rPr>
          <w:rFonts w:ascii="Times" w:hAnsi="Times" w:cs="Times New Roman"/>
          <w:sz w:val="24"/>
          <w:szCs w:val="24"/>
        </w:rPr>
        <w:t xml:space="preserve">To whom </w:t>
      </w:r>
      <w:proofErr w:type="spellStart"/>
      <w:r w:rsidRPr="00873E6C">
        <w:rPr>
          <w:rFonts w:ascii="Times" w:hAnsi="Times" w:cs="Times New Roman"/>
          <w:sz w:val="24"/>
          <w:szCs w:val="24"/>
        </w:rPr>
        <w:t>correspondance</w:t>
      </w:r>
      <w:proofErr w:type="spellEnd"/>
      <w:r w:rsidRPr="00873E6C">
        <w:rPr>
          <w:rFonts w:ascii="Times" w:hAnsi="Times" w:cs="Times New Roman"/>
          <w:sz w:val="24"/>
          <w:szCs w:val="24"/>
        </w:rPr>
        <w:t xml:space="preserve"> should be addressed: D.T.A.E: Department of Anthropology, University of Washington, Campus Box 353100, Seattle, WA 98195. 206-221-9056. </w:t>
      </w:r>
      <w:hyperlink r:id="rId8" w:history="1">
        <w:r w:rsidRPr="00873E6C">
          <w:rPr>
            <w:rStyle w:val="Hyperlink"/>
            <w:rFonts w:ascii="Times" w:hAnsi="Times" w:cs="Times New Roman"/>
            <w:color w:val="auto"/>
            <w:sz w:val="24"/>
            <w:szCs w:val="24"/>
          </w:rPr>
          <w:t>dtae@dtae.net</w:t>
        </w:r>
      </w:hyperlink>
      <w:r w:rsidRPr="00873E6C">
        <w:rPr>
          <w:rFonts w:ascii="Times" w:hAnsi="Times" w:cs="Times New Roman"/>
          <w:sz w:val="24"/>
          <w:szCs w:val="24"/>
        </w:rPr>
        <w:t xml:space="preserve">; </w:t>
      </w:r>
      <w:proofErr w:type="gramStart"/>
      <w:r w:rsidRPr="00873E6C">
        <w:rPr>
          <w:rFonts w:ascii="Times" w:hAnsi="Times" w:cs="Times New Roman"/>
          <w:sz w:val="24"/>
          <w:szCs w:val="24"/>
        </w:rPr>
        <w:t>C.P.R.:</w:t>
      </w:r>
      <w:proofErr w:type="gramEnd"/>
      <w:r w:rsidRPr="00873E6C">
        <w:rPr>
          <w:rFonts w:ascii="Times" w:hAnsi="Times" w:cs="Times New Roman"/>
          <w:sz w:val="24"/>
          <w:szCs w:val="24"/>
        </w:rPr>
        <w:t xml:space="preserve"> Department of Anthropology, Northwestern University, 1810 </w:t>
      </w:r>
      <w:proofErr w:type="spellStart"/>
      <w:r w:rsidRPr="00873E6C">
        <w:rPr>
          <w:rFonts w:ascii="Times" w:hAnsi="Times" w:cs="Times New Roman"/>
          <w:sz w:val="24"/>
          <w:szCs w:val="24"/>
        </w:rPr>
        <w:t>Hinman</w:t>
      </w:r>
      <w:proofErr w:type="spellEnd"/>
      <w:r w:rsidRPr="00873E6C">
        <w:rPr>
          <w:rFonts w:ascii="Times" w:hAnsi="Times" w:cs="Times New Roman"/>
          <w:sz w:val="24"/>
          <w:szCs w:val="24"/>
        </w:rPr>
        <w:t xml:space="preserve"> Avenue, Evanston, IL 60201. 847-467-6965. </w:t>
      </w:r>
      <w:hyperlink r:id="rId9" w:history="1">
        <w:r w:rsidRPr="00873E6C">
          <w:rPr>
            <w:rStyle w:val="Hyperlink"/>
            <w:rFonts w:ascii="Times" w:hAnsi="Times" w:cs="Times New Roman"/>
            <w:color w:val="auto"/>
            <w:sz w:val="24"/>
            <w:szCs w:val="24"/>
          </w:rPr>
          <w:t>CPR@u.northwestern.edu</w:t>
        </w:r>
      </w:hyperlink>
      <w:r w:rsidRPr="00873E6C">
        <w:rPr>
          <w:rFonts w:ascii="Times" w:hAnsi="Times" w:cs="Times New Roman"/>
          <w:sz w:val="24"/>
          <w:szCs w:val="24"/>
        </w:rPr>
        <w:t xml:space="preserve"> </w:t>
      </w:r>
    </w:p>
    <w:p w:rsidR="00E63E12" w:rsidRDefault="00E63E12" w:rsidP="00E63E12">
      <w:pPr>
        <w:widowControl w:val="0"/>
        <w:spacing w:after="0" w:line="240" w:lineRule="auto"/>
        <w:rPr>
          <w:rFonts w:ascii="Times" w:hAnsi="Times" w:cs="Times New Roman"/>
          <w:b/>
          <w:sz w:val="24"/>
          <w:szCs w:val="24"/>
        </w:rPr>
      </w:pPr>
    </w:p>
    <w:p w:rsidR="00E63E12" w:rsidRPr="00D912CE" w:rsidRDefault="00E63E12" w:rsidP="00E63E12">
      <w:pPr>
        <w:widowControl w:val="0"/>
        <w:spacing w:after="0" w:line="240" w:lineRule="auto"/>
        <w:rPr>
          <w:rFonts w:ascii="Times" w:hAnsi="Times" w:cs="Times New Roman"/>
          <w:sz w:val="24"/>
          <w:szCs w:val="24"/>
        </w:rPr>
      </w:pPr>
      <w:r w:rsidRPr="00D912CE">
        <w:rPr>
          <w:rFonts w:ascii="Times" w:hAnsi="Times" w:cs="Times New Roman"/>
          <w:b/>
          <w:sz w:val="24"/>
          <w:szCs w:val="24"/>
        </w:rPr>
        <w:t>For submission to:</w:t>
      </w:r>
      <w:r w:rsidRPr="00D912CE">
        <w:rPr>
          <w:rFonts w:ascii="Times" w:hAnsi="Times" w:cs="Times New Roman"/>
          <w:sz w:val="24"/>
          <w:szCs w:val="24"/>
        </w:rPr>
        <w:t xml:space="preserve"> </w:t>
      </w:r>
      <w:r>
        <w:rPr>
          <w:rFonts w:ascii="Times" w:hAnsi="Times" w:cs="Times New Roman"/>
          <w:sz w:val="24"/>
          <w:szCs w:val="24"/>
        </w:rPr>
        <w:t>Scientific Reports</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b/>
          <w:sz w:val="24"/>
          <w:szCs w:val="24"/>
        </w:rPr>
        <w:t xml:space="preserve">Keywords: </w:t>
      </w:r>
      <w:r w:rsidRPr="00873E6C">
        <w:rPr>
          <w:rFonts w:ascii="Times" w:hAnsi="Times" w:cs="Times New Roman"/>
          <w:sz w:val="24"/>
          <w:szCs w:val="24"/>
        </w:rPr>
        <w:t>Telomere length, epigenetic age, costs of reproduction, disposable soma theory, human evolution</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u w:val="single"/>
        </w:rPr>
        <w:t xml:space="preserve">ORCID </w:t>
      </w:r>
      <w:proofErr w:type="spellStart"/>
      <w:r w:rsidRPr="00873E6C">
        <w:rPr>
          <w:rFonts w:ascii="Times" w:hAnsi="Times" w:cs="Times New Roman"/>
          <w:sz w:val="24"/>
          <w:szCs w:val="24"/>
          <w:u w:val="single"/>
        </w:rPr>
        <w:t>iDs</w:t>
      </w:r>
      <w:proofErr w:type="spellEnd"/>
      <w:r w:rsidRPr="00873E6C">
        <w:rPr>
          <w:rFonts w:ascii="Times" w:hAnsi="Times" w:cs="Times New Roman"/>
          <w:sz w:val="24"/>
          <w:szCs w:val="24"/>
          <w:u w:val="single"/>
        </w:rPr>
        <w:t>:</w:t>
      </w:r>
    </w:p>
    <w:p w:rsidR="00E63E12" w:rsidRPr="00873E6C" w:rsidRDefault="00E63E12" w:rsidP="00E63E12">
      <w:pPr>
        <w:widowControl w:val="0"/>
        <w:spacing w:after="0" w:line="240" w:lineRule="auto"/>
        <w:rPr>
          <w:rFonts w:ascii="Times" w:hAnsi="Times" w:cs="Times New Roman"/>
          <w:sz w:val="24"/>
          <w:szCs w:val="24"/>
          <w:vertAlign w:val="superscript"/>
        </w:rPr>
      </w:pPr>
      <w:r w:rsidRPr="00873E6C">
        <w:rPr>
          <w:rFonts w:ascii="Times" w:hAnsi="Times" w:cs="Times New Roman"/>
          <w:sz w:val="24"/>
          <w:szCs w:val="24"/>
        </w:rPr>
        <w:t>Dan T.A. Eisenberg: orcid.org/0000-0003-0812-1862</w:t>
      </w:r>
    </w:p>
    <w:p w:rsidR="00E63E12" w:rsidRPr="00873E6C" w:rsidRDefault="00E63E12" w:rsidP="00E63E12">
      <w:pPr>
        <w:widowControl w:val="0"/>
        <w:spacing w:after="0" w:line="240" w:lineRule="auto"/>
        <w:rPr>
          <w:rFonts w:ascii="Times" w:hAnsi="Times" w:cs="Times New Roman"/>
          <w:sz w:val="24"/>
          <w:szCs w:val="24"/>
        </w:rPr>
      </w:pP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 orcid.org/0000-0002-0550-7949</w:t>
      </w: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rPr>
        <w:t>Meaghan J Jones: orcid.org/0000-0003-1593-997X</w:t>
      </w:r>
    </w:p>
    <w:p w:rsidR="00E63E12" w:rsidRPr="008B2188" w:rsidRDefault="00E63E12" w:rsidP="008B2188">
      <w:pPr>
        <w:rPr>
          <w:rFonts w:ascii="Times" w:eastAsiaTheme="majorEastAsia" w:hAnsi="Times" w:cs="Times New Roman"/>
          <w:b/>
          <w:sz w:val="24"/>
          <w:szCs w:val="24"/>
        </w:rPr>
      </w:pPr>
      <w:r w:rsidRPr="00873E6C">
        <w:rPr>
          <w:rFonts w:ascii="Times" w:hAnsi="Times" w:cs="Times New Roman"/>
          <w:b/>
          <w:sz w:val="24"/>
          <w:szCs w:val="24"/>
        </w:rPr>
        <w:br w:type="page"/>
        <w:t>Abstract</w:t>
      </w:r>
    </w:p>
    <w:p w:rsidR="00E63E12" w:rsidRPr="002071E9" w:rsidRDefault="00DC6A24" w:rsidP="002071E9">
      <w:pPr>
        <w:widowControl w:val="0"/>
        <w:spacing w:after="0" w:line="240" w:lineRule="auto"/>
        <w:rPr>
          <w:rFonts w:ascii="Times" w:hAnsi="Times" w:cs="Times New Roman"/>
          <w:sz w:val="24"/>
          <w:szCs w:val="24"/>
        </w:rPr>
      </w:pPr>
      <w:r>
        <w:rPr>
          <w:rFonts w:ascii="Times" w:hAnsi="Times" w:cs="Times New Roman"/>
          <w:sz w:val="24"/>
          <w:szCs w:val="24"/>
        </w:rPr>
        <w:t>Evolutionary th</w:t>
      </w:r>
      <w:r w:rsidR="00E81A24">
        <w:rPr>
          <w:rFonts w:ascii="Times" w:hAnsi="Times" w:cs="Times New Roman"/>
          <w:sz w:val="24"/>
          <w:szCs w:val="24"/>
        </w:rPr>
        <w:t xml:space="preserve">eory predicts that energy </w:t>
      </w:r>
      <w:r w:rsidR="0066600D">
        <w:rPr>
          <w:rFonts w:ascii="Times" w:hAnsi="Times" w:cs="Times New Roman"/>
          <w:sz w:val="24"/>
          <w:szCs w:val="24"/>
        </w:rPr>
        <w:t>invested into</w:t>
      </w:r>
      <w:r w:rsidR="00E81A24">
        <w:rPr>
          <w:rFonts w:ascii="Times" w:hAnsi="Times" w:cs="Times New Roman"/>
          <w:sz w:val="24"/>
          <w:szCs w:val="24"/>
        </w:rPr>
        <w:t xml:space="preserve"> reproduction comes at the expense of</w:t>
      </w:r>
      <w:r>
        <w:rPr>
          <w:rFonts w:ascii="Times" w:hAnsi="Times" w:cs="Times New Roman"/>
          <w:sz w:val="24"/>
          <w:szCs w:val="24"/>
        </w:rPr>
        <w:t xml:space="preserve"> somatic maintenance</w:t>
      </w:r>
      <w:r w:rsidR="0066600D">
        <w:rPr>
          <w:rFonts w:ascii="Times" w:hAnsi="Times" w:cs="Times New Roman"/>
          <w:sz w:val="24"/>
          <w:szCs w:val="24"/>
        </w:rPr>
        <w:t>, thereby accelerating aging</w:t>
      </w:r>
      <w:r w:rsidR="00E81A24">
        <w:rPr>
          <w:rFonts w:ascii="Times" w:hAnsi="Times" w:cs="Times New Roman"/>
          <w:sz w:val="24"/>
          <w:szCs w:val="24"/>
        </w:rPr>
        <w:t>.</w:t>
      </w:r>
      <w:r w:rsidR="0066600D">
        <w:rPr>
          <w:rFonts w:ascii="Times" w:hAnsi="Times" w:cs="Times New Roman"/>
          <w:sz w:val="24"/>
          <w:szCs w:val="24"/>
        </w:rPr>
        <w:t xml:space="preserve"> </w:t>
      </w:r>
      <w:r w:rsidR="00A6272F">
        <w:rPr>
          <w:rFonts w:ascii="Times" w:hAnsi="Times" w:cs="Times New Roman"/>
          <w:sz w:val="24"/>
          <w:szCs w:val="24"/>
        </w:rPr>
        <w:t xml:space="preserve">Despite </w:t>
      </w:r>
      <w:r w:rsidR="00A02BF9">
        <w:rPr>
          <w:rFonts w:ascii="Times" w:hAnsi="Times" w:cs="Times New Roman"/>
          <w:sz w:val="24"/>
          <w:szCs w:val="24"/>
        </w:rPr>
        <w:t xml:space="preserve">support from </w:t>
      </w:r>
      <w:r w:rsidR="00A6272F">
        <w:rPr>
          <w:rFonts w:ascii="Times" w:hAnsi="Times" w:cs="Times New Roman"/>
          <w:sz w:val="24"/>
          <w:szCs w:val="24"/>
        </w:rPr>
        <w:t xml:space="preserve">studies in human and non-human animals, </w:t>
      </w:r>
      <w:r w:rsidR="00A6272F" w:rsidRPr="00A6272F">
        <w:rPr>
          <w:rFonts w:ascii="Times" w:hAnsi="Times" w:cs="Times New Roman"/>
          <w:sz w:val="24"/>
          <w:szCs w:val="24"/>
        </w:rPr>
        <w:t>mechanisms linking costs of reproduction (</w:t>
      </w:r>
      <w:proofErr w:type="spellStart"/>
      <w:r w:rsidR="00A6272F" w:rsidRPr="00A6272F">
        <w:rPr>
          <w:rFonts w:ascii="Times" w:hAnsi="Times" w:cs="Times New Roman"/>
          <w:sz w:val="24"/>
          <w:szCs w:val="24"/>
        </w:rPr>
        <w:t>C</w:t>
      </w:r>
      <w:r w:rsidR="00A6272F">
        <w:rPr>
          <w:rFonts w:ascii="Times" w:hAnsi="Times" w:cs="Times New Roman"/>
          <w:sz w:val="24"/>
          <w:szCs w:val="24"/>
        </w:rPr>
        <w:t>oR</w:t>
      </w:r>
      <w:proofErr w:type="spellEnd"/>
      <w:r w:rsidR="00A6272F">
        <w:rPr>
          <w:rFonts w:ascii="Times" w:hAnsi="Times" w:cs="Times New Roman"/>
          <w:sz w:val="24"/>
          <w:szCs w:val="24"/>
        </w:rPr>
        <w:t>) to senescence remain</w:t>
      </w:r>
      <w:r w:rsidR="00C209AD">
        <w:rPr>
          <w:rFonts w:ascii="Times" w:hAnsi="Times" w:cs="Times New Roman"/>
          <w:sz w:val="24"/>
          <w:szCs w:val="24"/>
        </w:rPr>
        <w:t>s</w:t>
      </w:r>
      <w:r w:rsidR="00A6272F">
        <w:rPr>
          <w:rFonts w:ascii="Times" w:hAnsi="Times" w:cs="Times New Roman"/>
          <w:sz w:val="24"/>
          <w:szCs w:val="24"/>
        </w:rPr>
        <w:t xml:space="preserve"> </w:t>
      </w:r>
      <w:r w:rsidR="00C209AD">
        <w:rPr>
          <w:rFonts w:ascii="Times" w:hAnsi="Times" w:cs="Times New Roman"/>
          <w:sz w:val="24"/>
          <w:szCs w:val="24"/>
        </w:rPr>
        <w:t>scarce</w:t>
      </w:r>
      <w:r w:rsidR="00A6272F" w:rsidRPr="00A6272F">
        <w:rPr>
          <w:rFonts w:ascii="Times" w:hAnsi="Times" w:cs="Times New Roman"/>
          <w:sz w:val="24"/>
          <w:szCs w:val="24"/>
        </w:rPr>
        <w:t>.</w:t>
      </w:r>
      <w:r w:rsidR="00A6272F">
        <w:rPr>
          <w:rFonts w:ascii="Times" w:hAnsi="Times" w:cs="Times New Roman"/>
          <w:sz w:val="24"/>
          <w:szCs w:val="24"/>
        </w:rPr>
        <w:t xml:space="preserve"> Pregnancy </w:t>
      </w:r>
      <w:r w:rsidR="00EB55FD" w:rsidRPr="00EB55FD">
        <w:rPr>
          <w:rFonts w:ascii="Times" w:hAnsi="Times" w:cs="Times New Roman"/>
          <w:sz w:val="24"/>
          <w:szCs w:val="24"/>
        </w:rPr>
        <w:t xml:space="preserve">entails </w:t>
      </w:r>
      <w:r w:rsidR="00A6272F">
        <w:rPr>
          <w:rFonts w:ascii="Times" w:hAnsi="Times" w:cs="Times New Roman"/>
          <w:sz w:val="24"/>
          <w:szCs w:val="24"/>
        </w:rPr>
        <w:t>ma</w:t>
      </w:r>
      <w:r w:rsidR="00F44B33">
        <w:rPr>
          <w:rFonts w:ascii="Times" w:hAnsi="Times" w:cs="Times New Roman"/>
          <w:sz w:val="24"/>
          <w:szCs w:val="24"/>
        </w:rPr>
        <w:t>ssive</w:t>
      </w:r>
      <w:r w:rsidR="00A6272F">
        <w:rPr>
          <w:rFonts w:ascii="Times" w:hAnsi="Times" w:cs="Times New Roman"/>
          <w:sz w:val="24"/>
          <w:szCs w:val="24"/>
        </w:rPr>
        <w:t xml:space="preserve"> </w:t>
      </w:r>
      <w:r w:rsidR="00EB55FD" w:rsidRPr="00EB55FD">
        <w:rPr>
          <w:rFonts w:ascii="Times" w:hAnsi="Times" w:cs="Times New Roman"/>
          <w:sz w:val="24"/>
          <w:szCs w:val="24"/>
        </w:rPr>
        <w:t xml:space="preserve">physiological and immunological </w:t>
      </w:r>
      <w:r w:rsidR="00A6272F">
        <w:rPr>
          <w:rFonts w:ascii="Times" w:hAnsi="Times" w:cs="Times New Roman"/>
          <w:sz w:val="24"/>
          <w:szCs w:val="24"/>
        </w:rPr>
        <w:t>shifts</w:t>
      </w:r>
      <w:r w:rsidR="00EB55FD" w:rsidRPr="00EB55FD">
        <w:rPr>
          <w:rFonts w:ascii="Times" w:hAnsi="Times" w:cs="Times New Roman"/>
          <w:sz w:val="24"/>
          <w:szCs w:val="24"/>
        </w:rPr>
        <w:t xml:space="preserve"> </w:t>
      </w:r>
      <w:r w:rsidR="00A6272F">
        <w:rPr>
          <w:rFonts w:ascii="Times" w:hAnsi="Times" w:cs="Times New Roman"/>
          <w:sz w:val="24"/>
          <w:szCs w:val="24"/>
        </w:rPr>
        <w:t>capable of accelerating aging through</w:t>
      </w:r>
      <w:r w:rsidR="00EB55FD" w:rsidRPr="00EB55FD">
        <w:rPr>
          <w:rFonts w:ascii="Times" w:hAnsi="Times" w:cs="Times New Roman"/>
          <w:sz w:val="24"/>
          <w:szCs w:val="24"/>
        </w:rPr>
        <w:t xml:space="preserve"> mitotic or non-mitotic </w:t>
      </w:r>
      <w:r w:rsidR="00F44B33">
        <w:rPr>
          <w:rFonts w:ascii="Times" w:hAnsi="Times" w:cs="Times New Roman"/>
          <w:sz w:val="24"/>
          <w:szCs w:val="24"/>
        </w:rPr>
        <w:t xml:space="preserve">cellular </w:t>
      </w:r>
      <w:r w:rsidR="00A6272F">
        <w:rPr>
          <w:rFonts w:ascii="Times" w:hAnsi="Times" w:cs="Times New Roman"/>
          <w:sz w:val="24"/>
          <w:szCs w:val="24"/>
        </w:rPr>
        <w:t xml:space="preserve">pathways </w:t>
      </w:r>
      <w:r w:rsidR="00EB55FD" w:rsidRPr="00EB55FD">
        <w:rPr>
          <w:rFonts w:ascii="Times" w:hAnsi="Times" w:cs="Times New Roman"/>
          <w:sz w:val="24"/>
          <w:szCs w:val="24"/>
        </w:rPr>
        <w:t xml:space="preserve">- or both. Telomeres are repetitive DNA </w:t>
      </w:r>
      <w:r w:rsidR="00F44B33">
        <w:rPr>
          <w:rFonts w:ascii="Times" w:hAnsi="Times" w:cs="Times New Roman"/>
          <w:sz w:val="24"/>
          <w:szCs w:val="24"/>
        </w:rPr>
        <w:t xml:space="preserve">sequences </w:t>
      </w:r>
      <w:r w:rsidR="00EB55FD" w:rsidRPr="00EB55FD">
        <w:rPr>
          <w:rFonts w:ascii="Times" w:hAnsi="Times" w:cs="Times New Roman"/>
          <w:sz w:val="24"/>
          <w:szCs w:val="24"/>
        </w:rPr>
        <w:t>that cap chromosomes and shorten with cell replication, and telomere length (TL) provides an index of mitotic age. DNA-</w:t>
      </w:r>
      <w:proofErr w:type="spellStart"/>
      <w:r w:rsidR="00EB55FD" w:rsidRPr="00EB55FD">
        <w:rPr>
          <w:rFonts w:ascii="Times" w:hAnsi="Times" w:cs="Times New Roman"/>
          <w:sz w:val="24"/>
          <w:szCs w:val="24"/>
        </w:rPr>
        <w:t>methylation</w:t>
      </w:r>
      <w:proofErr w:type="spellEnd"/>
      <w:r w:rsidR="00EB55FD" w:rsidRPr="00EB55FD">
        <w:rPr>
          <w:rFonts w:ascii="Times" w:hAnsi="Times" w:cs="Times New Roman"/>
          <w:sz w:val="24"/>
          <w:szCs w:val="24"/>
        </w:rPr>
        <w:t xml:space="preserve"> age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is marker of non-mitotic cellular aging correlated with chronological age</w:t>
      </w:r>
      <w:r w:rsidR="00C209AD">
        <w:rPr>
          <w:rFonts w:ascii="Times" w:hAnsi="Times" w:cs="Times New Roman"/>
          <w:sz w:val="24"/>
          <w:szCs w:val="24"/>
        </w:rPr>
        <w:t>,</w:t>
      </w:r>
      <w:r w:rsidR="00F44B33">
        <w:rPr>
          <w:rFonts w:ascii="Times" w:hAnsi="Times" w:cs="Times New Roman"/>
          <w:sz w:val="24"/>
          <w:szCs w:val="24"/>
        </w:rPr>
        <w:t xml:space="preserve"> but </w:t>
      </w:r>
      <w:r w:rsidR="008B2188">
        <w:rPr>
          <w:rFonts w:ascii="Times" w:hAnsi="Times" w:cs="Times New Roman"/>
          <w:sz w:val="24"/>
          <w:szCs w:val="24"/>
        </w:rPr>
        <w:t xml:space="preserve">is </w:t>
      </w:r>
      <w:r w:rsidR="00EB55FD" w:rsidRPr="00EB55FD">
        <w:rPr>
          <w:rFonts w:ascii="Times" w:hAnsi="Times" w:cs="Times New Roman"/>
          <w:sz w:val="24"/>
          <w:szCs w:val="24"/>
        </w:rPr>
        <w:t xml:space="preserve">accelerated in response to </w:t>
      </w:r>
      <w:r w:rsidR="00F44B33">
        <w:rPr>
          <w:rFonts w:ascii="Times" w:hAnsi="Times" w:cs="Times New Roman"/>
          <w:sz w:val="24"/>
          <w:szCs w:val="24"/>
        </w:rPr>
        <w:t>physiological and immunological</w:t>
      </w:r>
      <w:r w:rsidR="00EB55FD" w:rsidRPr="00EB55FD">
        <w:rPr>
          <w:rFonts w:ascii="Times" w:hAnsi="Times" w:cs="Times New Roman"/>
          <w:sz w:val="24"/>
          <w:szCs w:val="24"/>
        </w:rPr>
        <w:t xml:space="preserve"> stress. </w:t>
      </w:r>
      <w:r w:rsidR="00F44B33">
        <w:rPr>
          <w:rFonts w:ascii="Times" w:hAnsi="Times" w:cs="Times New Roman"/>
          <w:sz w:val="24"/>
          <w:szCs w:val="24"/>
        </w:rPr>
        <w:t>S</w:t>
      </w:r>
      <w:r w:rsidR="00EB55FD" w:rsidRPr="00EB55FD">
        <w:rPr>
          <w:rFonts w:ascii="Times" w:hAnsi="Times" w:cs="Times New Roman"/>
          <w:sz w:val="24"/>
          <w:szCs w:val="24"/>
        </w:rPr>
        <w:t xml:space="preserve">horter TL and accelerated </w:t>
      </w:r>
      <w:proofErr w:type="spellStart"/>
      <w:r w:rsidR="00EB55FD" w:rsidRPr="00EB55FD">
        <w:rPr>
          <w:rFonts w:ascii="Times" w:hAnsi="Times" w:cs="Times New Roman"/>
          <w:sz w:val="24"/>
          <w:szCs w:val="24"/>
        </w:rPr>
        <w:t>DNAmAge</w:t>
      </w:r>
      <w:proofErr w:type="spellEnd"/>
      <w:r w:rsidR="00F44B33">
        <w:rPr>
          <w:rFonts w:ascii="Times" w:hAnsi="Times" w:cs="Times New Roman"/>
          <w:sz w:val="24"/>
          <w:szCs w:val="24"/>
        </w:rPr>
        <w:t xml:space="preserve"> both</w:t>
      </w:r>
      <w:r w:rsidR="00EB55FD" w:rsidRPr="00EB55FD">
        <w:rPr>
          <w:rFonts w:ascii="Times" w:hAnsi="Times" w:cs="Times New Roman"/>
          <w:sz w:val="24"/>
          <w:szCs w:val="24"/>
        </w:rPr>
        <w:t xml:space="preserve"> predict age-related morbidity and mortality. To elucidate mechanisms underpinning </w:t>
      </w:r>
      <w:proofErr w:type="spellStart"/>
      <w:r w:rsidR="00EB55FD" w:rsidRPr="00EB55FD">
        <w:rPr>
          <w:rFonts w:ascii="Times" w:hAnsi="Times" w:cs="Times New Roman"/>
          <w:sz w:val="24"/>
          <w:szCs w:val="24"/>
        </w:rPr>
        <w:t>CoR</w:t>
      </w:r>
      <w:proofErr w:type="spellEnd"/>
      <w:r w:rsidR="00EB55FD" w:rsidRPr="00EB55FD">
        <w:rPr>
          <w:rFonts w:ascii="Times" w:hAnsi="Times" w:cs="Times New Roman"/>
          <w:sz w:val="24"/>
          <w:szCs w:val="24"/>
        </w:rPr>
        <w:t xml:space="preserve">, we examined the relationship between parity, TL (n=821), and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xml:space="preserve"> (n=397) in young (20-22 year-old) Filipino women. TL </w:t>
      </w:r>
      <w:r w:rsidR="00C209AD">
        <w:rPr>
          <w:rFonts w:ascii="Times" w:hAnsi="Times" w:cs="Times New Roman"/>
          <w:sz w:val="24"/>
          <w:szCs w:val="24"/>
        </w:rPr>
        <w:t>decreased</w:t>
      </w:r>
      <w:r w:rsidR="00EB55FD" w:rsidRPr="00EB55FD">
        <w:rPr>
          <w:rFonts w:ascii="Times" w:hAnsi="Times" w:cs="Times New Roman"/>
          <w:sz w:val="24"/>
          <w:szCs w:val="24"/>
        </w:rPr>
        <w:t xml:space="preserve"> (p=0.016) and </w:t>
      </w:r>
      <w:proofErr w:type="spellStart"/>
      <w:r w:rsidR="00EB55FD" w:rsidRPr="00EB55FD">
        <w:rPr>
          <w:rFonts w:ascii="Times" w:hAnsi="Times" w:cs="Times New Roman"/>
          <w:sz w:val="24"/>
          <w:szCs w:val="24"/>
        </w:rPr>
        <w:t>DNAmA</w:t>
      </w:r>
      <w:r w:rsidR="00C209AD">
        <w:rPr>
          <w:rFonts w:ascii="Times" w:hAnsi="Times" w:cs="Times New Roman"/>
          <w:sz w:val="24"/>
          <w:szCs w:val="24"/>
        </w:rPr>
        <w:t>ge</w:t>
      </w:r>
      <w:proofErr w:type="spellEnd"/>
      <w:r w:rsidR="00C209AD">
        <w:rPr>
          <w:rFonts w:ascii="Times" w:hAnsi="Times" w:cs="Times New Roman"/>
          <w:sz w:val="24"/>
          <w:szCs w:val="24"/>
        </w:rPr>
        <w:t xml:space="preserve"> increased (p=0.011) with parity</w:t>
      </w:r>
      <w:r w:rsidR="00EB55FD" w:rsidRPr="00EB55FD">
        <w:rPr>
          <w:rFonts w:ascii="Times" w:hAnsi="Times" w:cs="Times New Roman"/>
          <w:sz w:val="24"/>
          <w:szCs w:val="24"/>
        </w:rPr>
        <w:t xml:space="preserve">, an effect that was not contingent upon resource availability. Neither biomarker predicted subsequent fertility, supporting a causal effect of parity on aging (p&gt;0.4 for both). </w:t>
      </w:r>
      <w:r w:rsidR="008B2188">
        <w:rPr>
          <w:rFonts w:ascii="Times" w:hAnsi="Times" w:cs="Times New Roman"/>
          <w:sz w:val="24"/>
          <w:szCs w:val="24"/>
        </w:rPr>
        <w:t xml:space="preserve">Consistent with prior work, </w:t>
      </w:r>
      <w:r w:rsidR="00EB55FD" w:rsidRPr="00EB55FD">
        <w:rPr>
          <w:rFonts w:ascii="Times" w:hAnsi="Times" w:cs="Times New Roman"/>
          <w:sz w:val="24"/>
          <w:szCs w:val="24"/>
        </w:rPr>
        <w:t>T</w:t>
      </w:r>
      <w:r w:rsidR="008B2188">
        <w:rPr>
          <w:rFonts w:ascii="Times" w:hAnsi="Times" w:cs="Times New Roman"/>
          <w:sz w:val="24"/>
          <w:szCs w:val="24"/>
        </w:rPr>
        <w:t xml:space="preserve">L and </w:t>
      </w:r>
      <w:proofErr w:type="spellStart"/>
      <w:r w:rsidR="008B2188">
        <w:rPr>
          <w:rFonts w:ascii="Times" w:hAnsi="Times" w:cs="Times New Roman"/>
          <w:sz w:val="24"/>
          <w:szCs w:val="24"/>
        </w:rPr>
        <w:t>DNAmAge</w:t>
      </w:r>
      <w:proofErr w:type="spellEnd"/>
      <w:r w:rsidR="008B2188">
        <w:rPr>
          <w:rFonts w:ascii="Times" w:hAnsi="Times" w:cs="Times New Roman"/>
          <w:sz w:val="24"/>
          <w:szCs w:val="24"/>
        </w:rPr>
        <w:t xml:space="preserve"> were uncorrelated, but</w:t>
      </w:r>
      <w:r w:rsidR="00EB55FD" w:rsidRPr="00EB55FD">
        <w:rPr>
          <w:rFonts w:ascii="Times" w:hAnsi="Times" w:cs="Times New Roman"/>
          <w:sz w:val="24"/>
          <w:szCs w:val="24"/>
        </w:rPr>
        <w:t xml:space="preserve"> appear to represent distinct aspects of senescence, both exhibiting patterns of premature aging with reproduction among these young women.</w:t>
      </w:r>
      <w:r w:rsidR="00E63E12" w:rsidRPr="00873E6C">
        <w:rPr>
          <w:rFonts w:ascii="Times" w:hAnsi="Times" w:cs="Times New Roman"/>
          <w:b/>
          <w:sz w:val="24"/>
          <w:szCs w:val="24"/>
        </w:rPr>
        <w:br w:type="page"/>
        <w:t>Introduction</w:t>
      </w:r>
    </w:p>
    <w:p w:rsidR="00254F62" w:rsidRDefault="00E63E12" w:rsidP="00EA4A04">
      <w:pPr>
        <w:spacing w:after="120"/>
        <w:rPr>
          <w:rFonts w:ascii="Times" w:hAnsi="Times" w:cs="Times New Roman"/>
          <w:sz w:val="24"/>
          <w:szCs w:val="24"/>
        </w:rPr>
      </w:pPr>
      <w:r w:rsidRPr="00873E6C">
        <w:rPr>
          <w:rFonts w:ascii="Times" w:hAnsi="Times" w:cs="Times New Roman"/>
          <w:sz w:val="24"/>
          <w:szCs w:val="24"/>
        </w:rPr>
        <w:t xml:space="preserve">Evolutionary theory predicts that energy expenditure in the form of reproductive effort comes at the expense of somatic maintenance and lifespan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{"citationID":"8slVyJ4f","properties":{"formattedCitation":"(1)","plainCitation":"(1)"},"citationItems":[{"id":451,"uris":["http://zotero.org/users/451958/items/ZGIF4TVI"],"uri":["http://zotero.org/users/451958/items/ZGIF4TVI"],"itemData":{"id":451,"type":"book","title":"The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Times New Roman"/>
          <w:noProof/>
          <w:sz w:val="24"/>
          <w:szCs w:val="24"/>
        </w:rPr>
        <w:t>(1)</w:t>
      </w:r>
      <w:r w:rsidR="00E11235" w:rsidRPr="00873E6C">
        <w:rPr>
          <w:rFonts w:ascii="Times" w:hAnsi="Times" w:cs="Times New Roman"/>
          <w:sz w:val="24"/>
          <w:szCs w:val="24"/>
        </w:rPr>
        <w:fldChar w:fldCharType="end"/>
      </w:r>
      <w:r w:rsidRPr="00873E6C">
        <w:rPr>
          <w:rFonts w:ascii="Times" w:hAnsi="Times" w:cs="Times New Roman"/>
          <w:sz w:val="24"/>
          <w:szCs w:val="24"/>
        </w:rPr>
        <w:t>. Because resources are finite and selection favor</w:t>
      </w:r>
      <w:r w:rsidR="002071E9">
        <w:rPr>
          <w:rFonts w:ascii="Times" w:hAnsi="Times" w:cs="Times New Roman"/>
          <w:sz w:val="24"/>
          <w:szCs w:val="24"/>
        </w:rPr>
        <w:t>s</w:t>
      </w:r>
      <w:r w:rsidRPr="00873E6C">
        <w:rPr>
          <w:rFonts w:ascii="Times" w:hAnsi="Times" w:cs="Times New Roman"/>
          <w:sz w:val="24"/>
          <w:szCs w:val="24"/>
        </w:rPr>
        <w:t xml:space="preserve"> early life fecundity over late life functional decline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d532t6upk","properties":{"formattedCitation":"(2)","plainCitation":"(2)"},"citationItems":[{"id":6835,"uris":["http://zotero.org/users/451958/items/5UUMEC5E"],"uri":["http://zotero.org/users/451958/items/5UUMEC5E"],"itemData":{"id":6835,"type":"article-journal","title":"Pleiotropy, Natural Selection, and the Evolution of Senescence","container-title":"Evolution","page":"398-411","ISSN":"0014-3820","journalAbbreviation":"Evolution","author":[{"family":"Williams","given":"George C"}],"issued":{"date-parts":[["1957"]]}}}],"schema":"https://github.com/citation-style-language/schema/raw/master/csl-citation.json"}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Times New Roman"/>
          <w:noProof/>
          <w:sz w:val="24"/>
          <w:szCs w:val="24"/>
        </w:rPr>
        <w:t>(2)</w:t>
      </w:r>
      <w:r w:rsidR="00E11235" w:rsidRPr="00873E6C">
        <w:rPr>
          <w:rFonts w:ascii="Times" w:hAnsi="Times" w:cs="Times New Roman"/>
          <w:sz w:val="24"/>
          <w:szCs w:val="24"/>
        </w:rPr>
        <w:fldChar w:fldCharType="end"/>
      </w:r>
      <w:r w:rsidRPr="00873E6C">
        <w:rPr>
          <w:rFonts w:ascii="Times" w:hAnsi="Times" w:cs="Times New Roman"/>
          <w:sz w:val="24"/>
          <w:szCs w:val="24"/>
        </w:rPr>
        <w:t xml:space="preserve">, reproduction </w:t>
      </w:r>
      <w:r w:rsidR="002071E9">
        <w:rPr>
          <w:rFonts w:ascii="Times" w:hAnsi="Times" w:cs="Times New Roman"/>
          <w:sz w:val="24"/>
          <w:szCs w:val="24"/>
        </w:rPr>
        <w:t>is expected to</w:t>
      </w:r>
      <w:r w:rsidRPr="00873E6C">
        <w:rPr>
          <w:rFonts w:ascii="Times" w:hAnsi="Times" w:cs="Times New Roman"/>
          <w:sz w:val="24"/>
          <w:szCs w:val="24"/>
        </w:rPr>
        <w:t xml:space="preserve"> carry a ‘cost’ </w:t>
      </w:r>
      <w:r w:rsidR="002071E9">
        <w:rPr>
          <w:rFonts w:ascii="Times" w:hAnsi="Times" w:cs="Times New Roman"/>
          <w:sz w:val="24"/>
          <w:szCs w:val="24"/>
        </w:rPr>
        <w:t xml:space="preserve">in the form of </w:t>
      </w:r>
      <w:r w:rsidRPr="00873E6C">
        <w:rPr>
          <w:rFonts w:ascii="Times" w:hAnsi="Times" w:cs="Times New Roman"/>
          <w:sz w:val="24"/>
          <w:szCs w:val="24"/>
        </w:rPr>
        <w:t>mortality risk</w:t>
      </w:r>
      <w:r w:rsidR="00E559D3">
        <w:rPr>
          <w:rFonts w:ascii="Times" w:hAnsi="Times" w:cs="Times New Roman"/>
          <w:sz w:val="24"/>
          <w:szCs w:val="24"/>
        </w:rPr>
        <w:t>, senescence, and functional decline</w:t>
      </w:r>
      <w:r w:rsidRPr="00873E6C">
        <w:rPr>
          <w:rFonts w:ascii="Times" w:hAnsi="Times" w:cs="Times New Roman"/>
          <w:sz w:val="24"/>
          <w:szCs w:val="24"/>
        </w:rPr>
        <w:t xml:space="preserve">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lm18h0mou","properties":{"formattedCitation":"(3)","plainCitation":"(3)"},"citationItems":[{"id":8215,"uris":["http://zotero.org/users/451958/items/K5NTHKCT"],"uri":["http://zotero.org/users/451958/items/K5NTHKCT"],"itemData":{"id":8215,"type":"article-journal","title":"Evolution of ageing","container-title":"Nature","page":"301-304","volume":"270","issue":"5635","author":[{"family":"Kirkwood","given":"T. B. L."}],"issued":{"date-parts":[["1977"]]}}}],"schema":"https://github.com/citation-style-language/schema/raw/master/csl-citation.json"}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Times New Roman"/>
          <w:noProof/>
          <w:sz w:val="24"/>
          <w:szCs w:val="24"/>
        </w:rPr>
        <w:t>(3)</w:t>
      </w:r>
      <w:r w:rsidR="00E11235" w:rsidRPr="00873E6C">
        <w:rPr>
          <w:rFonts w:ascii="Times" w:hAnsi="Times" w:cs="Times New Roman"/>
          <w:sz w:val="24"/>
          <w:szCs w:val="24"/>
        </w:rPr>
        <w:fldChar w:fldCharType="end"/>
      </w:r>
      <w:r w:rsidRPr="00873E6C">
        <w:rPr>
          <w:rFonts w:ascii="Times" w:hAnsi="Times" w:cs="Times New Roman"/>
          <w:sz w:val="24"/>
          <w:szCs w:val="24"/>
        </w:rPr>
        <w:t xml:space="preserve">. </w:t>
      </w:r>
      <w:r w:rsidR="002071E9">
        <w:rPr>
          <w:rFonts w:ascii="Times" w:hAnsi="Times" w:cs="Times New Roman"/>
          <w:sz w:val="24"/>
          <w:szCs w:val="24"/>
        </w:rPr>
        <w:t xml:space="preserve">Direct </w:t>
      </w:r>
      <w:r w:rsidRPr="00873E6C">
        <w:rPr>
          <w:rFonts w:ascii="Times" w:hAnsi="Times" w:cs="Times New Roman"/>
          <w:sz w:val="24"/>
          <w:szCs w:val="24"/>
        </w:rPr>
        <w:t>‘costs of reproduction’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have been demonstrated among animal models, whereby reproduction hastens senescence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{"citationID":"JZedzpfM","properties":{"formattedCitation":"(4, 5)","plainCitation":"(4, 5)"},"citationItems":[{"id":7514,"uris":["http://zotero.org/users/451958/items/TCE76RZG"],"uri":["http://zotero.org/users/451958/items/TCE76RZG"],"itemData":{"id":7514,"type":"article-journal","title":"The Effects of Temperature and of Egg-Laying on the Longevity of Drosophila Subobscura","container-title":"Journal of Experimental Biology","page":"832-842","volume":"35","issue":"4","source":"jeb.biologists.org","abstract":"1. The adult life span of Drosophila subobscura has been measured at temperatures varying from 20° to 33° C. A sharp increase in the slope of the curve of log survival time against temperature occurs at temperatures above 31° C.\n2. Changes which occur in individuals at 33° C. or above are reversible, at least in part, at 20° C.; but changes occurring at 30·5° C. are irreversible in the sense that the total survival time at 30·5° C. is not increased by intervening periods at 20° C.\n3. Exposure of young adult flies to 30·5° C. for a period of about half their expectation of life at that temperature significantly increases the further expectation of life of females at 20° C. but does not alter the expectation of life of males. Such exposure causes a partial regression of the ovaries of females, a permanent change in their behaviour and a reduction in their rate of egg-laying; exposure does not alter the behaviour or seriously reduce the fertility of males.\n4. ‘Ovariless’ females and virgin females live for significantly longer than do normal mated females. The expectation of life of ‘ovariless’ females at 20° C. is not altered by exposure to 30·5° C. It is concluded that egg-laying accelerates the ageing of females at 20° C., and that the prolongation of life of females exposed to 30·5° C. is due to the reduction in the rate at which such females subsequently lay eggs.","ISSN":"0022-0949, 1477-9145","language":"en","author":[{"family":"Maynard Smith","given":"J."}],"issued":{"date-parts":[["1958",12,1]]}}},{"id":8248,"uris":["http://zotero.org/users/451958/items/BLJXMR2P"],"uri":["http://zotero.org/users/451958/items/BLJXMR2P"],"itemData":{"id":8248,"type":"article-journal","title":"Costs of reproduction: an evaluation of the empirical evidence","container-title":"Oikos","page":"257-267","volume":"44","issue":"2","author":[{"family":"Reznick","given":"D."}],"issued":{"date-parts":[["1985"]]}}}],"schema":"https://github.com/citation-style-language/schema/raw/master/csl-citation.json"}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Times New Roman"/>
          <w:noProof/>
          <w:sz w:val="24"/>
          <w:szCs w:val="24"/>
        </w:rPr>
        <w:t>(4, 5)</w:t>
      </w:r>
      <w:r w:rsidR="00E11235" w:rsidRPr="00873E6C">
        <w:rPr>
          <w:rFonts w:ascii="Times" w:hAnsi="Times" w:cs="Times New Roman"/>
          <w:sz w:val="24"/>
          <w:szCs w:val="24"/>
        </w:rPr>
        <w:fldChar w:fldCharType="end"/>
      </w:r>
      <w:r w:rsidR="002071E9">
        <w:rPr>
          <w:rFonts w:ascii="Times" w:hAnsi="Times" w:cs="Times New Roman"/>
          <w:sz w:val="24"/>
          <w:szCs w:val="24"/>
        </w:rPr>
        <w:t>. C</w:t>
      </w:r>
      <w:r w:rsidRPr="00873E6C">
        <w:rPr>
          <w:rFonts w:ascii="Times" w:hAnsi="Times" w:cs="Times New Roman"/>
          <w:sz w:val="24"/>
          <w:szCs w:val="24"/>
        </w:rPr>
        <w:t xml:space="preserve">onversely, selection for late life fecundity results in lifespan extension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{"citationID":"ajdkpclm0f","properties":{"formattedCitation":"(6, 7)","plainCitation":"(6, 7)"},"citationItems":[{"id":8171,"uris":["http://zotero.org/users/451958/items/FTFAFSQL"],"uri":["http://zotero.org/users/451958/items/FTFAFSQL"],"itemData":{"id":8171,"type":"article-journal","title":"Genetic variation and aging","container-title":"Annu Rev Genet","page":"553-75","volume":"29","issue":"1","abstract":"Life span is subject to genetic modification in yeasts, nematodes, fruit flies, mice, humans, and other vertebrates and invertebrates. There are a few single-gene mutants known that extend life span in yeast and nematodes; in other experimental systems the character is treated quantitatively, and generally has a low to moderate heritability. Life span responds to artificial selection in Drosophila and Caenorhabditis. There are many candidate genes presently under investigation, including the anti-oxidizing enzymes and heat-shock proteins. The main evolutionary models of senescence are antagonistic pleiotropy and mutation accumulation, neither of which has substantial experimental support. The incorporation of analytical techniques from demography is playing an increasing role in research on aging.","author":[{"family":"Curtsinger","given":"J. W."},{"family":"Fukui","given":"H. H."},{"family":"Khazaeli","given":"A. A."},{"family":"Kirscher","given":"A."},{"family":"Pletcher","given":"S. D."},{"family":"Promislow","given":"D. E."},{"family":"Tatar","given":"M."}],"issued":{"date-parts":[["1995"]]}}},{"id":8251,"uris":["http://zotero.org/users/451958/items/9VG6H8AF"],"uri":["http://zotero.org/users/451958/items/9VG6H8AF"],"itemData":{"id":8251,"type":"article-journal","title":"Evolution of late-life mortality in drosophila melanogaster","container-title":"Evolution","page":"1982-1991","volume":"56","issue":"10","abstract":"Abstract.— Aging appears to cease at late ages, when mortality rates roughly plateau in large-scale demographic studies. This anomalous plateau in late-life mortality has been explained theoretically in two ways: (1) as a strictly demographic result of heterogeneity in life-long robustness between individuals within cohorts, and (2) as an evolutionary result of the plateau in the force of natural selection after the end of reproduction. Here we test the latter theory using cohorts of Drosophila melanogaster cultured with different ages of reproduction for many generations. We show in two independent comparisons that populations that evolve with early truncation of reproduction exhibit earlier onset of mortality-rate plateaus, in conformity with evolutionary theory. In addition, we test two population genetic mechanisms that may be involved in the evolution of late-life mortality: mutation accumulation and antagonistic pleiotropy. We test mutation accumulation by crossing genetically divergent, yet demographically identical, populations, testing for hybrid vigor between the hybrid and nonhybrid parental populations. We found no difference between the hybrid and nonhybrid populations in late-life mortality rates, a result that does not support mutation accumulation as a genetic mechanism for late-life mortality, assuming mutations act recessively. Finally, we test antagonistic pleiotropy by returning replicate populations to a much earlier age of last reproduction for a short evolutionary time, testing for a rapid indirect response of late-life mortality rates. The positive results from this test support antagonistic pleiotropy as a genetic mechanism for the evolution of late-life mortality. Together these experiments comprise the first corroborations of the evolutionary theory of late-life mortality.","author":[{"family":"Rose","given":"Michael R."},{"family":"Drapeau","given":"Mark D."},{"family":"Yazdi","given":"Puya G."},{"family":"Shah","given":"Kandarp H."},{"family":"Moise","given":"Diana B."},{"family":"Thakar","given":"Rena R."},{"family":"Rauser","given":"Casandra L."},{"family":"Mueller","given":"Laurence D."}],"issued":{"date-parts":[["2002"]]}}}],"schema":"https://github.com/citation-style-language/schema/raw/master/csl-citation.json"}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Times New Roman"/>
          <w:noProof/>
          <w:sz w:val="24"/>
          <w:szCs w:val="24"/>
        </w:rPr>
        <w:t>(6, 7)</w:t>
      </w:r>
      <w:r w:rsidR="00E11235"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 xml:space="preserve">In humans, </w:t>
      </w:r>
      <w:proofErr w:type="spellStart"/>
      <w:r w:rsidR="00EA4A04">
        <w:rPr>
          <w:rFonts w:ascii="Times" w:hAnsi="Times" w:cs="Times New Roman"/>
          <w:sz w:val="24"/>
          <w:szCs w:val="24"/>
        </w:rPr>
        <w:t>CoR</w:t>
      </w:r>
      <w:proofErr w:type="spellEnd"/>
      <w:r w:rsidR="00EA4A04">
        <w:rPr>
          <w:rFonts w:ascii="Times" w:hAnsi="Times" w:cs="Times New Roman"/>
          <w:sz w:val="24"/>
          <w:szCs w:val="24"/>
        </w:rPr>
        <w:t xml:space="preserve"> </w:t>
      </w:r>
      <w:r w:rsidR="00584F72">
        <w:rPr>
          <w:rFonts w:ascii="Times" w:hAnsi="Times" w:cs="Times New Roman"/>
          <w:sz w:val="24"/>
          <w:szCs w:val="24"/>
        </w:rPr>
        <w:t>has been</w:t>
      </w:r>
      <w:r w:rsidR="00EA4A04">
        <w:rPr>
          <w:rFonts w:ascii="Times" w:hAnsi="Times" w:cs="Times New Roman"/>
          <w:sz w:val="24"/>
          <w:szCs w:val="24"/>
        </w:rPr>
        <w:t xml:space="preserve"> predominantly studied through the use of historical datasets. This research suggests that increased reproductive effort</w:t>
      </w:r>
      <w:r w:rsidRPr="00873E6C">
        <w:rPr>
          <w:rFonts w:ascii="Times" w:hAnsi="Times" w:cs="Times New Roman"/>
          <w:sz w:val="24"/>
          <w:szCs w:val="24"/>
        </w:rPr>
        <w:t xml:space="preserve"> is</w:t>
      </w:r>
      <w:r w:rsidR="00EA4A04">
        <w:rPr>
          <w:rFonts w:ascii="Times" w:hAnsi="Times" w:cs="Times New Roman"/>
          <w:sz w:val="24"/>
          <w:szCs w:val="24"/>
        </w:rPr>
        <w:t xml:space="preserve"> often</w:t>
      </w:r>
      <w:r w:rsidRPr="00873E6C">
        <w:rPr>
          <w:rFonts w:ascii="Times" w:hAnsi="Times" w:cs="Times New Roman"/>
          <w:sz w:val="24"/>
          <w:szCs w:val="24"/>
        </w:rPr>
        <w:t xml:space="preserve"> a</w:t>
      </w:r>
      <w:r w:rsidR="00EA4A04">
        <w:rPr>
          <w:rFonts w:ascii="Times" w:hAnsi="Times" w:cs="Times New Roman"/>
          <w:sz w:val="24"/>
          <w:szCs w:val="24"/>
        </w:rPr>
        <w:t>ssociated with a shortening of lifespan</w:t>
      </w:r>
      <w:r w:rsidRPr="00873E6C">
        <w:rPr>
          <w:rFonts w:ascii="Times" w:hAnsi="Times" w:cs="Times New Roman"/>
          <w:sz w:val="24"/>
          <w:szCs w:val="24"/>
        </w:rPr>
        <w:t xml:space="preserve">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{"citationID":"5XfV0wG6","properties":{"unsorted":true,"formattedCitation":"{\\rtf (8\\uc0\\u8211{}12, but see 13)}","plainCitation":"(8–12, but see 13)"},"citationItems":[{"id":6684,"uris":["http://zotero.org/users/451958/items/TZ2H7NB7"],"uri":["http://zotero.org/users/451958/items/TZ2H7NB7"],"itemData":{"id":6684,"type":"article-journal","title":"Human longevity at the cost of reproductive success","container-title":"Nature","page":"743-746","volume":"396","issue":"6713","source":"www.nature.com","abstract":"The disposable soma theory on the evolution of ageing states that longevity requires investments in somatic maintenance that reduce the resources available for reproduction,. Experiments in Drosophila melanogaster indicate that trade-offs of this kind exist in non-human species. We have determined the interrelationship between longevity and reproductive success in Homo sapiens using a historical data set from the British aristocracy. The number of progeny was small when women died at an early age, increased with the age of death, reaching a plateau through the sixth, seventh and eighth decades of life, but decreased again in women who died at an age of 80 years or over. Age at first childbirth was lowest in women who died early and highest for women who died at the oldest ages. When account was taken only of women who had reached menopause, who were aged 60 years and over, female longevity was negatively correlated with number of progeny and positively correlated with age at first childbirth. The findings show that human life histories involve a trade-off between longevity and reproduction.","DOI":"10.1038/25519","ISSN":"0028-0836","journalAbbreviation":"Nature","language":"en","author":[{"family":"Westendorp","given":"Rudi G. J."},{"family":"Kirkwood","given":"Thomas B. L."}],"issued":{"date-parts":[["1998",12,24]]}},"label":"page"},{"id":7868,"uris":["http://zotero.org/users/451958/items/QSN6N7EK"],"uri":["http://zotero.org/users/451958/items/QSN6N7EK"],"itemData":{"id":7868,"type":"article-journal","title":"Reproduction and longevity among the British peerage: the effect of frailty and health selection","container-title":"Proceedings of the Royal Society of London B: Biological Sciences","page":"1541-1547","volume":"270","issue":"1524","source":"rspb.royalsocietypublishing.org.turing.library.northwestern.edu","abstract":"Whether a cost of reproduction exists among humans is still questionable. A major study of aristocratic British families finds a significant positive correlation between parity and late–life mortality, which indicates a trade–off between reproduction and longevity. This result is supported by four other studies, while earlier studies have not found a relationship or came to the opposite conclusion. We show that in natural fertility populations the relationship between fertility and late–life mortality cannot be studied correctly without considering the effects of differences in health and of mortality selection during childbearing ages because these two effects lead to a dampening of the true relationship. If these effects are controlled in Hollingsworth's genealogy of the British peerage a significant trade–off between reproduction and longevity exists for females but not for males.","DOI":"10.1098/rspb.2003.2400","ISSN":"0962-8452, 1471-2954","note":"PMID: 12908973","shortTitle":"Reproduction and longevity among the British peerage","language":"en","author":[{"family":"Doblhammer","given":"Gabriele"},{"family":"Oeppen","given":"Jim"}],"issued":{"date-parts":[["2003",8,7]]}},"label":"page"},{"id":8009,"uris":["http://zotero.org/users/451958/items/7962KS2A"],"uri":["http://zotero.org/users/451958/items/7962KS2A"],"itemData":{"id":8009,"type":"article-journal","title":"Differential fitness costs of reproduction between the sexes","container-title":"Proceedings of the National Academy of Sciences","page":"553-558","volume":"104","issue":"2","source":"www.pnas.org.turing.library.northwestern.edu","abstract":"Natural selection does not necessarily favor maximal reproduction because reproduction imposes fitness costs, reducing parental survival, and offspring quality. Here, we show that parents in a preindustrial population in North America incurred fitness costs from reproduction, and women incurred greater costs than men. We examined the survivorship and reproductive success (Darwinian fitness) of 21,684 couples married between 1860 and 1895 identified in the Utah Population Database. We found that increasing number of offspring (parity) and rates of reproduction were associated with reduced parental survivorship, and significantly more for mothers than fathers. Parental mortality resulted in reduced survival and reproduction of offspring, and the mothers' mortality was more detrimental to offspring than the fathers'. Increasing family size was associated with lower offspring survival, primarily for later-born children, indicating a tradeoff between offspring quantity versus quality. Also, we found that the costs of reproduction increased with age more for women than men. Our findings help to explain some puzzling aspects of human reproductive physiology and behavior, including the evolution of menopause and fertility declines associated with improvements in women's status (demographic transitions).","DOI":"10.1073/pnas.0609301103","ISSN":"0027-8424, 1091-6490","note":"PMID: 17192400","journalAbbreviation":"PNAS","language":"en","author":[{"family":"Penn","given":"Dustin J."},{"family":"Smith","given":"Ken R."}],"issued":{"date-parts":[["2007",1,9]]}},"label":"page"},{"id":6773,"uris":["http://zotero.org/users/451958/items/2S7JF29J"],"uri":["http://zotero.org/users/451958/items/2S7JF29J"],"itemData":{"id":6773,"type":"article-journal","title":"Is there a trade-off between fertility and longevity? A comparative study of women from three large historical databases accounting for mortality selection","container-title":"American Journal of Human Biology","page":"533-540","volume":"21","issue":"4","source":"CrossRef","DOI":"10.1002/ajhb.20893","ISSN":"10420533, 15206300","shortTitle":"Is there a trade-off between fertility and longevity?","language":"en","author":[{"family":"Gagnon","given":"Alain"},{"family":"Smith","given":"Ken R."},{"family":"Tremblay","given":"Marc"},{"family":"Vézina","given":"Hélène"},{"family":"Paré","given":"Paul-Philippe"},{"family":"Desjardins","given":"Bertrand"}],"issued":{"date-parts":[["2009",7]]}},"label":"page"},{"id":6688,"uris":["http://zotero.org/users/451958/items/VUG7WVWN"],"uri":["http://zotero.org/users/451958/items/VUG7WVWN"],"itemData":{"id":6688,"type":"article-journal","title":"Reduced costs of reproduction in females mediate a shift from a male-biased to a female-biased lifespan in humans","container-title":"Scientific Reports","page":"24672","volume":"6","source":"CrossRef","DOI":"10.1038/srep24672","ISSN":"2045-2322","author":[{"family":"Bolund","given":"Elisabeth"},{"family":"Lummaa","given":"Virpi"},{"family":"Smith","given":"Ken R."},{"family":"Hanson","given":"Heidi A."},{"family":"Maklakov","given":"Alexei A."}],"issued":{"date-parts":[["2016",4,18]]}},"label":"page"},{"id":6845,"uris":["http://zotero.org/users/451958/items/46DTDNP5"],"uri":["http://zotero.org/users/451958/items/46DTDNP5"],"itemData":{"id":6845,"type":"article-journal","title":"Does reproduction decrease longevity in human beings?","container-title":"Ageing Research Reviews","page":"141-149","volume":"6","issue":"2","source":"ScienceDirect","abstract":"According to the disposable soma theory, a cost for reproduction could exist in human beings and other species and, thus, longevity could decrease when women have a higher number of children. The purpose of this article is to review the evidence in populations living or not living under natural fertility conditions, i.e. when fertility is near its biological maximum. The results indicate that in natural fertility conditions longevity does not decrease when the number of children increases but, in modern populations, mortality could slightly increase when women have more than ca 5 children. Complete data for these modern cohorts will tell us, one day, whether these results are still observed when the variable of interest is longevity and not only mortality.","DOI":"10.1016/j.arr.2007.04.002","ISSN":"1568-1637","journalAbbreviation":"Ageing Research Reviews","author":[{"family":"Le Bourg","given":"Éric"}],"issued":{"date-parts":[["2007",8]]}},"label":"page","prefix":"but see "}],"schema":"https://github.com/citation-style-language/schema/raw/master/csl-citation.json"}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Segoe UI"/>
          <w:sz w:val="24"/>
        </w:rPr>
        <w:t>(8–12, but see 13)</w:t>
      </w:r>
      <w:r w:rsidR="00E11235" w:rsidRPr="00873E6C">
        <w:rPr>
          <w:rFonts w:ascii="Times" w:hAnsi="Times" w:cs="Times New Roman"/>
          <w:sz w:val="24"/>
          <w:szCs w:val="24"/>
        </w:rPr>
        <w:fldChar w:fldCharType="end"/>
      </w:r>
      <w:r w:rsidR="00EA4A04">
        <w:rPr>
          <w:rFonts w:ascii="Times" w:hAnsi="Times" w:cs="Times New Roman"/>
          <w:sz w:val="24"/>
          <w:szCs w:val="24"/>
        </w:rPr>
        <w:t xml:space="preserve">, and </w:t>
      </w:r>
      <w:r w:rsidRPr="00873E6C">
        <w:rPr>
          <w:rFonts w:ascii="Times" w:hAnsi="Times" w:cs="Times New Roman"/>
          <w:sz w:val="24"/>
          <w:szCs w:val="24"/>
        </w:rPr>
        <w:t xml:space="preserve">that these costs are more evident </w:t>
      </w:r>
      <w:r w:rsidR="00254F62">
        <w:rPr>
          <w:rFonts w:ascii="Times" w:hAnsi="Times" w:cs="Times New Roman"/>
          <w:sz w:val="24"/>
          <w:szCs w:val="24"/>
        </w:rPr>
        <w:t>when</w:t>
      </w:r>
      <w:r w:rsidRPr="00873E6C">
        <w:rPr>
          <w:rFonts w:ascii="Times" w:hAnsi="Times" w:cs="Times New Roman"/>
          <w:sz w:val="24"/>
          <w:szCs w:val="24"/>
        </w:rPr>
        <w:t xml:space="preserve"> resources</w:t>
      </w:r>
      <w:r w:rsidR="00254F62">
        <w:rPr>
          <w:rFonts w:ascii="Times" w:hAnsi="Times" w:cs="Times New Roman"/>
          <w:sz w:val="24"/>
          <w:szCs w:val="24"/>
        </w:rPr>
        <w:t xml:space="preserve"> are limited</w:t>
      </w:r>
      <w:r w:rsidRPr="00873E6C">
        <w:rPr>
          <w:rFonts w:ascii="Times" w:hAnsi="Times" w:cs="Times New Roman"/>
          <w:sz w:val="24"/>
          <w:szCs w:val="24"/>
        </w:rPr>
        <w:t xml:space="preserve">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{"citationID":"PkKhdr7q","properties":{"formattedCitation":"{\\rtf (14\\uc0\\u8211{}16)}","plainCitation":"(14–16)"},"citationItems":[{"id":8263,"uris":["http://zotero.org/users/451958/items/HLDEVAT2"],"uri":["http://zotero.org/users/451958/items/HLDEVAT2"],"itemData":{"id":8263,"type":"article-journal","title":"Fertility</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Segoe UI"/>
          <w:sz w:val="24"/>
        </w:rPr>
        <w:t>(14–16)</w:t>
      </w:r>
      <w:r w:rsidR="00E11235"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 xml:space="preserve">However, </w:t>
      </w:r>
      <w:r w:rsidR="00254F62">
        <w:rPr>
          <w:rFonts w:ascii="Times" w:hAnsi="Times" w:cs="Times New Roman"/>
          <w:sz w:val="24"/>
          <w:szCs w:val="24"/>
        </w:rPr>
        <w:t xml:space="preserve">most studies of </w:t>
      </w:r>
      <w:proofErr w:type="spellStart"/>
      <w:r w:rsidR="00254F62">
        <w:rPr>
          <w:rFonts w:ascii="Times" w:hAnsi="Times" w:cs="Times New Roman"/>
          <w:sz w:val="24"/>
          <w:szCs w:val="24"/>
        </w:rPr>
        <w:t>CoR</w:t>
      </w:r>
      <w:proofErr w:type="spellEnd"/>
      <w:r w:rsidR="00254F62">
        <w:rPr>
          <w:rFonts w:ascii="Times" w:hAnsi="Times" w:cs="Times New Roman"/>
          <w:sz w:val="24"/>
          <w:szCs w:val="24"/>
        </w:rPr>
        <w:t xml:space="preserve"> in humans</w:t>
      </w:r>
      <w:r w:rsidR="00EA4A04">
        <w:rPr>
          <w:rFonts w:ascii="Times" w:hAnsi="Times" w:cs="Times New Roman"/>
          <w:sz w:val="24"/>
          <w:szCs w:val="24"/>
        </w:rPr>
        <w:t xml:space="preserve"> </w:t>
      </w:r>
      <w:r w:rsidR="00584F72">
        <w:rPr>
          <w:rFonts w:ascii="Times" w:hAnsi="Times" w:cs="Times New Roman"/>
          <w:sz w:val="24"/>
          <w:szCs w:val="24"/>
        </w:rPr>
        <w:t>are restrict</w:t>
      </w:r>
      <w:r w:rsidR="00254F62">
        <w:rPr>
          <w:rFonts w:ascii="Times" w:hAnsi="Times" w:cs="Times New Roman"/>
          <w:sz w:val="24"/>
          <w:szCs w:val="24"/>
        </w:rPr>
        <w:t>ed to the use of mortality as the only</w:t>
      </w:r>
      <w:r w:rsidR="00584F72">
        <w:rPr>
          <w:rFonts w:ascii="Times" w:hAnsi="Times" w:cs="Times New Roman"/>
          <w:sz w:val="24"/>
          <w:szCs w:val="24"/>
        </w:rPr>
        <w:t xml:space="preserve"> outcome, and are unable to address the underlying biological processes through which </w:t>
      </w:r>
      <w:proofErr w:type="spellStart"/>
      <w:r w:rsidR="00584F72">
        <w:rPr>
          <w:rFonts w:ascii="Times" w:hAnsi="Times" w:cs="Times New Roman"/>
          <w:sz w:val="24"/>
          <w:szCs w:val="24"/>
        </w:rPr>
        <w:t>CoR</w:t>
      </w:r>
      <w:proofErr w:type="spellEnd"/>
      <w:r w:rsidR="00584F72">
        <w:rPr>
          <w:rFonts w:ascii="Times" w:hAnsi="Times" w:cs="Times New Roman"/>
          <w:sz w:val="24"/>
          <w:szCs w:val="24"/>
        </w:rPr>
        <w:t xml:space="preserve"> might lead to functional decline and mortality in humans. </w:t>
      </w:r>
    </w:p>
    <w:p w:rsidR="00E559D3" w:rsidRDefault="003A7E41" w:rsidP="003A7E41">
      <w:pPr>
        <w:spacing w:after="120"/>
        <w:rPr>
          <w:rFonts w:ascii="Times" w:hAnsi="Times" w:cs="Times New Roman"/>
          <w:sz w:val="24"/>
          <w:szCs w:val="24"/>
        </w:rPr>
      </w:pPr>
      <w:r>
        <w:rPr>
          <w:rFonts w:ascii="Times" w:hAnsi="Times" w:cs="Times New Roman"/>
          <w:sz w:val="24"/>
          <w:szCs w:val="24"/>
        </w:rPr>
        <w:t xml:space="preserve">Among women, </w:t>
      </w:r>
      <w:proofErr w:type="spellStart"/>
      <w:r w:rsidR="00254F62" w:rsidRPr="00873E6C">
        <w:rPr>
          <w:rFonts w:ascii="Times" w:hAnsi="Times" w:cs="Times New Roman"/>
          <w:sz w:val="24"/>
          <w:szCs w:val="24"/>
        </w:rPr>
        <w:t>CoR</w:t>
      </w:r>
      <w:proofErr w:type="spellEnd"/>
      <w:r w:rsidR="00254F62" w:rsidRPr="00873E6C">
        <w:rPr>
          <w:rFonts w:ascii="Times" w:hAnsi="Times" w:cs="Times New Roman"/>
          <w:sz w:val="24"/>
          <w:szCs w:val="24"/>
        </w:rPr>
        <w:t xml:space="preserve"> </w:t>
      </w:r>
      <w:r>
        <w:rPr>
          <w:rFonts w:ascii="Times" w:hAnsi="Times" w:cs="Times New Roman"/>
          <w:sz w:val="24"/>
          <w:szCs w:val="24"/>
        </w:rPr>
        <w:t>likely arise</w:t>
      </w:r>
      <w:r w:rsidR="00254F62" w:rsidRPr="00873E6C">
        <w:rPr>
          <w:rFonts w:ascii="Times" w:hAnsi="Times" w:cs="Times New Roman"/>
          <w:sz w:val="24"/>
          <w:szCs w:val="24"/>
        </w:rPr>
        <w:t xml:space="preserve"> </w:t>
      </w:r>
      <w:r>
        <w:rPr>
          <w:rFonts w:ascii="Times" w:hAnsi="Times" w:cs="Times New Roman"/>
          <w:sz w:val="24"/>
          <w:szCs w:val="24"/>
        </w:rPr>
        <w:t>predominantly</w:t>
      </w:r>
      <w:r w:rsidR="00254F62" w:rsidRPr="00873E6C">
        <w:rPr>
          <w:rFonts w:ascii="Times" w:hAnsi="Times" w:cs="Times New Roman"/>
          <w:sz w:val="24"/>
          <w:szCs w:val="24"/>
        </w:rPr>
        <w:t xml:space="preserve"> </w:t>
      </w:r>
      <w:r>
        <w:rPr>
          <w:rFonts w:ascii="Times" w:hAnsi="Times" w:cs="Times New Roman"/>
          <w:sz w:val="24"/>
          <w:szCs w:val="24"/>
        </w:rPr>
        <w:t>from</w:t>
      </w:r>
      <w:r w:rsidR="00254F62" w:rsidRPr="00873E6C">
        <w:rPr>
          <w:rFonts w:ascii="Times" w:hAnsi="Times" w:cs="Times New Roman"/>
          <w:sz w:val="24"/>
          <w:szCs w:val="24"/>
        </w:rPr>
        <w:t xml:space="preserve"> pregnancy and lactation </w:t>
      </w:r>
      <w:r w:rsidR="00E11235" w:rsidRPr="00873E6C">
        <w:rPr>
          <w:rFonts w:ascii="Times" w:hAnsi="Times" w:cs="Times New Roman"/>
          <w:sz w:val="24"/>
          <w:szCs w:val="24"/>
        </w:rPr>
        <w:fldChar w:fldCharType="begin"/>
      </w:r>
      <w:r w:rsidR="00254F62" w:rsidRPr="00873E6C">
        <w:rPr>
          <w:rFonts w:ascii="Times" w:hAnsi="Times" w:cs="Times New Roman"/>
          <w:sz w:val="24"/>
          <w:szCs w:val="24"/>
        </w:rPr>
        <w:instrText xml:space="preserve"> ADDIN ZOTERO_ITEM CSL_CITATION {"citationID":"a15i7ok86ff","properties":{"formattedCitation":"(41, 42)","plainCitation":"(41, 42)"},"citationItems":[{"id":6768,"uris":["http://zotero.org/users/451958/items/98STTTDV"],"uri":["http://zotero.org/users/451958/items/98STTTDV"],"itemData":{"id":6768,"type":"article-journal","title":"Reproduction and lifespan: Trade-offs, overall energy budgets, intergenerational costs, and costs neglected by research","container-title":"American Journal of Human Biology","page":"524-532","volume":"21","issue":"4","source":"CrossRef","DOI":"10.1002/ajhb.20931","ISSN":"10420533, 15206300","shortTitle":"Reproduction and lifespan","language":"en","author":[{"family":"Jasienska","given":"Grazyna"}],"issued":{"date-parts":[["2009",7]]}}},{"id":8260,"uris":["http://zotero.org/users/451958/items/WI8UTNQZ"],"uri":["http://zotero.org/users/451958/items/WI8UTNQZ"],"itemData":{"id":8260,"type":"article-journal","title":"Limits to sustained energy intake IX: a review of hypotheses","container-title":"Journal of Comparative Physiology B: Biochemical, Systemic, and Environmental Physiology","page":"375-394","volume":"175","issue":"6","abstract":"Abstract Several lines of evidence indicate that animals in the wild may be limited in their maximal rates of energy intake by their intrinsic physiology rather than food availability. Understanding the limits to sustained energy intake is important because this defines an envelope within which animals must trade-off competing activities. In the first part of this review, we consider the initial ideas that propelled this area and experimental evidence connected with them. An early conceptual advance in this field was the idea that energy intake could be centrally limited by aspects of the digestive process, or peripherally limited at the sites of energy utilisation. A model system that has been widely employed to explore these ideas is lactation in small rodents. Initial studies in the late 1980s indicated that energy intake might be centrally limited, but work by Hammond and colleagues in the 1990s suggested that it was more likely that the limits were imposed by capacity of the mammary glands, and other works tended to support this view. This consensus, however, was undermined by studies that showed milk production was higher in mice at low temperatures, suggesting that the capacity of the mammary gland is not a limiting factor. In the second part of the review we consider some additional hypotheses that might explain these conflicting data. These include the heat dissipation limits hypothesis, the seasonal investment hypothesis and the saturated neural control hypothesis. Current evidence with respect to these hypotheses is also reviewed. The limited evidence presently available does not unambiguously support any one of them.","author":[{"family":"Speakman","given":"John"},{"family":"Król","given":"Elżbieta"}],"issued":{"date-parts":[["2005"]]}}}],"schema":"https://github.com/citation-style-language/schema/raw/master/csl-citation.json"} </w:instrText>
      </w:r>
      <w:r w:rsidR="00E11235" w:rsidRPr="00873E6C">
        <w:rPr>
          <w:rFonts w:ascii="Times" w:hAnsi="Times" w:cs="Times New Roman"/>
          <w:sz w:val="24"/>
          <w:szCs w:val="24"/>
        </w:rPr>
        <w:fldChar w:fldCharType="separate"/>
      </w:r>
      <w:r w:rsidR="00254F62" w:rsidRPr="00873E6C">
        <w:rPr>
          <w:rFonts w:ascii="Times" w:hAnsi="Times" w:cs="Segoe UI"/>
          <w:sz w:val="24"/>
        </w:rPr>
        <w:t>(41, 42)</w:t>
      </w:r>
      <w:r w:rsidR="00E11235" w:rsidRPr="00873E6C">
        <w:rPr>
          <w:rFonts w:ascii="Times" w:hAnsi="Times" w:cs="Times New Roman"/>
          <w:sz w:val="24"/>
          <w:szCs w:val="24"/>
        </w:rPr>
        <w:fldChar w:fldCharType="end"/>
      </w:r>
      <w:r>
        <w:rPr>
          <w:rFonts w:ascii="Times" w:hAnsi="Times" w:cs="Times New Roman"/>
          <w:sz w:val="24"/>
          <w:szCs w:val="24"/>
        </w:rPr>
        <w:t>. Human p</w:t>
      </w:r>
      <w:r w:rsidR="00254F62">
        <w:rPr>
          <w:rFonts w:ascii="Times" w:hAnsi="Times" w:cs="Times New Roman"/>
          <w:sz w:val="24"/>
          <w:szCs w:val="24"/>
        </w:rPr>
        <w:t>regnancy</w:t>
      </w:r>
      <w:r>
        <w:rPr>
          <w:rFonts w:ascii="Times" w:hAnsi="Times" w:cs="Times New Roman"/>
          <w:sz w:val="24"/>
          <w:szCs w:val="24"/>
        </w:rPr>
        <w:t xml:space="preserve"> is relatively ‘invasive’</w:t>
      </w:r>
      <w:r w:rsidR="00474B43">
        <w:rPr>
          <w:rFonts w:ascii="Times" w:hAnsi="Times" w:cs="Times New Roman"/>
          <w:sz w:val="24"/>
          <w:szCs w:val="24"/>
        </w:rPr>
        <w:t xml:space="preserve"> and</w:t>
      </w:r>
      <w:r>
        <w:rPr>
          <w:rFonts w:ascii="Times" w:hAnsi="Times" w:cs="Times New Roman"/>
          <w:sz w:val="24"/>
          <w:szCs w:val="24"/>
        </w:rPr>
        <w:t xml:space="preserve"> energetically demanding (ref.), and </w:t>
      </w:r>
      <w:r w:rsidR="00474B43">
        <w:rPr>
          <w:rFonts w:ascii="Times" w:hAnsi="Times" w:cs="Times New Roman"/>
          <w:sz w:val="24"/>
          <w:szCs w:val="24"/>
        </w:rPr>
        <w:t>requires</w:t>
      </w:r>
      <w:r w:rsidR="00254F62">
        <w:rPr>
          <w:rFonts w:ascii="Times" w:hAnsi="Times" w:cs="Times New Roman"/>
          <w:sz w:val="24"/>
          <w:szCs w:val="24"/>
        </w:rPr>
        <w:t xml:space="preserve"> ma</w:t>
      </w:r>
      <w:r>
        <w:rPr>
          <w:rFonts w:ascii="Times" w:hAnsi="Times" w:cs="Times New Roman"/>
          <w:sz w:val="24"/>
          <w:szCs w:val="24"/>
        </w:rPr>
        <w:t>ssive</w:t>
      </w:r>
      <w:r w:rsidR="00254F62" w:rsidRPr="00873E6C">
        <w:rPr>
          <w:rFonts w:ascii="Times" w:hAnsi="Times" w:cs="Times New Roman"/>
          <w:sz w:val="24"/>
          <w:szCs w:val="24"/>
        </w:rPr>
        <w:t xml:space="preserve"> physiological </w:t>
      </w:r>
      <w:r w:rsidR="00254F62">
        <w:rPr>
          <w:rFonts w:ascii="Times" w:hAnsi="Times" w:cs="Times New Roman"/>
          <w:sz w:val="24"/>
          <w:szCs w:val="24"/>
        </w:rPr>
        <w:t xml:space="preserve">and immunological </w:t>
      </w:r>
      <w:r w:rsidR="00E559D3">
        <w:rPr>
          <w:rFonts w:ascii="Times" w:hAnsi="Times" w:cs="Times New Roman"/>
          <w:sz w:val="24"/>
          <w:szCs w:val="24"/>
        </w:rPr>
        <w:t>modifications</w:t>
      </w:r>
      <w:r w:rsidR="00254F62" w:rsidRPr="00873E6C">
        <w:rPr>
          <w:rFonts w:ascii="Times" w:hAnsi="Times" w:cs="Times New Roman"/>
          <w:sz w:val="24"/>
          <w:szCs w:val="24"/>
        </w:rPr>
        <w:t xml:space="preserve"> </w:t>
      </w:r>
      <w:r w:rsidR="00254F62">
        <w:rPr>
          <w:rFonts w:ascii="Times" w:hAnsi="Times" w:cs="Times New Roman"/>
          <w:sz w:val="24"/>
          <w:szCs w:val="24"/>
        </w:rPr>
        <w:t>capable of accelerating</w:t>
      </w:r>
      <w:r w:rsidR="00254F62" w:rsidRPr="00873E6C">
        <w:rPr>
          <w:rFonts w:ascii="Times" w:hAnsi="Times" w:cs="Times New Roman"/>
          <w:sz w:val="24"/>
          <w:szCs w:val="24"/>
        </w:rPr>
        <w:t xml:space="preserve"> senescence.</w:t>
      </w:r>
      <w:r>
        <w:rPr>
          <w:rFonts w:ascii="Times" w:hAnsi="Times" w:cs="Times New Roman"/>
          <w:sz w:val="24"/>
          <w:szCs w:val="24"/>
        </w:rPr>
        <w:t xml:space="preserve"> </w:t>
      </w:r>
      <w:r w:rsidR="00E559D3">
        <w:rPr>
          <w:rFonts w:ascii="Times" w:hAnsi="Times" w:cs="Times New Roman"/>
          <w:sz w:val="24"/>
          <w:szCs w:val="24"/>
        </w:rPr>
        <w:t>Pregnancy induced cellular senescence could</w:t>
      </w:r>
      <w:r>
        <w:rPr>
          <w:rFonts w:ascii="Times" w:hAnsi="Times" w:cs="Times New Roman"/>
          <w:sz w:val="24"/>
          <w:szCs w:val="24"/>
        </w:rPr>
        <w:t xml:space="preserve"> occur through</w:t>
      </w:r>
      <w:r w:rsidR="00E559D3">
        <w:rPr>
          <w:rFonts w:ascii="Times" w:hAnsi="Times" w:cs="Times New Roman"/>
          <w:sz w:val="24"/>
          <w:szCs w:val="24"/>
        </w:rPr>
        <w:t xml:space="preserve"> either</w:t>
      </w:r>
      <w:r>
        <w:rPr>
          <w:rFonts w:ascii="Times" w:hAnsi="Times" w:cs="Times New Roman"/>
          <w:sz w:val="24"/>
          <w:szCs w:val="24"/>
        </w:rPr>
        <w:t xml:space="preserve"> mitotic and non-mitotic pathways</w:t>
      </w:r>
      <w:r w:rsidR="00E559D3">
        <w:rPr>
          <w:rFonts w:ascii="Times" w:hAnsi="Times" w:cs="Times New Roman"/>
          <w:sz w:val="24"/>
          <w:szCs w:val="24"/>
        </w:rPr>
        <w:t>, or both</w:t>
      </w:r>
      <w:r>
        <w:rPr>
          <w:rFonts w:ascii="Times" w:hAnsi="Times" w:cs="Times New Roman"/>
          <w:sz w:val="24"/>
          <w:szCs w:val="24"/>
        </w:rPr>
        <w:t xml:space="preserve"> (ref.). Mitotic senescence is commonly measured using telomere length (TL). </w:t>
      </w:r>
      <w:r w:rsidRPr="00873E6C">
        <w:rPr>
          <w:rFonts w:ascii="Times" w:hAnsi="Times" w:cs="Times New Roman"/>
          <w:sz w:val="24"/>
          <w:szCs w:val="24"/>
        </w:rPr>
        <w:t xml:space="preserve">Telomeres are non-coding DNA sequences that cap chromosomes, and are required for cell division and survival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{"citationID":"amkf6j50so","properties":{"formattedCitation":"(17, 18)","plainCitation":"(17, 18)"},"citationItems":[{"id":8160,"uris":["http://zotero.org/users/451958/items/J77GGQTY"],"uri":["http://zotero.org/users/451958/items/J77GGQTY"],"itemData":{"id":8160,"type":"article-journal","title":"A tandemly repeated sequence at the termini of the extrachromosomal ribosomal RNA genes in Tetrahymena","container-title":"Journal of Molecular Biology","page":"33-53","volume":"120","issue":"1","abstract":"The extrachromosomal genes coding for ribosomal RNA (rDNA) in the ciliated protozoan Tetrahymena thermophila were studied with respect to sequences occurring at their termini. The linear rDNA molecules had previously been shown to be palindromic (Karrer and Gall, 1976; Engberg et al., 1976). Within the terminal rDNA fragment produced by restriction endonuclease digestion, a tandomly repeated hexanucleotide sequence 5' (C-C-C-C-A-A)n 3' was found, where n is between 20 and 70. This fragment was heterogeneous in length as judged by gel electrophoresis. The repeating sequence was preferentially synthesized when rDNA was used as the template by Escherichia coli DNA polymerase I. Initiation occurred at specific single-strand discontinuities, probably one-nucleotide gaps, found every few repeats on the C-C-C-C-A-A strand. At least one discontinuity is present on the G-G-G-G-T-T strand. Experiments with T4 DNA polymerase suggested that there are no free cohesive ends on the rDNA of the kind found in bacteriophage [lambda] DNA. The orientation of the strands carrying the repeating hexanucleotide sequence was determined, and a model for the termini of the rDNA based on these findings is presented.","author":[{"family":"Blackburn","given":"Elizabeth H."},{"family":"Gall","given":"Joseph G."}],"issued":{"date-parts":[["1978"]]}}},{"id":8234,"uris":["http://zotero.org/users/451958/items/BQVAEFVY"],"uri":["http://zotero.org/users/451958/items/BQVAEFVY"],"itemData":{"id":8234,"type":"article-journal","title":"Conservation of the human telomere sequence (TTAGGG)n among vertebrates","container-title":"Proceedings of the National Academy of Sciences","page":"7049-53","volume":"86","issue":"18","abstract":"To determine the evolutionary origin of the human telomere sequence (TTAGGG)n, biotinylated oligodeoxynucleotides of this sequence were hybridized to metaphase spreads from 91 different species, including representative orders of bony fish, reptiles, amphibians, birds, and mammals. Under stringent hybridization conditions, fluorescent signals were detected at the telomeres of all chromosomes, in all 91 species. The conservation of the (TTAGGG)n sequence and its telomeric location, in species thought to share a common ancestor over 400 million years ago, strongly suggest that this sequence is the functional vertebrate telomere.","author":[{"family":"Meyne","given":"J."},{"family":"Ratliff","given":"R. L."},{"family":"Moyzis","given":"R. K."}],"issued":{"date-parts":[["1989"]]}}}],"schema":"https://github.com/citation-style-language/schema/raw/master/csl-citation.json"}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Times New Roman"/>
          <w:noProof/>
          <w:sz w:val="24"/>
          <w:szCs w:val="24"/>
        </w:rPr>
        <w:t>(17, 18)</w:t>
      </w:r>
      <w:r w:rsidR="00E11235" w:rsidRPr="00873E6C">
        <w:rPr>
          <w:rFonts w:ascii="Times" w:hAnsi="Times" w:cs="Times New Roman"/>
          <w:sz w:val="24"/>
          <w:szCs w:val="24"/>
        </w:rPr>
        <w:fldChar w:fldCharType="end"/>
      </w:r>
      <w:r w:rsidRPr="00873E6C">
        <w:rPr>
          <w:rFonts w:ascii="Times" w:hAnsi="Times" w:cs="Times New Roman"/>
          <w:sz w:val="24"/>
          <w:szCs w:val="24"/>
        </w:rPr>
        <w:t xml:space="preserve">. Telomere length shortens with cell division and chronological age, placing a limit on the number of cell divisions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{"citationID":"HmnPTj3V","properties":{"formattedCitation":"{\\rtf (19\\uc0\\u8211{}21)}","plainCitation":"(19–21)"},"citationItems":[{"id":8243,"uris":["http://zotero.org/users/451958/items/6G2ZPASU"],"uri":["http://zotero.org/users/451958/items/6G2ZPASU"],"itemData":{"id":8243,"type":"article-journal","title":"Principle of marginotomy in template synthesis of polynucleotides","container-title":"Dokl Akad Nauk SSSR","page":"1496-9","volume":"201","issue":"6","author":[{"family":"Olovnikov","given":"A. M."}],"issued":{"date-parts":[["1971"]]}}},{"id":8198,"uris":["http://zotero.org/users/451958/items/JSNU8F7A"],"uri":["http://zotero.org/users/451958/items/JSNU8F7A"],"itemData":{"id":8198,"type":"article-journal","title":"Telomeres shorten during ageing of human fibroblasts","container-title":"Nature","page":"458-460","volume":"345","issue":"6274","author":[{"family":"Harley","given":"Calvin B."},{"family":"Futcher","given":"A. Bruce"},{"family":"Greider","given":"Carol W."}],"issued":{"date-parts":[["1990"]]}}},{"id":8249,"uris":["http://zotero.org/users/451958/items/43VXF7MQ"],"uri":["http://zotero.org/users/451958/items/43VXF7MQ"],"itemData":{"id":8249,"type":"article-journal","title":"A continuous correlation between oxidative stress and telomere shortening in fibroblasts","container-title":"Experimental Gerontology","page":"1039-1042","volume":"42","issue":"11","author":[{"family":"Richter","given":"T."},{"family":"Zglinicki","given":"T."}],"issued":{"date-parts":[["2007"]]}}}],"schema":"https://github.com/citation-style-language/schema/raw/master/csl-citation.json"}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Segoe UI"/>
          <w:sz w:val="24"/>
        </w:rPr>
        <w:t>(19–21)</w:t>
      </w:r>
      <w:r w:rsidR="00E11235" w:rsidRPr="00873E6C">
        <w:rPr>
          <w:rFonts w:ascii="Times" w:hAnsi="Times" w:cs="Times New Roman"/>
          <w:sz w:val="24"/>
          <w:szCs w:val="24"/>
        </w:rPr>
        <w:fldChar w:fldCharType="end"/>
      </w:r>
      <w:r w:rsidRPr="00873E6C">
        <w:rPr>
          <w:rFonts w:ascii="Times" w:hAnsi="Times" w:cs="Times New Roman"/>
          <w:sz w:val="24"/>
          <w:szCs w:val="24"/>
        </w:rPr>
        <w:t xml:space="preserve">. Shorter TL, controlling for age, in turn predicts higher morbidity and mortality rates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{"citationID":"lNHuMEB1","properties":{"formattedCitation":"{\\rtf (22\\uc0\\u8211{}25)}","plainCitation":"(22–25)"},"citationItems":[{"id":8164,"uris":["http://zotero.org/users/451958/items/5RMZ6K9V"],"uri":["http://zotero.org/users/451958/items/5RMZ6K9V"],"itemData":{"id":8164,"type":"article-journal","title":"Association between telomere length in blood and mortality in people aged 60 years or older","container-title":"The Lancet","page":"393-395","volume":"361","issue":"9355","abstract":"Summary During normal ageing, the gradual loss of telomeric DNA in dividing somatic cells can contribute to replicative senescence, apoptosis, or neoplastic transformation. In the genetic disorder dyskeratosis congenita, telomere shortening is accelerated, and patients have premature onset of many age-related diseases and early death. We aimed to assess an association between telomere length and mortality in 143 normal unrelated individuals over the age of 60 years. Those with shorter telomeres in blood DNA had poorer survival, attributable in part to a 3·18-fold higher mortality rate from heart disease (95% CI 1·36-7·45, p=0·0079), and an 8·54-fold higher mortality rate from infectious disease (1·52-47·9, p=0·015). These results lend support to the hypothesis that telomere shortening in human beings contributes to mortality in many age-related diseases.","author":[{"family":"Cawthon","given":"Richard M."},{"family":"Smith","given":"Ken R."},{"family":"O'Brien","given":"Elizabeth"},{"family":"Sivatchenko","given":"Anna"},{"family":"Kerber","given":"Richard A."}],"issued":{"date-parts":[["2003"]]}}},{"id":8151,"uris":["http://zotero.org/users/451958/items/9ISLS9KS"],"uri":["http://zotero.org/users/451958/items/9ISLS9KS"],"itemData":{"id":8151,"type":"article-journal","title":"Telomere length predicts survival independent of genetic influences","container-title":"Aging Cell","page":"769-74","volume":"6","issue":"6","abstract":"Telomeres prevent the loss of coding genetic material during chromosomal replication. Previous research suggests that shorter telomere length may be associated with lower survival. Because genetic factors are important for individual differences in both telomere length and mortality, this association could reflect genetic or environmental pleiotropy rather than a direct biological effect of telomeres. We demonstrate through within-pair analyses of Swedish twins that telomere length at advanced age is a biomarker that predicts survival beyond the impact of early familial environment and genetic factors in common with telomere length and mortality. Twins with the shortest telomeres had a three times greater risk of death during the follow-up period than their co-twins with the longest telomere measurements [hazard ratio (RR) = 2.8, 95% confidence interval 1.1-7.3, P = 0.03].","author":[{"family":"Bakaysa","given":"S. L."},{"family":"Mucci","given":"L. A."},{"family":"Slagboom","given":"P. E."},{"family":"Boomsma","given":"D. I."},{"family":"McClearn","given":"G. E."},{"family":"Johansson","given":"B."},{"family":"Pedersen","given":"N. L."}],"issued":{"date-parts":[["2007"]]}}},{"id":8213,"uris":["http://zotero.org/users/451958/items/G9F53W66"],"uri":["http://zotero.org/users/451958/items/G9F53W66"],"itemData":{"id":8213,"type":"article-journal","title":"Telomere length and mortality: a study of leukocytes in elderly Danish twins","container-title":"Am J Epidemiol","page":"799-806","volume":"167","issue":"7","abstract":"Leukocyte telomere length, representing the mean length of all telomeres in leukocytes, is ostensibly a bioindicator of human aging. The authors hypothesized that shorter telomeres might forecast imminent mortality in elderly people better than leukocyte telomere length. They performed mortality analysis in 548 same-sex Danish twins (274 pairs) aged 73-94 years, of whom 204 pairs experienced the death of one or both co-twins during 9-10 years of follow-up (1997-2007). From the terminal restriction fragment length (TRFL) distribution, the authors obtained the mean TRFL (mTRFL) and the mean values of the shorter 50% (mTRFL(50)) and shortest 25% (mTRFL(25)) of TRFLs in the distribution and computed the mode of TRFL (MTRFL). They analyzed the proportions of twin pairs in which the co-twin with the shorter telomeres died first. The proportions derived from the intrapair comparisons indicated that the shorter telomeres predicted the death of the first co-twin better than the mTRFL did (mTRFL: 0.56, 95% confidence interval (CI): 0.49, 0.63; mTRFL(50): 0.59, 95% CI: 0.52, 0.66; mTRFL(25): 0.59, 95% CI: 0.52, 0.66; MTRFL: 0.60, 95% CI: 0.53, 0.67). The telomere-mortality association was stronger in years 3-4 than in the rest of the follow-up period, and it grew stronger with increasing intrapair difference in all telomere parameters. Leukocyte telomere dynamics might help explain the boundaries of the human life span.","author":[{"family":"Kimura","given":"M."},{"family":"Hjelmborg","given":"J. V."},{"family":"Gardner","given":"J. P."},{"family":"Bathum","given":"L."},{"family":"Brimacombe","given":"M."},{"family":"Lu","given":"X."},{"family":"Christiansen","given":"L."},{"family":"Vaupel","given":"J. W."},{"family":"Aviv","given":"A."},{"family":"Christensen","given":"K."}],"issued":{"date-parts":[["2008"]]}}},{"id":8199,"uris":["http://zotero.org/users/451958/items/BN988NSS"],"uri":["http://zotero.org/users/451958/items/BN988NSS"],"itemData":{"id":8199,"type":"article-journal","title":"Leucocyte telomere length and risk of cardiovascular disease: systematic review and meta-analysis","container-title":"BMJ","page":"g4227","volume":"349","abstract":"OBJECTIVE: To assess the association between leucocyte telomere length and risk of cardiovascular disease. DESIGN: Systematic review and meta-analysis. DATA SOURCES: Studies published up to March 2014 identified through searches of Medline, Web of Science, and Embase. ELIGIBILITY CRITERIA: Prospective and retrospective studies that reported on associations between leucocyte telomere length and coronary heart disease (defined as non-fatal myocardial infarction, coronary heart disease death, or coronary revascularisation) or cerebrovascular disease (defined as non-fatal stroke or death from cerebrovascular disease) and were broadly representative of general populations–that is, they did not select cohort or control participants on the basis of pre-existing cardiovascular disease or diabetes. RESULTS: Twenty four studies involving 43,725 participants and 8400 patients with cardiovascular disease (5566 with coronary heart disease and 2834 with cerebrovascular disease) were found to be eligible. In a comparison of the shortest versus longest third of leucocyte telomere length, the pooled relative risk for coronary heart disease was 1.54 (95% confidence interval 1.30 to 1.83) in all studies, 1.40 (1.15 to 1.70) in prospective studies, and 1.80 (1.32 to 2.44) in retrospective studies. Heterogeneity between studies was moderate (I(2) = 64%, 41% to 77%, Phet&lt;0.001) and was not significantly explained by mean age of participants (P = 0.23), the proportion of male participants (P = 0.45), or distinction between retrospective versus prospective studies (P = 0.32). Findings for coronary heart disease were similar in meta-analyses restricted to studies that adjusted for conventional vascular risk factors (relative risk 1.42, 95% confidence interval 1.17 to 1.73); studies with &gt;/= 200 cases (1.44, 1.20 to 1.74); studies with a high quality score (1.53, 1.22 to 1.92); and in analyses that corrected for publication bias (1.34, 1.12 to 1.60). The pooled relative risk for cerebrovascular disease was 1.42 (1.11 to 1.81), with no significant heterogeneity between studies (I(2) = 41%, 0% to 72%, Phet = 0.08). Shorter telomeres were not significantly associated with cerebrovascular disease risk in prospective studies (1.14, 0.85 to 1.54) or in studies with a high quality score (1.21, 0.83 to 1.76). CONCLUSION: Available observational data show an inverse association between leucocyte telomere length and risk of coronary heart disease independent of conventional vascular risk factors. The association with cerebrovascular disease is less certain.","author":[{"family":"Haycock","given":"P. C."},{"family":"Heydon","given":"E. E."},{"family":"Kaptoge","given":"S."},{"family":"Butterworth","given":"A. S."},{"family":"Thompson","given":"A."},{"family":"Willeit","given":"P."}],"issued":{"date-parts":[["2014"]]}}}],"schema":"https://github.com/citation-style-language/schema/raw/master/csl-citation.json"}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Segoe UI"/>
          <w:sz w:val="24"/>
        </w:rPr>
        <w:t>(22–25)</w:t>
      </w:r>
      <w:r w:rsidR="00E11235" w:rsidRPr="00873E6C">
        <w:rPr>
          <w:rFonts w:ascii="Times" w:hAnsi="Times" w:cs="Times New Roman"/>
          <w:sz w:val="24"/>
          <w:szCs w:val="24"/>
        </w:rPr>
        <w:fldChar w:fldCharType="end"/>
      </w:r>
      <w:r w:rsidRPr="00873E6C">
        <w:rPr>
          <w:rFonts w:ascii="Times" w:hAnsi="Times" w:cs="Times New Roman"/>
          <w:sz w:val="24"/>
          <w:szCs w:val="24"/>
        </w:rPr>
        <w:t xml:space="preserve">. </w:t>
      </w:r>
    </w:p>
    <w:p w:rsidR="006F6AA5" w:rsidRPr="006F6AA5" w:rsidRDefault="00E95B98" w:rsidP="00E63E12">
      <w:pPr>
        <w:spacing w:after="120"/>
        <w:rPr>
          <w:rFonts w:ascii="Times" w:hAnsi="Times" w:cs="Times New Roman"/>
          <w:i/>
          <w:sz w:val="24"/>
          <w:szCs w:val="24"/>
        </w:rPr>
      </w:pPr>
      <w:r>
        <w:rPr>
          <w:rFonts w:ascii="Times" w:hAnsi="Times" w:cs="Times New Roman"/>
          <w:sz w:val="24"/>
          <w:szCs w:val="24"/>
        </w:rPr>
        <w:t xml:space="preserve">A powerful and emerging marker of non-mitotic senescence in human cells is </w:t>
      </w:r>
      <w:r w:rsidR="00E559D3">
        <w:rPr>
          <w:rFonts w:ascii="Times" w:hAnsi="Times" w:cs="Times New Roman"/>
          <w:sz w:val="24"/>
          <w:szCs w:val="24"/>
        </w:rPr>
        <w:t>epigenetic age (</w:t>
      </w:r>
      <w:proofErr w:type="spellStart"/>
      <w:r w:rsidR="00E559D3">
        <w:rPr>
          <w:rFonts w:ascii="Times" w:hAnsi="Times" w:cs="Times New Roman"/>
          <w:sz w:val="24"/>
          <w:szCs w:val="24"/>
        </w:rPr>
        <w:t>DNAmAge</w:t>
      </w:r>
      <w:proofErr w:type="spellEnd"/>
      <w:r w:rsidR="00E559D3">
        <w:rPr>
          <w:rFonts w:ascii="Times" w:hAnsi="Times" w:cs="Times New Roman"/>
          <w:sz w:val="24"/>
          <w:szCs w:val="24"/>
        </w:rPr>
        <w:t xml:space="preserve">). </w:t>
      </w:r>
      <w:proofErr w:type="spellStart"/>
      <w:r>
        <w:rPr>
          <w:rFonts w:ascii="Times" w:hAnsi="Times" w:cs="Times New Roman"/>
          <w:sz w:val="24"/>
          <w:szCs w:val="24"/>
        </w:rPr>
        <w:t>DNAmAge</w:t>
      </w:r>
      <w:proofErr w:type="spellEnd"/>
      <w:r>
        <w:rPr>
          <w:rFonts w:ascii="Times" w:hAnsi="Times" w:cs="Times New Roman"/>
          <w:sz w:val="24"/>
          <w:szCs w:val="24"/>
        </w:rPr>
        <w:t xml:space="preserve"> </w:t>
      </w:r>
      <w:r w:rsidR="008C098D">
        <w:rPr>
          <w:rFonts w:ascii="Times" w:hAnsi="Times" w:cs="Times New Roman"/>
          <w:sz w:val="24"/>
          <w:szCs w:val="24"/>
        </w:rPr>
        <w:t xml:space="preserve">in human </w:t>
      </w:r>
      <w:r w:rsidR="00E11235" w:rsidRPr="00873E6C">
        <w:rPr>
          <w:rFonts w:ascii="Times" w:hAnsi="Times" w:cs="Times New Roman"/>
          <w:sz w:val="24"/>
          <w:szCs w:val="24"/>
        </w:rPr>
        <w:fldChar w:fldCharType="begin"/>
      </w:r>
      <w:r w:rsidR="008C098D" w:rsidRPr="00873E6C">
        <w:rPr>
          <w:rFonts w:ascii="Times" w:hAnsi="Times" w:cs="Times New Roman"/>
          <w:sz w:val="24"/>
          <w:szCs w:val="24"/>
        </w:rPr>
        <w:instrText xml:space="preserve"> ADDIN ZOTERO_ITEM CSL_CITATION {"citationID":"a1njdnruvd","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E11235" w:rsidRPr="00873E6C">
        <w:rPr>
          <w:rFonts w:ascii="Times" w:hAnsi="Times" w:cs="Times New Roman"/>
          <w:sz w:val="24"/>
          <w:szCs w:val="24"/>
        </w:rPr>
        <w:fldChar w:fldCharType="separate"/>
      </w:r>
      <w:r w:rsidR="008C098D" w:rsidRPr="00873E6C">
        <w:rPr>
          <w:rFonts w:ascii="Times" w:hAnsi="Times" w:cs="Times New Roman"/>
          <w:noProof/>
          <w:sz w:val="24"/>
          <w:szCs w:val="24"/>
        </w:rPr>
        <w:t>(27)</w:t>
      </w:r>
      <w:r w:rsidR="00E11235" w:rsidRPr="00873E6C">
        <w:rPr>
          <w:rFonts w:ascii="Times" w:hAnsi="Times" w:cs="Times New Roman"/>
          <w:sz w:val="24"/>
          <w:szCs w:val="24"/>
        </w:rPr>
        <w:fldChar w:fldCharType="end"/>
      </w:r>
      <w:r w:rsidR="008C098D">
        <w:rPr>
          <w:rFonts w:ascii="Times" w:hAnsi="Times" w:cs="Times New Roman"/>
          <w:sz w:val="24"/>
          <w:szCs w:val="24"/>
        </w:rPr>
        <w:t xml:space="preserve"> and non-human genomes (refs) </w:t>
      </w:r>
      <w:r>
        <w:rPr>
          <w:rFonts w:ascii="Times" w:hAnsi="Times" w:cs="Times New Roman"/>
          <w:sz w:val="24"/>
          <w:szCs w:val="24"/>
        </w:rPr>
        <w:t>is</w:t>
      </w:r>
      <w:r w:rsidR="00E63E12" w:rsidRPr="00873E6C">
        <w:rPr>
          <w:rFonts w:ascii="Times" w:hAnsi="Times" w:cs="Times New Roman"/>
          <w:sz w:val="24"/>
          <w:szCs w:val="24"/>
        </w:rPr>
        <w:t xml:space="preserve"> </w:t>
      </w:r>
      <w:r w:rsidR="008C098D">
        <w:rPr>
          <w:rFonts w:ascii="Times" w:hAnsi="Times" w:cs="Times New Roman"/>
          <w:sz w:val="24"/>
          <w:szCs w:val="24"/>
        </w:rPr>
        <w:t>calculated from</w:t>
      </w:r>
      <w:r w:rsidR="00E63E12" w:rsidRPr="00873E6C">
        <w:rPr>
          <w:rFonts w:ascii="Times" w:hAnsi="Times" w:cs="Times New Roman"/>
          <w:sz w:val="24"/>
          <w:szCs w:val="24"/>
        </w:rPr>
        <w:t xml:space="preserve"> </w:t>
      </w:r>
      <w:proofErr w:type="spellStart"/>
      <w:r w:rsidR="00E63E12" w:rsidRPr="00873E6C">
        <w:rPr>
          <w:rFonts w:ascii="Times" w:hAnsi="Times" w:cs="Times New Roman"/>
          <w:sz w:val="24"/>
          <w:szCs w:val="24"/>
        </w:rPr>
        <w:t>methylation</w:t>
      </w:r>
      <w:proofErr w:type="spellEnd"/>
      <w:r w:rsidR="00E63E12" w:rsidRPr="00873E6C">
        <w:rPr>
          <w:rFonts w:ascii="Times" w:hAnsi="Times" w:cs="Times New Roman"/>
          <w:sz w:val="24"/>
          <w:szCs w:val="24"/>
        </w:rPr>
        <w:t xml:space="preserve"> at</w:t>
      </w:r>
      <w:r>
        <w:rPr>
          <w:rFonts w:ascii="Times" w:hAnsi="Times" w:cs="Times New Roman"/>
          <w:sz w:val="24"/>
          <w:szCs w:val="24"/>
        </w:rPr>
        <w:t xml:space="preserve"> a </w:t>
      </w:r>
      <w:r w:rsidR="008C098D">
        <w:rPr>
          <w:rFonts w:ascii="Times" w:hAnsi="Times" w:cs="Times New Roman"/>
          <w:sz w:val="24"/>
          <w:szCs w:val="24"/>
        </w:rPr>
        <w:t xml:space="preserve">species-specific </w:t>
      </w:r>
      <w:r>
        <w:rPr>
          <w:rFonts w:ascii="Times" w:hAnsi="Times" w:cs="Times New Roman"/>
          <w:sz w:val="24"/>
          <w:szCs w:val="24"/>
        </w:rPr>
        <w:t>subset of</w:t>
      </w:r>
      <w:r w:rsidR="00E63E12" w:rsidRPr="00873E6C">
        <w:rPr>
          <w:rFonts w:ascii="Times" w:hAnsi="Times" w:cs="Times New Roman"/>
          <w:sz w:val="24"/>
          <w:szCs w:val="24"/>
        </w:rPr>
        <w:t xml:space="preserve"> cytosine-guanine dyads (</w:t>
      </w:r>
      <w:proofErr w:type="spellStart"/>
      <w:r w:rsidR="00E63E12" w:rsidRPr="00873E6C">
        <w:rPr>
          <w:rFonts w:ascii="Times" w:hAnsi="Times" w:cs="Times New Roman"/>
          <w:sz w:val="24"/>
          <w:szCs w:val="24"/>
        </w:rPr>
        <w:t>CpGs</w:t>
      </w:r>
      <w:proofErr w:type="spellEnd"/>
      <w:r w:rsidR="00E63E12" w:rsidRPr="00873E6C">
        <w:rPr>
          <w:rFonts w:ascii="Times" w:hAnsi="Times" w:cs="Times New Roman"/>
          <w:sz w:val="24"/>
          <w:szCs w:val="24"/>
        </w:rPr>
        <w:t>)</w:t>
      </w:r>
      <w:r w:rsidR="0004267A">
        <w:rPr>
          <w:rFonts w:ascii="Times" w:hAnsi="Times" w:cs="Times New Roman"/>
          <w:sz w:val="24"/>
          <w:szCs w:val="24"/>
        </w:rPr>
        <w:t>, and</w:t>
      </w:r>
      <w:r>
        <w:rPr>
          <w:rFonts w:ascii="Times" w:hAnsi="Times" w:cs="Times New Roman"/>
          <w:sz w:val="24"/>
          <w:szCs w:val="24"/>
        </w:rPr>
        <w:t xml:space="preserve"> is</w:t>
      </w:r>
      <w:r w:rsidR="00E63E12" w:rsidRPr="00873E6C">
        <w:rPr>
          <w:rFonts w:ascii="Times" w:hAnsi="Times" w:cs="Times New Roman"/>
          <w:sz w:val="24"/>
          <w:szCs w:val="24"/>
        </w:rPr>
        <w:t xml:space="preserve"> strongly correlated with chronological age </w:t>
      </w:r>
      <w:r w:rsidR="00E11235" w:rsidRPr="00873E6C">
        <w:rPr>
          <w:rFonts w:ascii="Times" w:hAnsi="Times" w:cs="Times New Roman"/>
          <w:sz w:val="24"/>
          <w:szCs w:val="24"/>
        </w:rPr>
        <w:fldChar w:fldCharType="begin"/>
      </w:r>
      <w:r w:rsidR="00E63E12" w:rsidRPr="00873E6C">
        <w:rPr>
          <w:rFonts w:ascii="Times" w:hAnsi="Times" w:cs="Times New Roman"/>
          <w:sz w:val="24"/>
          <w:szCs w:val="24"/>
        </w:rPr>
        <w:instrText xml:space="preserve"> ADDIN ZOTERO_ITEM CSL_CITATION {"citationID":"a1v15rs0la8","properties":{"formattedCitation":"(26)","plainCitation":"(26)"},"citationItems":[{"id":5856,"uris":["http://zotero.org/users/451958/items/FTFABHWP"],"uri":["http://zotero.org/users/451958/items/FTFABHWP"],"itemData":{"id":5856,"type":"article-journal","title":"DNA methylation and healthy human aging","container-title":"Aging Cell","page":"924-932","volume":"14","issue":"6","source":"Wiley Online Library","abstract":"The process of aging results in a host of changes at the cellular and molecular levels, which include senescence, telomere shortening, and changes in gene expression. Epigenetic patterns also change over the lifespan, suggesting that epigenetic changes may constitute an important component of the aging process. The epigenetic mark that has been most highly studied is DNA methylation, the presence of methyl groups at CpG dinucleotides. These dinucleotides are often located near gene promoters and associate with gene expression levels. Early studies indicated that global levels of DNA methylation increase over the first few years of life and then decrease beginning in late adulthood. Recently, with the advent of microarray and next-generation sequencing technologies, increases in variability of DNA methylation with age have been observed, and a number of site-specific patterns have been identified. It has also been shown that certain CpG sites are highly associated with age, to the extent that prediction models using a small number of these sites can accurately predict the chronological age of the donor. Together, these observations point to the existence of two phenomena that both contribute to age-related DNA methylation changes: epigenetic drift and the epigenetic clock. In this review, we focus on healthy human aging throughout the lifetime and discuss the dynamics of DNA methylation as well as how interactions between the genome, environment, and the epigenome influence aging rates. We also discuss the impact of determining ‘epigenetic age’ for human health and outline some important caveats to existing and future studies.","DOI":"10.1111/acel.12349","ISSN":"1474-9726","journalAbbreviation":"Aging Cell","language":"en","author":[{"family":"Jones","given":"Meaghan J."},{"family":"Goodman","given":"Sarah J."},{"family":"Kobor","given":"Michael S."}],"issued":{"date-parts":[["2015",12,1]]}}}],"schema":"https://github.com/citation-style-language/schema/raw/master/csl-citation.json"} </w:instrText>
      </w:r>
      <w:r w:rsidR="00E11235" w:rsidRPr="00873E6C">
        <w:rPr>
          <w:rFonts w:ascii="Times" w:hAnsi="Times" w:cs="Times New Roman"/>
          <w:sz w:val="24"/>
          <w:szCs w:val="24"/>
        </w:rPr>
        <w:fldChar w:fldCharType="separate"/>
      </w:r>
      <w:r w:rsidR="00E63E12" w:rsidRPr="00873E6C">
        <w:rPr>
          <w:rFonts w:ascii="Times" w:hAnsi="Times" w:cs="Times New Roman"/>
          <w:noProof/>
          <w:sz w:val="24"/>
          <w:szCs w:val="24"/>
        </w:rPr>
        <w:t>(26)</w:t>
      </w:r>
      <w:r w:rsidR="00E11235" w:rsidRPr="00873E6C">
        <w:rPr>
          <w:rFonts w:ascii="Times" w:hAnsi="Times" w:cs="Times New Roman"/>
          <w:sz w:val="24"/>
          <w:szCs w:val="24"/>
        </w:rPr>
        <w:fldChar w:fldCharType="end"/>
      </w:r>
      <w:r>
        <w:rPr>
          <w:rFonts w:ascii="Times" w:hAnsi="Times" w:cs="Times New Roman"/>
          <w:sz w:val="24"/>
          <w:szCs w:val="24"/>
        </w:rPr>
        <w:t xml:space="preserve">. </w:t>
      </w:r>
      <w:r w:rsidR="006407D9">
        <w:rPr>
          <w:rFonts w:ascii="Times" w:hAnsi="Times" w:cs="Times New Roman"/>
          <w:sz w:val="24"/>
          <w:szCs w:val="24"/>
        </w:rPr>
        <w:t xml:space="preserve">Independent of a host of </w:t>
      </w:r>
      <w:r w:rsidR="006407D9" w:rsidRPr="00873E6C">
        <w:rPr>
          <w:rFonts w:ascii="Times" w:hAnsi="Times" w:cs="Times New Roman"/>
          <w:sz w:val="24"/>
          <w:szCs w:val="24"/>
        </w:rPr>
        <w:t>associated risk factors</w:t>
      </w:r>
      <w:r w:rsidR="006407D9">
        <w:rPr>
          <w:rFonts w:ascii="Times" w:hAnsi="Times" w:cs="Times New Roman"/>
          <w:sz w:val="24"/>
          <w:szCs w:val="24"/>
        </w:rPr>
        <w:t xml:space="preserve"> in humans</w:t>
      </w:r>
      <w:r w:rsidR="008C098D">
        <w:rPr>
          <w:rFonts w:ascii="Times" w:hAnsi="Times" w:cs="Times New Roman"/>
          <w:sz w:val="24"/>
          <w:szCs w:val="24"/>
        </w:rPr>
        <w:t>,</w:t>
      </w:r>
      <w:r>
        <w:rPr>
          <w:rFonts w:ascii="Times" w:hAnsi="Times" w:cs="Times New Roman"/>
          <w:sz w:val="24"/>
          <w:szCs w:val="24"/>
        </w:rPr>
        <w:t xml:space="preserve"> </w:t>
      </w:r>
      <w:r w:rsidR="000E48F4">
        <w:rPr>
          <w:rFonts w:ascii="Times" w:hAnsi="Times" w:cs="Times New Roman"/>
          <w:sz w:val="24"/>
          <w:szCs w:val="24"/>
        </w:rPr>
        <w:t>accelerated</w:t>
      </w:r>
      <w:r>
        <w:rPr>
          <w:rFonts w:ascii="Times" w:hAnsi="Times" w:cs="Times New Roman"/>
          <w:sz w:val="24"/>
          <w:szCs w:val="24"/>
        </w:rPr>
        <w:t xml:space="preserve"> </w:t>
      </w:r>
      <w:proofErr w:type="spellStart"/>
      <w:r>
        <w:rPr>
          <w:rFonts w:ascii="Times" w:hAnsi="Times" w:cs="Times New Roman"/>
          <w:sz w:val="24"/>
          <w:szCs w:val="24"/>
        </w:rPr>
        <w:t>DNAmAge</w:t>
      </w:r>
      <w:proofErr w:type="spellEnd"/>
      <w:r w:rsidR="000E48F4">
        <w:rPr>
          <w:rFonts w:ascii="Times" w:hAnsi="Times" w:cs="Times New Roman"/>
          <w:sz w:val="24"/>
          <w:szCs w:val="24"/>
        </w:rPr>
        <w:t xml:space="preserve"> relative to chronological age </w:t>
      </w:r>
      <w:r w:rsidR="006407D9">
        <w:rPr>
          <w:rFonts w:ascii="Times" w:hAnsi="Times" w:cs="Times New Roman"/>
          <w:sz w:val="24"/>
          <w:szCs w:val="24"/>
        </w:rPr>
        <w:t>is</w:t>
      </w:r>
      <w:r w:rsidR="000E48F4">
        <w:rPr>
          <w:rFonts w:ascii="Times" w:hAnsi="Times" w:cs="Times New Roman"/>
          <w:sz w:val="24"/>
          <w:szCs w:val="24"/>
        </w:rPr>
        <w:t xml:space="preserve"> </w:t>
      </w:r>
      <w:r>
        <w:rPr>
          <w:rFonts w:ascii="Times" w:hAnsi="Times" w:cs="Times New Roman"/>
          <w:sz w:val="24"/>
          <w:szCs w:val="24"/>
        </w:rPr>
        <w:t>associated with</w:t>
      </w:r>
      <w:r w:rsidR="000E48F4">
        <w:rPr>
          <w:rFonts w:ascii="Times" w:hAnsi="Times" w:cs="Times New Roman"/>
          <w:sz w:val="24"/>
          <w:szCs w:val="24"/>
        </w:rPr>
        <w:t xml:space="preserve"> elevated risks for</w:t>
      </w:r>
      <w:r>
        <w:rPr>
          <w:rFonts w:ascii="Times" w:hAnsi="Times" w:cs="Times New Roman"/>
          <w:sz w:val="24"/>
          <w:szCs w:val="24"/>
        </w:rPr>
        <w:t xml:space="preserve"> morbidity and mortality</w:t>
      </w:r>
      <w:r w:rsidR="00E63E12" w:rsidRPr="00873E6C">
        <w:rPr>
          <w:rFonts w:ascii="Times" w:hAnsi="Times" w:cs="Times New Roman"/>
          <w:sz w:val="24"/>
          <w:szCs w:val="24"/>
        </w:rPr>
        <w:t xml:space="preserve"> </w:t>
      </w:r>
      <w:r w:rsidR="00E11235" w:rsidRPr="00873E6C">
        <w:rPr>
          <w:rFonts w:ascii="Times" w:hAnsi="Times" w:cs="Times New Roman"/>
          <w:sz w:val="24"/>
          <w:szCs w:val="24"/>
        </w:rPr>
        <w:fldChar w:fldCharType="begin"/>
      </w:r>
      <w:r w:rsidR="00E63E12" w:rsidRPr="00873E6C">
        <w:rPr>
          <w:rFonts w:ascii="Times" w:hAnsi="Times" w:cs="Times New Roman"/>
          <w:sz w:val="24"/>
          <w:szCs w:val="24"/>
        </w:rPr>
        <w:instrText xml:space="preserve"> ADDIN ZOTERO_ITEM CSL_CITATION {"citationID":"Wflw3GMw","properties":{"formattedCitation":"{\\rtf (28\\uc0\\u8211{}30)}","plainCitation":"(28–30)"},"citationItems":[{"id":6457,"uris":["http://zotero.org/users/451958/items/432J9BMT"],"uri":["http://zotero.org/users/451958/items/432J9BMT"],"itemData":{"id":6457,"type":"article-journal","title":"DNA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J"}],"issued":{"date-parts":[["2015"]]}}},{"id":6673,"uris":["http://zotero.org/users/451958/items/UH2ZFQWN"],"uri":["http://zotero.org/users/451958/items/UH2ZFQWN"],"itemData":{"id":6673,"type":"article-journal","title":"DNA methylation-based measures of biological age: meta-analysis predicting time to death","container-title":"Aging (Albany NY)","page":"1844","volume":"8","issue":"9","journalAbbreviation":"Aging (Albany NY)","author":[{"family":"Chen","given":"Brian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W"},{"family":"Guan","given":"Weihua"}],"issued":{"date-parts":[["2016"]]}}},{"id":6814,"uris":["http://zotero.org/users/451958/items/2V93KP6K"],"uri":["http://zotero.org/users/451958/items/2V93KP6K"],"itemData":{"id":6814,"type":"article-journal","title":"DNA methylation age is associated with mortality in a longitudinal Danish twin study","container-title":"Aging Cell","page":"149-154","volume":"15","issue":"1","source":"PubMed Central","abstract":"An epigenetic profile defining the DNA methylation age (DNAm age) of an individual has been suggested to be a biomarker of aging, and thus possibly providing a tool for assessment of health and mortality. In this study, we estimated the DNAm age of 378 Danish twins, age 30–82 years, and furthermore included a 10</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longitudinal study of the 86 oldest</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old twins (mean age of 86.1 at follow</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up), which subsequently were followed for mortality for 8 years. We found that the DNAm age is highly correlated with chronological age across all age groups (r = 0.97), but that the rate of change of DNAm age decreases with age. The results may in part be explained by selective mortality of those with a high DNAm age. This hypothesis was supported by a classical survival analysis showing a 35% (4–77%) increased mortality risk for each 5</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increase in the DNAm age vs. chronological age. Furthermore, the intrapair twin analysis revealed a more</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than</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double mortality risk for the DNAm oldest twin compared to the co</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twin and a ‘dose–response pattern’ with the odds of dying first increasing 3.2 (1.05–10.1) times per 5</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DNAm age difference within twin pairs, thus showing a stronger association of DNAm age with mortality in the oldest</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 xml:space="preserve">old when controlling for familial factors. In conclusion, our results support that DNAm age qualifies as a biomarker of aging.","DOI":"10.1111/acel.12421","ISSN":"1474-9718","note":"PMID: 26594032\nPMCID: PMC4717264","journalAbbreviation":"Aging Cell","author":[{"family":"Christiansen","given":"Lene"},{"family":"Lenart","given":"Adam"},{"family":"Tan","given":"Qihua"},{"family":"Vaupel","given":"James W."},{"family":"Aviv","given":"Abraham"},{"family":"McGue","given":"Matt"},{"family":"Christensen","given":"Kaare"}],"issued":{"date-parts":[["2016",2]]}}}],"schema":"https://github.com/citation-style-language/schema/raw/master/csl-citation.json"} </w:instrText>
      </w:r>
      <w:r w:rsidR="00E11235" w:rsidRPr="00873E6C">
        <w:rPr>
          <w:rFonts w:ascii="Times" w:hAnsi="Times" w:cs="Times New Roman"/>
          <w:sz w:val="24"/>
          <w:szCs w:val="24"/>
        </w:rPr>
        <w:fldChar w:fldCharType="separate"/>
      </w:r>
      <w:r w:rsidR="00E63E12" w:rsidRPr="00873E6C">
        <w:rPr>
          <w:rFonts w:ascii="Times" w:hAnsi="Times" w:cs="Segoe UI"/>
          <w:sz w:val="24"/>
        </w:rPr>
        <w:t>(28–30)</w:t>
      </w:r>
      <w:r w:rsidR="00E11235" w:rsidRPr="00873E6C">
        <w:rPr>
          <w:rFonts w:ascii="Times" w:hAnsi="Times" w:cs="Times New Roman"/>
          <w:sz w:val="24"/>
          <w:szCs w:val="24"/>
        </w:rPr>
        <w:fldChar w:fldCharType="end"/>
      </w:r>
      <w:r w:rsidR="000E48F4">
        <w:rPr>
          <w:rFonts w:ascii="Times" w:hAnsi="Times" w:cs="Times New Roman"/>
          <w:sz w:val="24"/>
          <w:szCs w:val="24"/>
        </w:rPr>
        <w:t xml:space="preserve">. </w:t>
      </w:r>
      <w:r w:rsidR="006407D9">
        <w:rPr>
          <w:rFonts w:ascii="Times" w:hAnsi="Times" w:cs="Times New Roman"/>
          <w:sz w:val="24"/>
          <w:szCs w:val="24"/>
        </w:rPr>
        <w:t xml:space="preserve">Vital to capitalizing on epigenetic age as a marker of non-mitotic senescence, </w:t>
      </w:r>
      <w:r w:rsidR="00DC5DCC">
        <w:rPr>
          <w:rFonts w:ascii="Times" w:hAnsi="Times" w:cs="Times New Roman"/>
          <w:sz w:val="24"/>
          <w:szCs w:val="24"/>
        </w:rPr>
        <w:t xml:space="preserve">accelerated </w:t>
      </w:r>
      <w:proofErr w:type="spellStart"/>
      <w:r w:rsidR="006407D9">
        <w:rPr>
          <w:rFonts w:ascii="Times" w:hAnsi="Times" w:cs="Times New Roman"/>
          <w:sz w:val="24"/>
          <w:szCs w:val="24"/>
        </w:rPr>
        <w:t>DNAmAge</w:t>
      </w:r>
      <w:proofErr w:type="spellEnd"/>
      <w:r w:rsidR="006F6AA5">
        <w:rPr>
          <w:rFonts w:ascii="Times" w:hAnsi="Times" w:cs="Times New Roman"/>
          <w:sz w:val="24"/>
          <w:szCs w:val="24"/>
        </w:rPr>
        <w:t xml:space="preserve"> predicts senescence and mortality independently of TL in living humans </w:t>
      </w:r>
      <w:r w:rsidR="00E11235" w:rsidRPr="00873E6C">
        <w:rPr>
          <w:rFonts w:ascii="Times" w:hAnsi="Times" w:cs="Times New Roman"/>
          <w:sz w:val="24"/>
          <w:szCs w:val="24"/>
        </w:rPr>
        <w:fldChar w:fldCharType="begin"/>
      </w:r>
      <w:r w:rsidR="006F6AA5" w:rsidRPr="00873E6C">
        <w:rPr>
          <w:rFonts w:ascii="Times" w:hAnsi="Times" w:cs="Times New Roman"/>
          <w:sz w:val="24"/>
          <w:szCs w:val="24"/>
        </w:rPr>
        <w:instrText xml:space="preserve"> ADDIN ZOTERO_ITEM CSL_CITATION {"citationID":"56WY1F2Y","properties":{"formattedCitation":"(31, 32)","plainCitation":"(31, 32)"},"citationItems":[{"id":7319,"uris":["http://zotero.org/users/451958/items/7BPIFNAV"],"uri":["http://zotero.org/users/451958/items/7BPIFNAV"],"itemData":{"id":7319,"type":"article-journal","title":"Epigenetic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J."}],"issued":{"date-parts":[["2016",4,13]]}}}],"schema":"https://github.com/citation-style-language/schema/raw/master/csl-citation.json"} </w:instrText>
      </w:r>
      <w:r w:rsidR="00E11235" w:rsidRPr="00873E6C">
        <w:rPr>
          <w:rFonts w:ascii="Times" w:hAnsi="Times" w:cs="Times New Roman"/>
          <w:sz w:val="24"/>
          <w:szCs w:val="24"/>
        </w:rPr>
        <w:fldChar w:fldCharType="separate"/>
      </w:r>
      <w:r w:rsidR="006F6AA5" w:rsidRPr="00873E6C">
        <w:rPr>
          <w:rFonts w:ascii="Times" w:hAnsi="Times" w:cs="Times New Roman"/>
          <w:noProof/>
          <w:sz w:val="24"/>
          <w:szCs w:val="24"/>
        </w:rPr>
        <w:t>(31, 32)</w:t>
      </w:r>
      <w:r w:rsidR="00E11235" w:rsidRPr="00873E6C">
        <w:rPr>
          <w:rFonts w:ascii="Times" w:hAnsi="Times" w:cs="Times New Roman"/>
          <w:sz w:val="24"/>
          <w:szCs w:val="24"/>
        </w:rPr>
        <w:fldChar w:fldCharType="end"/>
      </w:r>
      <w:r w:rsidR="006F6AA5">
        <w:rPr>
          <w:rFonts w:ascii="Times" w:hAnsi="Times" w:cs="Times New Roman"/>
          <w:sz w:val="24"/>
          <w:szCs w:val="24"/>
        </w:rPr>
        <w:t xml:space="preserve">, and independently of both TL and the DNA damage response in vitro </w:t>
      </w:r>
      <w:r w:rsidR="00E11235" w:rsidRPr="00873E6C">
        <w:rPr>
          <w:rFonts w:ascii="Times" w:hAnsi="Times" w:cs="Times New Roman"/>
          <w:sz w:val="24"/>
          <w:szCs w:val="24"/>
        </w:rPr>
        <w:fldChar w:fldCharType="begin"/>
      </w:r>
      <w:r w:rsidR="006F6AA5" w:rsidRPr="00873E6C">
        <w:rPr>
          <w:rFonts w:ascii="Times" w:hAnsi="Times" w:cs="Times New Roman"/>
          <w:sz w:val="24"/>
          <w:szCs w:val="24"/>
        </w:rPr>
        <w:instrText xml:space="preserve"> ADDIN ZOTERO_ITEM CSL_CITATION {"citationID":"a2lig0vrelp","properties":{"formattedCitation":"(27, 31)","plainCitation":"(27, 31)"},"citationItems":[{"id":6478,"uris":["http://zotero.org/users/451958/items/PPBB3633"],"uri":["http://zotero.org/users/451958/items/PPBB3633"],"itemData":{"id":6478,"type":"article-journal","title":"DNA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E11235" w:rsidRPr="00873E6C">
        <w:rPr>
          <w:rFonts w:ascii="Times" w:hAnsi="Times" w:cs="Times New Roman"/>
          <w:sz w:val="24"/>
          <w:szCs w:val="24"/>
        </w:rPr>
        <w:fldChar w:fldCharType="separate"/>
      </w:r>
      <w:r w:rsidR="006F6AA5" w:rsidRPr="00873E6C">
        <w:rPr>
          <w:rFonts w:ascii="Times" w:hAnsi="Times" w:cs="Times New Roman"/>
          <w:noProof/>
          <w:sz w:val="24"/>
          <w:szCs w:val="24"/>
        </w:rPr>
        <w:t>(27, 31)</w:t>
      </w:r>
      <w:r w:rsidR="00E11235" w:rsidRPr="00873E6C">
        <w:rPr>
          <w:rFonts w:ascii="Times" w:hAnsi="Times" w:cs="Times New Roman"/>
          <w:sz w:val="24"/>
          <w:szCs w:val="24"/>
        </w:rPr>
        <w:fldChar w:fldCharType="end"/>
      </w:r>
      <w:r w:rsidR="006F6AA5">
        <w:rPr>
          <w:rFonts w:ascii="Times" w:hAnsi="Times" w:cs="Times New Roman"/>
          <w:sz w:val="24"/>
          <w:szCs w:val="24"/>
        </w:rPr>
        <w:t>.</w:t>
      </w:r>
    </w:p>
    <w:p w:rsidR="009E4C99" w:rsidRDefault="00BE2921" w:rsidP="00BE2921">
      <w:pPr>
        <w:spacing w:after="120"/>
        <w:rPr>
          <w:rFonts w:ascii="Times" w:eastAsia="Times New Roman" w:hAnsi="Times" w:cs="Times New Roman"/>
          <w:sz w:val="24"/>
          <w:szCs w:val="24"/>
        </w:rPr>
      </w:pPr>
      <w:r>
        <w:rPr>
          <w:rFonts w:ascii="Times" w:hAnsi="Times" w:cs="Times New Roman"/>
          <w:sz w:val="24"/>
          <w:szCs w:val="24"/>
        </w:rPr>
        <w:t xml:space="preserve">Human pregnancy could generate costs to female health and lifespan by shortening TL (mitotic age), accelerating </w:t>
      </w:r>
      <w:proofErr w:type="spellStart"/>
      <w:r>
        <w:rPr>
          <w:rFonts w:ascii="Times" w:hAnsi="Times" w:cs="Times New Roman"/>
          <w:sz w:val="24"/>
          <w:szCs w:val="24"/>
        </w:rPr>
        <w:t>DNAmAge</w:t>
      </w:r>
      <w:proofErr w:type="spellEnd"/>
      <w:r>
        <w:rPr>
          <w:rFonts w:ascii="Times" w:hAnsi="Times" w:cs="Times New Roman"/>
          <w:sz w:val="24"/>
          <w:szCs w:val="24"/>
        </w:rPr>
        <w:t xml:space="preserve"> (non-mitotic age), or both. </w:t>
      </w:r>
      <w:r w:rsidR="00E63E12" w:rsidRPr="00873E6C">
        <w:rPr>
          <w:rFonts w:ascii="Times" w:hAnsi="Times" w:cs="Times New Roman"/>
          <w:sz w:val="24"/>
          <w:szCs w:val="24"/>
        </w:rPr>
        <w:t xml:space="preserve">During pregnancy, </w:t>
      </w:r>
      <w:r>
        <w:rPr>
          <w:rFonts w:ascii="Times" w:hAnsi="Times" w:cs="Times New Roman"/>
          <w:sz w:val="24"/>
          <w:szCs w:val="24"/>
        </w:rPr>
        <w:t>blood cells proliferate to compensate for fluid volume expansion</w:t>
      </w:r>
      <w:r w:rsidR="009E4C99">
        <w:rPr>
          <w:rFonts w:ascii="Times" w:hAnsi="Times" w:cs="Times New Roman"/>
          <w:sz w:val="24"/>
          <w:szCs w:val="24"/>
        </w:rPr>
        <w:t xml:space="preserve"> </w:t>
      </w:r>
      <w:r w:rsidR="00E11235" w:rsidRPr="00873E6C">
        <w:rPr>
          <w:rFonts w:ascii="Times" w:eastAsia="Times New Roman" w:hAnsi="Times" w:cs="Times New Roman"/>
          <w:sz w:val="24"/>
          <w:szCs w:val="24"/>
        </w:rPr>
        <w:fldChar w:fldCharType="begin"/>
      </w:r>
      <w:r w:rsidR="009E4C99" w:rsidRPr="00873E6C">
        <w:rPr>
          <w:rFonts w:ascii="Times" w:eastAsia="Times New Roman" w:hAnsi="Times" w:cs="Times New Roman"/>
          <w:sz w:val="24"/>
          <w:szCs w:val="24"/>
        </w:rPr>
        <w:instrText xml:space="preserve"> ADDIN ZOTERO_ITEM CSL_CITATION {"citationID":"0MjnBIux","properties":{"formattedCitation":"(43, 44)","plainCitation":"(43, 44)"},"citationItems":[{"id":8225,"uris":["http://zotero.org/users/451958/items/DXENUT5A"],"uri":["http://zotero.org/users/451958/items/DXENUT5A"],"itemData":{"id":8225,"type":"article-journal","title":"Total and differential leukocyte counts percentiles in normal pregnancy","container-title":"European Journal of Obstetrics &amp; Gynecology and Reproductive Biology","page":"16-19","volume":"136","issue":"1","abstract":"Objective To establish leukocyte count and leukocyte differential percentiles in normal uncomplicated pregnancy. Study design This retrospective longitudinal study was performed in an outpatient facility for routine antenatal care. The study population comprised of 726 healthy women from the 5th to the 41st week of pregnancy. Altogether, there were 1749 complete blood count evaluations, of which 481 were in the 1st trimester, 687 in the 2nd trimester and 581 in the 3rd trimester. The total and differential leukocyte counts were determined by an automated cell counter. Results The leukocyte and neutrophil counts gradually and significantly increased form the 1st to the 3rd trimester. The monocyte count increase became significant only during the 3rd trimester. The eosinophil count did not significantly change throughout pregnancy. The basophil count significantly decreased during the 2nd trimester and returned to 1st trimester values during the 3rd trimester. Conclusion In this study, we provide total and differential leukocyte counts’ mean ± S.D., minimal and maximal values, and the 3rd, 5th, 10th, 50th, 90th, 95th, and 99th percentiles for entire pregnancy and for each trimester separately. These reference values should prove useful for diagnostic and research purposes.","author":[{"family":"Lurie","given":"Samuel"},{"family":"Rahamim","given":"Einam"},{"family":"Piper","given":"Irena"},{"family":"Golan","given":"Abraham"},{"family":"Sadan","given":"Oscar"}],"issued":{"date-parts":[["2008"]]}}},{"id":8154,"uris":["http://zotero.org/users/451958/items/EB5K623N"],"uri":["http://zotero.org/users/451958/items/EB5K623N"],"itemData":{"id":8154,"type":"article-journal","title":"Hematologic changes in pregnancy","container-title":"UpToDate","author":[{"family":"Bauer","given":"Kenneth A"}],"issued":{"date-parts":[["2014"]]}}}],"schema":"https://github.com/citation-style-language/schema/raw/master/csl-citation.json"} </w:instrText>
      </w:r>
      <w:r w:rsidR="00E11235" w:rsidRPr="00873E6C">
        <w:rPr>
          <w:rFonts w:ascii="Times" w:eastAsia="Times New Roman" w:hAnsi="Times" w:cs="Times New Roman"/>
          <w:sz w:val="24"/>
          <w:szCs w:val="24"/>
        </w:rPr>
        <w:fldChar w:fldCharType="separate"/>
      </w:r>
      <w:r w:rsidR="009E4C99" w:rsidRPr="00873E6C">
        <w:rPr>
          <w:rFonts w:ascii="Times" w:hAnsi="Times" w:cs="Segoe UI"/>
          <w:sz w:val="24"/>
        </w:rPr>
        <w:t>(43, 44)</w:t>
      </w:r>
      <w:r w:rsidR="00E11235" w:rsidRPr="00873E6C">
        <w:rPr>
          <w:rFonts w:ascii="Times" w:eastAsia="Times New Roman" w:hAnsi="Times" w:cs="Times New Roman"/>
          <w:sz w:val="24"/>
          <w:szCs w:val="24"/>
        </w:rPr>
        <w:fldChar w:fldCharType="end"/>
      </w:r>
      <w:r>
        <w:rPr>
          <w:rFonts w:ascii="Times" w:hAnsi="Times" w:cs="Times New Roman"/>
          <w:sz w:val="24"/>
          <w:szCs w:val="24"/>
        </w:rPr>
        <w:t xml:space="preserve">, and the female body shifts towards a pro-inflammatory but </w:t>
      </w:r>
      <w:proofErr w:type="spellStart"/>
      <w:r w:rsidRPr="00BE2921">
        <w:rPr>
          <w:rFonts w:ascii="Times" w:hAnsi="Times" w:cs="Times New Roman"/>
          <w:sz w:val="24"/>
          <w:szCs w:val="24"/>
        </w:rPr>
        <w:t>immunocompromised</w:t>
      </w:r>
      <w:proofErr w:type="spellEnd"/>
      <w:r w:rsidRPr="00BE2921">
        <w:rPr>
          <w:rFonts w:ascii="Times" w:hAnsi="Times" w:cs="Times New Roman"/>
          <w:sz w:val="24"/>
          <w:szCs w:val="24"/>
        </w:rPr>
        <w:t xml:space="preserve"> </w:t>
      </w:r>
      <w:r w:rsidR="009E4C99">
        <w:rPr>
          <w:rFonts w:ascii="Times" w:hAnsi="Times" w:cs="Times New Roman"/>
          <w:sz w:val="24"/>
          <w:szCs w:val="24"/>
        </w:rPr>
        <w:t xml:space="preserve">state </w:t>
      </w:r>
      <w:r w:rsidR="00E11235"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{"citationID":"jO7aF01p","properties":{"formattedCitation":"{\\rtf (45\\uc0\\u8211{}47)}","plainCitation":"(45–47)"},"citationItems":[{"id":8250,"uris":["http://zotero.org/users/451958/items/6YZ3A5EF"],"uri":["http://zotero.org/users/451958/items/6YZ3A5EF"],"itemData":{"id":8250,"type":"article-journal","title":"Sex steroids, pregnancy-associated hormones and immunity to parasitic infection","container-title":"Parasitology Today","page":"382-388","volume":"12","issue":"10","abstract":"A wealth of evidence has accumulated that illustrates the ability of sex-associated hormones to influence directly a variety of diverse immunological functions. Thus, it is not surprising that differences have also been noted between the sexes in their relative susceptibility to parasitic infections. Furthermore, during pregnancy, much of the observed maternal immunomodulation, essential for fetal survival, has been attributed to changes in the levels of steroid hormones. These pregnancy-induced alterations in immune function can also have profound effects on the course of parasitic infection. In this article, Craig Roberts, Abhay Satoskar and James Alexander review the immunological basis for differences in the relative susceptibilities of males, non-pregnant females and pregnant females to parasitic infection, particularly leislumaniasis and toxoplasmosis. They also discuss the role of the major sex- and pregnancy-associated hormones in mediating these effects.","author":[{"family":"Roberts","given":"C. W."},{"family":"Satoskar","given":"A."},{"family":"Alexander","given":"J."}],"issued":{"date-parts":[["1996"]]}}},{"id":8218,"uris":["http://zotero.org/users/451958/items/W47VDZF4"],"uri":["http://zotero.org/users/451958/items/W47VDZF4"],"itemData":{"id":8218,"type":"article-journal","title":"Increased susceptibility to Helicobacter pylori infection in pregnancy","container-title":"Infect Dis Obstet Gynecol","page":"195-8","volume":"7","issue":"4","abstract":"OBJECTIVE: Helicobacter pylori plays a major role in abdominal symptoms and gastroduodenal pathology, including gastric cancer. Pregnancy has been associated with changes in both humoral and cell-mediated immunity. These changes include alterations in the various classes of antibodies during different gestational periods. It has been previously suggested that these alterations may expose pregnant women to an increased risk of infection with this microorganism. METHODS: To further investigate this hypothesis, we assayed sera from 229 asymptomatic pregnant women for the presence of H.-pylori-specific immunoglobulin G (IgG) and immunoglobulin M (IgM) antibodies by means of a commercially available serum ELISA test (Malakit, Biolab, Belgium). Both tests were previously validated in large series of H.-pylori-positive and -negative subjects. While the presence of H.-pylori-specific IgG antibodies is only a marker for a \"chronic\" infection with this bacterium and therefore no indicator of the time of acquisition of the infection, specific IgM antibodies are a more specific marker for a recently acquired infection with H. pylori. Results were compared with those previously obtained in asymptomatic, healthy, nonpregnant individuals. RESULTS: One hundred twenty of 229 women (52.4%) and 55/118 nonpregnant subjects (46.6%) were seropositive for H.-pylori-specific IgG antibodies (P &gt; 0.3). Out of these 120 IgG-antibody-positive women, 36 (30%) were positive for H.-pylori-specific IgM antibodies, as were 25/109 (22.9%) in the IgG-antibody-negative group (P &gt; 0.3). Overall, 61/229 (26.6%) of the pregnant women had recently been infected with H. pylori, compared with 11% of the healthy, nonpregnant population (P &gt; 0.01). CONCLUSIONS: Our observations confirm the possibility of an increased susceptibility to H. pylori infection in pregnancy. Additional studies are necessary to further understand the immune response to H. pylori in pregnancy.","author":[{"family":"Lanciers","given":"S."},{"family":"Despinasse","given":"B."},{"family":"Mehta","given":"D. I."},{"family":"Blecker","given":"U."}],"issued":{"date-parts":[["1999"]]}}},{"id":8196,"uris":["http://zotero.org/users/451958/items/A67T4RXH"],"uri":["http://zotero.org/users/451958/items/A67T4RXH"],"itemData":{"id":8196,"type":"article-journal","title":"Increased risk of incident HIV during pregnancy in Rakai, Uganda: a prospective study","container-title":"The Lancet","page":"1182-1188","volume":"366","issue":"9492","author":[{"family":"Gray","given":"Ronald H"},{"family":"Li","given":"Xianbin"},{"family":"Kigozi","given":"Godfrey"},{"family":"Serwadda","given":"David"},{"family":"Brahmbhatt","given":"Heena"},{"family":"Wabwire-Mangen","given":"Fred"},{"family":"Nalugoda","given":"Fred"},{"family":"Kiddugavu","given":"Mohamed"},{"family":"Sewankambo","given":"Nelson"},{"family":"Quinn","given":"Thomas C"}],"issued":{"date-parts":[["2005"]]}}}],"schema":"https://github.com/citation-style-language/schema/raw/master/csl-citation.json"} </w:instrText>
      </w:r>
      <w:r w:rsidR="00E11235" w:rsidRPr="00873E6C">
        <w:rPr>
          <w:rFonts w:ascii="Times" w:eastAsia="Times New Roman" w:hAnsi="Times" w:cs="Times New Roman"/>
          <w:sz w:val="24"/>
          <w:szCs w:val="24"/>
        </w:rPr>
        <w:fldChar w:fldCharType="separate"/>
      </w:r>
      <w:r w:rsidR="00E63E12" w:rsidRPr="00873E6C">
        <w:rPr>
          <w:rFonts w:ascii="Times" w:hAnsi="Times" w:cs="Segoe UI"/>
          <w:sz w:val="24"/>
        </w:rPr>
        <w:t>(45–47)</w:t>
      </w:r>
      <w:r w:rsidR="00E11235" w:rsidRPr="00873E6C">
        <w:rPr>
          <w:rFonts w:ascii="Times" w:eastAsia="Times New Roman" w:hAnsi="Times" w:cs="Times New Roman"/>
          <w:sz w:val="24"/>
          <w:szCs w:val="24"/>
        </w:rPr>
        <w:fldChar w:fldCharType="end"/>
      </w:r>
      <w:r w:rsidR="00E63E12" w:rsidRPr="00873E6C">
        <w:rPr>
          <w:rFonts w:ascii="Times" w:hAnsi="Times" w:cs="Times New Roman"/>
          <w:sz w:val="24"/>
          <w:szCs w:val="24"/>
        </w:rPr>
        <w:t xml:space="preserve">. Data from cell culture, rodent based experiments, and </w:t>
      </w:r>
      <w:r w:rsidR="009E4C99">
        <w:rPr>
          <w:rFonts w:ascii="Times" w:hAnsi="Times" w:cs="Times New Roman"/>
          <w:sz w:val="24"/>
          <w:szCs w:val="24"/>
        </w:rPr>
        <w:t>clinical studies</w:t>
      </w:r>
      <w:r w:rsidR="00E63E12" w:rsidRPr="00873E6C">
        <w:rPr>
          <w:rFonts w:ascii="Times" w:hAnsi="Times" w:cs="Times New Roman"/>
          <w:sz w:val="24"/>
          <w:szCs w:val="24"/>
        </w:rPr>
        <w:t xml:space="preserve"> </w:t>
      </w:r>
      <w:r w:rsidR="00E63E12" w:rsidRPr="00873E6C">
        <w:rPr>
          <w:rFonts w:ascii="Times" w:eastAsia="Times New Roman" w:hAnsi="Times" w:cs="Times New Roman"/>
          <w:sz w:val="24"/>
          <w:szCs w:val="24"/>
        </w:rPr>
        <w:t xml:space="preserve">show that inflammation and infection increase cell proliferation and DNA damage, both expected to accelerate the pace of telomere shortening </w:t>
      </w:r>
      <w:r w:rsidR="00E11235"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{"citationID":"mCVs5vxk","properties":{"formattedCitation":"{\\rtf (48\\uc0\\u8211{}55)}","plainCitation":"(48–55)"},"citationItems":[{"id":8247,"uris":["http://zotero.org/users/451958/items/KKYLJ6A2"],"uri":["http://zotero.org/users/451958/items/KKYLJ6A2"],"itemData":{"id":8247,"type":"article-journal","title":"Immunosenescence in HIV Pathogenesis","container-title":"Virology","page":"148-154","volume":"231","issue":"1","abstract":"Telomeres are complex protein-DNA structures located at the ends of eukaryotic chromosomes. In a normal cell, telomere DNA shortens with cell divisions. Such a telomere loss may act as a mitotic clock to eventually signal cell cycling exit and cellular senescence. In a transversal study, we found a marked decrease in telomere length of peripheral blood mononuclear cells in HIV-infected patients with advanced immunodeficiency. This telomere reduction concerns T4, T8, and B lymphocytes, providing evidence of high turnover of these cells in the course of HIV infection. These data suggest that replicative senescence could be involved in the final immunosuppression and may have important therapeutical implications.","author":[{"family":"Pommier","given":"Jean-Patrick"},{"family":"Gauthier","given":"Laurent"},{"family":"Livartowski","given":"Joêl"},{"family":"Galanaud","given":"Pierre"},{"family":"Boué","given":"François"},{"family":"Dulioust","given":"Anne"},{"family":"Marcé","given":"Dominique"},{"family":"Ducray","given":"Caroline"},{"family":"Sabatier","given":"Laure"},{"family":"Lebeau","given":"Jérôme"},{"family":"Boussin","given":"François-Dominique"}],"issued":{"date-parts":[["1997"]]}}},{"id":8254,"uris":["http://zotero.org/users/451958/items/A2XQ8S73"],"uri":["http://zotero.org/users/451958/items/A2XQ8S73"],"itemData":{"id":8254,"type":"article-journal","title":"Monocyte telomere shortening and oxidative DNA damage in type 2 diabetes","container-title":"Diabetes Care","page":"283-9","volume":"29","issue":"2","abstract":"OBJECTIVE: Telomeres are DNA sequences necessary for DNA replication, which shorten at cell division at a rate related to levels of oxidative stress. Once shortened to a critical length, cells are triggered into replicative senescence. Type 2 diabetes is associated with oxidative DNA damage, and we hypothesized that telomere shortening would characterize type 2 diabetes. RESEARCH DESIGN AND METHODS: We studied 21 male type 2 diabetic subjects (mean age 61.2 years, mean HbA(1c) 7.9%) selected to limit confounding effects on telomere length and 29 matched control subjects. Telomere length was measured in peripheral venous monocyte and T-cells (naive and memory) by fluorescent in situ hybridization and oxidative DNA damage by flow cytometry of oxidized DNA bases. Peripheral insulin resistance (homeostasis model assessment) and high-sensitivity C-reactive protein (hsCRP) were measured. RESULTS: Mean monocyte telomere length in the diabetic group was highly significantly lower than in control subjects (4.0 [1.1] vs. 5.5 [1.1]; P &lt; 0.0001), without significant differences in lymphocyte telomere length. There was a trend toward increased oxidative DNA damage in all diabetes cell types examined and a significant inverse relationship between oxidative DNA damage and telomere length (r = -0.55; P = 0.018) in the diabetic group. Telomere length was unrelated to plasma CRP concentration or insulin resistance. CONCLUSIONS: Monocyte telomere shortening in type 2 diabetes could be due to increased oxidative DNA damage to monocyte precursors during cell division. This data suggests that monocytes adhering to vascular endothelium and entering the vessel wall in type 2 diabetes are from a population with shorter telomeres and at increased risk of replicative senescence within vascular plaque.","author":[{"family":"Sampson","given":"M. J."},{"family":"Winterbone","given":"M. S."},{"family":"Hughes","given":"J. C."},{"family":"Dozio","given":"N."},{"family":"Hughes","given":"D. A."}],"issued":{"date-parts":[["2006"]]}}},{"id":8163,"uris":["http://zotero.org/users/451958/items/3653E6PJ"],"uri":["http://zotero.org/users/451958/items/3653E6PJ"],"itemData":{"id":8163,"type":"article-journal","title":"Telomere attrition is associated with inflammation, low fetuin-A levels and high mortality in prevalent haemodialysis patients","container-title":"Journal of Internal Medicine","page":"302-312","volume":"263","issue":"3","abstract":"Abstract.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Carrero JJ, Stenvinkel P, Fellstr</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m B, Qureshi AR, Lamb K, Heimb</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rger O, B</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r</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ny P, Radhakrishnan K, Lindholm B, Soveri I, Nordfors L, Shiels PG (Karolinska University Hospital at Huddinge, Stockholm; Uppsala University Hospital, Uppsala, Sweden; University of Glasgow, Glasgow, UK; and Karolinska Institutet, Stockholm, Sweden). Telomere attrition is associated with inflammation, low fetuin-A levels and high mortality in prevalent haemodialysis patients. J Intern Med 2008; 263: 3022013312.Introduction.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Chronic kidney disease (CKD) predisposes to a 10- to 20-fold increased cardiovascular risk. Patients undergo accelerated atherogenesis and vascular ageing. We investigated whether telomere attrition, a marker of cell senescence, contributes to this increased mortality risk.Methods.</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This is a cross-sectional study in prevalent haemodialysis patients [n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175; 98 Males; median (range) age: 66 (23201386) years]. Biochemical markers of oxidative stress and inflammatory status were measured in relation to the patient's leucocyte telomere length. Overall mortality was assessed after a median of 31 (range 2201342) months.Results.</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Telomere length was shorter in CKD men, despite women being older (average</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SD 6.41</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1.23 vs. 6.96</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1.48</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kb,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0.002). Telomere length was associated with age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22120.18,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0.01), fetuin-A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0.26,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0.0004), high-sensitivity C-reactive protein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22120.21,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0.005) and IL-6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22120.17,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0.02). In a multivariate logistic regression (pseudo r2</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0.14), telomere length was associated with age &amp;gt;65</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years (odds ratio: 2.11; 95% CI: 1.10, 4.06), sex (2.01; 1.05, 3.86), fetuin-A (1.85; 0.97, 3.50) and white blood cell count (2.04; 1.02, 4.09). Receiver operating characteristic curves identified a telomere length &amp;lt; 6.28</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kb as a fair predictor of mortality. Finally, reduced telomere length was associated with increased mortality, independently of age, gender and inflammation (likelihood ratio 41.6,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&amp;lt;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0.0001), but dependently on fetuin-A levels.Conclusion.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Age and male gender seem to be important contributors to reduced telomere length in CKD patients, possibly via persistent inflammation. Reduced telomere length also contributes to the mortality risk of these patients through pathways that could involve circulating levels of fetuin-A.","author":[{"family":"Carrero","given":"J. J."},{"family":"Stenvinkel","given":"P."},{"family":"Fellstrom","given":"B."},{"family":"Qureshi","given":"A. R."},{"family":"Lamb","given":"K."},{"family":"Heimburger","given":"O."},{"family":"Barany","given":"P."},{"family":"Radhakrishnan","given":"K."},{"family":"Lindholm","given":"B."},{"family":"Soveri","given":"I."},{"family":"Nordfors","given":"L."},{"family":"Shiels","given":"P. G."}],"issued":{"date-parts":[["2008"]]}}},{"id":8239,"uris":["http://zotero.org/users/451958/items/JN2Q7MMY"],"uri":["http://zotero.org/users/451958/items/JN2Q7MMY"],"itemData":{"id":8239,"type":"article-journal","title":"Cumulative Inflammatory Load Is Associated with Short Leukocyte Telomere Length in the Health, Aging and Body Composition Study","container-title":"PLoS ONE","page":"e19687","volume":"6","issue":"5","abstract":"&lt;sec&gt; &lt;title&gt;Background&lt;/title&gt; &lt;p&gt;Leukocyte telomere length (LTL) is an emerging marker of biological age. Chronic inflammatory activity is commonly proposed as a promoter of biological aging in general, and of leukocyte telomere shortening in particular. In addition, senescent cells with critically short telomeres produce pro-inflammatory factors. However, in spite of the proposed causal links between inflammatory activity and LTL, there is little clinical evidence in support of their covariation and interaction.&lt;/p&gt; &lt;/sec&gt; &lt;sec&gt; &lt;title&gt;Methodology/Principal Findings&lt;/title&gt; &lt;p&gt;To address this issue, we examined if individuals with high levels of the systemic inflammatory markers interleukin-6 (IL-6), tumor necrosis factor-α (TNF-α) and C-reactive protein (CRP) had increased odds for short LTL. Our sample included 1,962 high-functioning adults who participated in the Health, Aging and Body Composition Study (age range: 70–79 years). Logistic regression analyses indicated that individuals with high levels of either IL-6 or TNF-α had significantly higher odds for short LTL. Furthermore, individuals with high levels of both IL-6 and TNF-α had significantly higher odds for short LTL compared with those who had neither high (OR = 0.52, CI = 0.37–0.72), only IL-6 high (OR = 0.57, CI = 0.39–0.83) or only TNF-α high (OR = 0.67, CI = 0.46–0.99), adjusting for a wide variety of established risk factors and potential confounds. In contrast, CRP was not associated with LTL.&lt;/p&gt; &lt;/sec&gt; &lt;sec&gt; &lt;title&gt;Conclusions/Significance&lt;/title&gt; &lt;p&gt;Results suggest that cumulative inflammatory load, as indexed by the combination of high levels of IL-6 and TNF-α, is associated with increased odds for short LTL. In contrast, high levels of CRP were not accompanied by short LTL in this cohort of older adults. These data provide the first large-scale demonstration of links between inflammatory markers and LTL in an older population.&lt;/p&gt; &lt;/sec&gt;","author":[{"family":"O'Donovan","given":"Aoife"},{"family":"Pantell","given":"Matthew S."},{"family":"Puterman","given":"Eli"},{"family":"Dhabhar","given":"Firdaus S."},{"family":"Blackburn","given":"Elizabeth H."},{"family":"Yaffe","given":"Kristine"},{"family":"Cawthon","given":"Richard M."},{"family":"Opresko","given":"Patricia L."},{"family":"Hsueh","given":"Wen-Chi"},{"family":"Satterfield","given":"Suzanne"},{"family":"Newman","given":"Anne B."},{"family":"Ayonayon","given":"Hilsa N."},{"family":"Rubin","given":"Susan M."},{"family":"Harris","given":"Tamara B."},{"family":"Epel","given":"Elissa S."},{"family":"Health","given":"Aging","non-dropping-particle":"for the"},{"family":"Body Composition","given":"Study"}],"issued":{"date-parts":[["2011"]]}}},{"id":8150,"uris":["http://zotero.org/users/451958/items/GAWIZWB9"],"uri":["http://zotero.org/users/451958/items/GAWIZWB9"],"itemData":{"id":8150,"type":"article-journal","title":"Menopause Modifies the Association of Leukocyte Telomere Length with Insulin Resistance and Inflammation","container-title":"J Clin Endocrinol Metab","page":"635-640","volume":"91","issue":"2","abstract":"Context: Leukocyte telomere length is inversely correlated with age, insulin resistance, serum leptin, and smoking. Objective: We explored whether menopausal status modifies the relations between leukocyte telomere length and insulin resistance. In addition, we examined the effect of menopause on the relation between leukocyte telomere length and C-reactive protein (CRP), an index of inflammation. Design: This was an observational cohort study. Setting: The study setting was community based. Participants: A total of 1517 women aged 18-79 yr selected only for belonging to a twin pair and representative of the general population participated in the study. Main Outcome Measure: Leukocyte telomere restriction fragment length (TRFL) was measured. Results: Insulin resistance (expressed in the homeostasis model assessment), leptin, and CRP were inversely correlated with leukocyte TRFL in premenopausal but not postmenopausal women. Insulin resistance, CRP, but not leptin independently accounted for variation in white blood cell TRFL in premenopausal women. Conclusions: Menopausal status impacts leukocyte telomere length and its relation with insulin resistance and inflammation in women.","author":[{"family":"Aviv","given":"Abraham"},{"family":"Valdes","given":"Ana"},{"family":"Gardner","given":"Jeffrey P."},{"family":"Swaminathan","given":"Rami"},{"family":"Kimura","given":"Masayuki"},{"family":"Spector","given":"Tim D."}],"issued":{"date-parts":[["2006"]]}}},{"id":8189,"uris":["http://zotero.org/users/451958/items/A3K5LYFK"],"uri":["http://zotero.org/users/451958/items/A3K5LYFK"],"itemData":{"id":8189,"type":"article-journal","title":"Telomere length trajectory and its determinants in persons with coronary artery disease: longitudinal findings from the heart and soul study","container-title":"PLoS One","page":"e8612","volume":"5","issue":"1","abstract":"BACKGROUND: Leukocyte telomere length, an emerging marker of biological age, has been shown to predict cardiovascular morbidity and mortality. However, the natural history of telomere length in patients with coronary artery disease has not been studied. We sought to investigate the longitudinal trajectory of telomere length, and to identify the independent predictors of telomere shortening, in persons with coronary artery disease. METHODOLOGY/PRINCIPAL FINDINGS: In a prospective cohort study of 608 individuals with stable coronary artery disease, we measured leukocyte telomere length at baseline, and again after five years of follow-up. We used multivariable linear and logistic regression models to identify the independent predictors of leukocyte telomere trajectory. Baseline and follow-up telomere lengths were normally distributed. Mean telomere length decreased by 42 base pairs per year (p&lt;0.001). Three distinct telomere trajectories were observed: shortening in 45%, maintenance in 32%, and lengthening in 23% of participants. The most powerful predictor of telomere shortening was baseline telomere length (OR per SD increase = 7.6; 95% CI 5.5, 10.6). Other independent predictors of telomere shortening were age (OR per 10 years = 1.6; 95% CI 1.3, 2.1), male sex (OR = 2.4; 95% CI 1.3, 4.7), and waist-to-hip ratio (OR per 0.1 increase = 1.4; 95% CI 1.0, 2.0). CONCLUSIONS/SIGNIFICANCE: Leukocyte telomere length may increase as well as decrease in persons with coronary artery disease. Telomere length trajectory is powerfully influenced by baseline telomere length, possibly suggesting negative feedback regulation. Age, male sex, and abdominal obesity independently predict telomere shortening. The mechanisms and reversibility of telomeric aging in cardiovascular disease deserve further study.","author":[{"family":"Farzaneh-Far","given":"R."},{"family":"Lin","given":"J."},{"family":"Epel","given":"E."},{"family":"Lapham","given":"K."},{"family":"Blackburn","given":"E."},{"family":"Whooley","given":"M. A."}],"issued":{"date-parts":[["2010"]]}}},{"id":8259,"uris":["http://zotero.org/users/451958/items/3ZGKMDPY"],"uri":["http://zotero.org/users/451958/items/3ZGKMDPY"],"itemData":{"id":8259,"type":"article-journal","title":"Association Between Telomere Length and C-Reactive Protein and the Development of Coronary Collateral Circulation in Patients with Coronary Artery Disease","container-title":"Angiology","page":"467-472","volume":"62","issue":"6","abstract":"Background: Coronary collateral circulation is a stabilizer factor in myocardial ischemia. We attempted to establish a link between collateral circulation, C-reactive protein (CRP), and telomere shortening. Patients and Methods: A case-control study was performed in patients with (group A) and without (group B) coronary collaterals using coronariography. The patients were males, CRP levels and telomere length in circulating leucocytes were measured; Student t test and logistic regression were used to analyze the data. Results: The study included 40 patients aged 53.9 ± 7.0 years (20 per group). Group A exhibited lower CRP levels (2.76 ± 3.34 vs 4.04 ± 3.38; P = .004); whereas telomere length was shorter in group B (2.3 ± 6.9 kb vs 6.1 ± 5.9 kb; P &lt; .0001). Conclusions: Collateral circulation was associated with telomere shortening and elevation of CRP levels.","author":[{"family":"Solorio","given":"Sergio"},{"family":"Murillo-Ortíz","given":"Blanca"},{"family":"Hernández-González","given":"Martha"},{"family":"Guillén-Contreras","given":"José"},{"family":"Arenas-Aranda","given":"Diego"},{"family":"Solorzano-Zepeda","given":"Francisco J."},{"family":"Ruiz-Avila","given":"Rene"},{"family":"Mora-Villalpando","given":"Carmen"},{"family":"Roca-Chiapas","given":"Jose M.","non-dropping-particle":"de la"},{"family":"Malacara-Hernández","given":"Juan M."}],"issued":{"date-parts":[["2011"]]}}},{"id":8256,"uris":["http://zotero.org/users/451958/items/CADYJUU6"],"uri":["http://zotero.org/users/451958/items/CADYJUU6"],"itemData":{"id":8256,"type":"article-journal","title":"Leukocyte telomere length is associated with noninvasively measured age-related disease: The Cardiovascular Health Study","container-title":"J Gerontol A Biol Sci Med Sci","page":"409-16","volume":"67","issue":"4","abstract":"BACKGROUND: Most studies of leukocyte telomere length (LTL) focus on diagnosed disease in one system. A more encompassing depiction of health is disease burden, defined here as the sum of noninvasively measured markers of structure or function in different organ systems. We determined if (a) shorter LTL is associated with greater age-related disease burden and (b) shorter LTL is less strongly associated with disease in individual systems or diagnosed chronic conditions (cardiovascular disease, stroke, pulmonary disease, diabetes, kidney disease, arthritis, or depression). METHODS: LTL was measured by Southern blots of terminal restriction fragment length. Age-related disease was measured noninvasively and included carotid intima-media thickness, lung vital capacity, white matter grade, cystatin-C, and fasting glucose; each graded 0 (best tertile), 1 (middle tertile), or 2 (worst tertile) and summed (0 to 10) to estimate disease burden. Of 419 participants randomly selected for LTL measurement, 236 had disease burden assessed (mean [SD] age 74.2 [4.9] years, 42.4% male, 86.8% white, and 13.2% black). RESULTS: Mean (SD) LTL was 6,312 (615) bp, and disease score was 4.7 (2.1) points. An SD higher disease score (beta [SE] = -132 [47] bp, p &lt; .01), age (beta [SE] = -107 [46], p = .02) or carotid thickness (beta [SE] = -95 [40] bp, p = .02) was associated with shorter LTL, but diagnosed conditions or number of conditions were not associated with LTL. Disease score attenuated the effect of age on LTL by 35%. CONCLUSION: LTL was associated with a characterization of age-related disease burden across multiple physiologic systems, which was comparable to, but independent of, its association with age.","author":[{"family":"Sanders","given":"J. L."},{"family":"Fitzpatrick","given":"A. L."},{"family":"Boudreau","given":"R. M."},{"family":"Arnold","given":"A. M."},{"family":"Aviv","given":"A."},{"family":"Kimura","given":"M."},{"family":"Fried","given":"L. F."},{"family":"Harris","given":"T. B."},{"family":"Newman","given":"A. B."}],"issued":{"date-parts":[["2012"]]}}}],"schema":"https://github.com/citation-style-language/schema/raw/master/csl-citation.json"} </w:instrText>
      </w:r>
      <w:r w:rsidR="00E11235" w:rsidRPr="00873E6C">
        <w:rPr>
          <w:rFonts w:ascii="Times" w:eastAsia="Times New Roman" w:hAnsi="Times" w:cs="Times New Roman"/>
          <w:sz w:val="24"/>
          <w:szCs w:val="24"/>
        </w:rPr>
        <w:fldChar w:fldCharType="separate"/>
      </w:r>
      <w:r w:rsidR="00E63E12" w:rsidRPr="00873E6C">
        <w:rPr>
          <w:rFonts w:ascii="Times" w:hAnsi="Times" w:cs="Segoe UI"/>
          <w:sz w:val="24"/>
        </w:rPr>
        <w:t>(48–55)</w:t>
      </w:r>
      <w:r w:rsidR="00E11235"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Accelerated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relative to chronological age has been observed in other pro-inflammatory contexts </w:t>
      </w:r>
      <w:r w:rsidR="00E11235"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{"citationID":"a1an105cfpg","properties":{"formattedCitation":"(40, 56)","plainCitation":"(40, 56)"},"citationItems":[{"id":6885,"uris":["http://zotero.org/users/451958/items/XFVFR95G"],"uri":["http://zotero.org/users/451958/items/XFVFR95G"],"itemData":{"id":6885,"type":"article-journal","title":"HIV-1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J."}],"issued":{"date-parts":[["2015",11,15]]}}},{"id":7325,"uris":["http://zotero.org/users/451958/items/GN5SGJP3"],"uri":["http://zotero.org/users/451958/items/GN5SGJP3"],"itemData":{"id":7325,"type":"article-journal","title":"Cytomegalovirus infection accelerates epigenetic aging","container-title":"Experimental Gerontology","page":"227-229","volume":"72","source":"CrossRef","DOI":"10.1016/j.exger.2015.10.008","ISSN":"05315565","language":"en","author":[{"family":"Kananen","given":"Laura"},{"family":"Nevalainen","given":"Tapio"},{"family":"Jylhävä","given":"Juulia"},{"family":"Marttila","given":"Saara"},{"family":"Hervonen","given":"Antti"},{"family":"Jylhä","given":"Marja"},{"family":"Hurme","given":"Mikko"}],"issued":{"date-parts":[["2015",12]]}}}],"schema":"https://github.com/citation-style-language/schema/raw/master/csl-citation.json"} </w:instrText>
      </w:r>
      <w:r w:rsidR="00E11235"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(40, 56)</w:t>
      </w:r>
      <w:r w:rsidR="00E11235"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and with menopause </w:t>
      </w:r>
      <w:r w:rsidR="00E11235"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1dejgldi5l","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E11235"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(57)</w:t>
      </w:r>
      <w:r w:rsidR="00E11235"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an important physiological and life history transition in human females.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acceleration arising from menopause, whether naturally-occurring or surgically-induced, was attenuated by hormone therapy </w:t>
      </w:r>
      <w:r w:rsidR="00E11235"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2npl7puicg","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E11235"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(57)</w:t>
      </w:r>
      <w:r w:rsidR="00E11235"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w:t>
      </w:r>
      <w:r w:rsidR="00E63E12" w:rsidRPr="00873E6C">
        <w:rPr>
          <w:rStyle w:val="CommentReference"/>
          <w:rFonts w:ascii="Times" w:hAnsi="Times"/>
          <w:vanish/>
        </w:rPr>
        <w:t>m,</w:t>
      </w:r>
      <w:r w:rsidR="00E63E12" w:rsidRPr="00873E6C">
        <w:rPr>
          <w:rFonts w:ascii="Times" w:eastAsia="Times New Roman" w:hAnsi="Times" w:cs="Times New Roman"/>
          <w:sz w:val="24"/>
          <w:szCs w:val="24"/>
        </w:rPr>
        <w:t xml:space="preserve"> suggesting that physiological and hormonal changes like those accompanying pregnancy could have profound effects on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w:t>
      </w:r>
      <w:r w:rsidR="009E4C99">
        <w:rPr>
          <w:rFonts w:ascii="Times" w:eastAsia="Times New Roman" w:hAnsi="Times" w:cs="Times New Roman"/>
          <w:sz w:val="24"/>
          <w:szCs w:val="24"/>
        </w:rPr>
        <w:t>While two studies have recently examined TL and pregnancy with mixed results</w:t>
      </w:r>
      <w:r w:rsidR="009F1872">
        <w:rPr>
          <w:rFonts w:ascii="Times" w:eastAsia="Times New Roman" w:hAnsi="Times" w:cs="Times New Roman"/>
          <w:sz w:val="24"/>
          <w:szCs w:val="24"/>
        </w:rPr>
        <w:t xml:space="preserve"> (refs)</w:t>
      </w:r>
      <w:r w:rsidR="009E4C99">
        <w:rPr>
          <w:rFonts w:ascii="Times" w:eastAsia="Times New Roman" w:hAnsi="Times" w:cs="Times New Roman"/>
          <w:sz w:val="24"/>
          <w:szCs w:val="24"/>
        </w:rPr>
        <w:t xml:space="preserve">, none have attempted to test for </w:t>
      </w:r>
      <w:proofErr w:type="spellStart"/>
      <w:r w:rsidR="009E4C99">
        <w:rPr>
          <w:rFonts w:ascii="Times" w:eastAsia="Times New Roman" w:hAnsi="Times" w:cs="Times New Roman"/>
          <w:sz w:val="24"/>
          <w:szCs w:val="24"/>
        </w:rPr>
        <w:t>CoR</w:t>
      </w:r>
      <w:proofErr w:type="spellEnd"/>
      <w:r w:rsidR="009E4C99">
        <w:rPr>
          <w:rFonts w:ascii="Times" w:eastAsia="Times New Roman" w:hAnsi="Times" w:cs="Times New Roman"/>
          <w:sz w:val="24"/>
          <w:szCs w:val="24"/>
        </w:rPr>
        <w:t xml:space="preserve"> in humans using mitotic and non-mitotic measures of senescence simultaneously. </w:t>
      </w:r>
      <w:r w:rsidR="009F1872">
        <w:rPr>
          <w:rFonts w:ascii="Times" w:eastAsia="Times New Roman" w:hAnsi="Times" w:cs="Times New Roman"/>
          <w:sz w:val="24"/>
          <w:szCs w:val="24"/>
        </w:rPr>
        <w:t xml:space="preserve">While numerous studies do support </w:t>
      </w:r>
      <w:proofErr w:type="spellStart"/>
      <w:r w:rsidR="009F1872">
        <w:rPr>
          <w:rFonts w:ascii="Times" w:eastAsia="Times New Roman" w:hAnsi="Times" w:cs="Times New Roman"/>
          <w:sz w:val="24"/>
          <w:szCs w:val="24"/>
        </w:rPr>
        <w:t>CoR</w:t>
      </w:r>
      <w:proofErr w:type="spellEnd"/>
      <w:r w:rsidR="009F1872">
        <w:rPr>
          <w:rFonts w:ascii="Times" w:eastAsia="Times New Roman" w:hAnsi="Times" w:cs="Times New Roman"/>
          <w:sz w:val="24"/>
          <w:szCs w:val="24"/>
        </w:rPr>
        <w:t xml:space="preserve"> on human aging (ref. </w:t>
      </w:r>
      <w:proofErr w:type="spellStart"/>
      <w:r w:rsidR="009F1872">
        <w:rPr>
          <w:rFonts w:ascii="Times" w:eastAsia="Times New Roman" w:hAnsi="Times" w:cs="Times New Roman"/>
          <w:sz w:val="24"/>
          <w:szCs w:val="24"/>
        </w:rPr>
        <w:t>Ziomewics</w:t>
      </w:r>
      <w:proofErr w:type="spellEnd"/>
      <w:r w:rsidR="009F1872">
        <w:rPr>
          <w:rFonts w:ascii="Times" w:eastAsia="Times New Roman" w:hAnsi="Times" w:cs="Times New Roman"/>
          <w:sz w:val="24"/>
          <w:szCs w:val="24"/>
        </w:rPr>
        <w:t xml:space="preserve">, </w:t>
      </w:r>
      <w:proofErr w:type="spellStart"/>
      <w:r w:rsidR="009F1872">
        <w:rPr>
          <w:rFonts w:ascii="Times" w:eastAsia="Times New Roman" w:hAnsi="Times" w:cs="Times New Roman"/>
          <w:sz w:val="24"/>
          <w:szCs w:val="24"/>
        </w:rPr>
        <w:t>Jasienska</w:t>
      </w:r>
      <w:proofErr w:type="spellEnd"/>
      <w:r w:rsidR="009F1872">
        <w:rPr>
          <w:rFonts w:ascii="Times" w:eastAsia="Times New Roman" w:hAnsi="Times" w:cs="Times New Roman"/>
          <w:sz w:val="24"/>
          <w:szCs w:val="24"/>
        </w:rPr>
        <w:t xml:space="preserve">), </w:t>
      </w:r>
      <w:r w:rsidR="009E4C99">
        <w:rPr>
          <w:rFonts w:ascii="Times" w:eastAsia="Times New Roman" w:hAnsi="Times" w:cs="Times New Roman"/>
          <w:sz w:val="24"/>
          <w:szCs w:val="24"/>
        </w:rPr>
        <w:t xml:space="preserve">examining multiple pathways of senescence simultaneously may be necessary. </w:t>
      </w:r>
    </w:p>
    <w:p w:rsidR="009F1872" w:rsidRDefault="009F1872" w:rsidP="009F1872">
      <w:pPr>
        <w:spacing w:after="120"/>
        <w:rPr>
          <w:rFonts w:ascii="Times" w:hAnsi="Times" w:cs="Times New Roman"/>
          <w:sz w:val="24"/>
          <w:szCs w:val="24"/>
        </w:rPr>
      </w:pPr>
      <w:r>
        <w:rPr>
          <w:rFonts w:ascii="Times" w:hAnsi="Times" w:cs="Times New Roman"/>
          <w:sz w:val="24"/>
          <w:szCs w:val="24"/>
        </w:rPr>
        <w:t xml:space="preserve">Here, we test for human </w:t>
      </w:r>
      <w:proofErr w:type="spellStart"/>
      <w:r>
        <w:rPr>
          <w:rFonts w:ascii="Times" w:hAnsi="Times" w:cs="Times New Roman"/>
          <w:sz w:val="24"/>
          <w:szCs w:val="24"/>
        </w:rPr>
        <w:t>CoR</w:t>
      </w:r>
      <w:proofErr w:type="spellEnd"/>
      <w:r>
        <w:rPr>
          <w:rFonts w:ascii="Times" w:hAnsi="Times" w:cs="Times New Roman"/>
          <w:sz w:val="24"/>
          <w:szCs w:val="24"/>
        </w:rPr>
        <w:t xml:space="preserve"> using mitotic (TL) and non-mitotic (</w:t>
      </w:r>
      <w:proofErr w:type="spellStart"/>
      <w:r>
        <w:rPr>
          <w:rFonts w:ascii="Times" w:hAnsi="Times" w:cs="Times New Roman"/>
          <w:sz w:val="24"/>
          <w:szCs w:val="24"/>
        </w:rPr>
        <w:t>DNAmAge</w:t>
      </w:r>
      <w:proofErr w:type="spellEnd"/>
      <w:r>
        <w:rPr>
          <w:rFonts w:ascii="Times" w:hAnsi="Times" w:cs="Times New Roman"/>
          <w:sz w:val="24"/>
          <w:szCs w:val="24"/>
        </w:rPr>
        <w:t>) measures of cellular senescence. We test three inter-related hypotheses in a relatively young cohort</w:t>
      </w:r>
      <w:r w:rsidR="006C71A9">
        <w:rPr>
          <w:rFonts w:ascii="Times" w:hAnsi="Times" w:cs="Times New Roman"/>
          <w:sz w:val="24"/>
          <w:szCs w:val="24"/>
        </w:rPr>
        <w:t xml:space="preserve"> </w:t>
      </w:r>
      <w:r w:rsidR="006C71A9" w:rsidRPr="00873E6C">
        <w:rPr>
          <w:rFonts w:ascii="Times New Roman" w:hAnsi="Times New Roman" w:cs="Times New Roman"/>
          <w:sz w:val="24"/>
          <w:szCs w:val="24"/>
        </w:rPr>
        <w:t>(age 20-22)</w:t>
      </w:r>
      <w:r>
        <w:rPr>
          <w:rFonts w:ascii="Times" w:hAnsi="Times" w:cs="Times New Roman"/>
          <w:sz w:val="24"/>
          <w:szCs w:val="24"/>
        </w:rPr>
        <w:t xml:space="preserve"> of women</w:t>
      </w:r>
      <w:r w:rsidRPr="009F1872">
        <w:rPr>
          <w:rFonts w:ascii="Times New Roman" w:hAnsi="Times New Roman" w:cs="Times New Roman"/>
          <w:sz w:val="24"/>
          <w:szCs w:val="24"/>
        </w:rPr>
        <w:t xml:space="preserve"> </w:t>
      </w:r>
      <w:r w:rsidRPr="00873E6C">
        <w:rPr>
          <w:rFonts w:ascii="Times New Roman" w:hAnsi="Times New Roman" w:cs="Times New Roman"/>
          <w:sz w:val="24"/>
          <w:szCs w:val="24"/>
        </w:rPr>
        <w:t>in the Philippines</w:t>
      </w:r>
      <w:r>
        <w:rPr>
          <w:rFonts w:ascii="Times New Roman" w:hAnsi="Times New Roman" w:cs="Times New Roman"/>
          <w:sz w:val="24"/>
          <w:szCs w:val="24"/>
        </w:rPr>
        <w:t>.</w:t>
      </w:r>
      <w:r w:rsidR="006C71A9">
        <w:rPr>
          <w:rFonts w:ascii="Times New Roman" w:hAnsi="Times New Roman" w:cs="Times New Roman"/>
          <w:sz w:val="24"/>
          <w:szCs w:val="24"/>
        </w:rPr>
        <w:t xml:space="preserve"> First, we ask whether pregnancy</w:t>
      </w:r>
      <w:r w:rsidR="00BD7BA8">
        <w:rPr>
          <w:rFonts w:ascii="Times New Roman" w:hAnsi="Times New Roman" w:cs="Times New Roman"/>
          <w:sz w:val="24"/>
          <w:szCs w:val="24"/>
        </w:rPr>
        <w:t xml:space="preserve"> history</w:t>
      </w:r>
      <w:r w:rsidR="006C71A9">
        <w:rPr>
          <w:rFonts w:ascii="Times New Roman" w:hAnsi="Times New Roman" w:cs="Times New Roman"/>
          <w:sz w:val="24"/>
          <w:szCs w:val="24"/>
        </w:rPr>
        <w:t xml:space="preserve"> increases mitotic or non-mitotic measures of cellular senescence, or both (H1). We also ask whether any associations between </w:t>
      </w:r>
      <w:r w:rsidR="009427B2">
        <w:rPr>
          <w:rFonts w:ascii="Times New Roman" w:hAnsi="Times New Roman" w:cs="Times New Roman"/>
          <w:sz w:val="24"/>
          <w:szCs w:val="24"/>
        </w:rPr>
        <w:t>reproductive</w:t>
      </w:r>
      <w:r w:rsidR="00BD7BA8">
        <w:rPr>
          <w:rFonts w:ascii="Times New Roman" w:hAnsi="Times New Roman" w:cs="Times New Roman"/>
          <w:sz w:val="24"/>
          <w:szCs w:val="24"/>
        </w:rPr>
        <w:t xml:space="preserve"> history</w:t>
      </w:r>
      <w:r w:rsidR="006C71A9">
        <w:rPr>
          <w:rFonts w:ascii="Times New Roman" w:hAnsi="Times New Roman" w:cs="Times New Roman"/>
          <w:sz w:val="24"/>
          <w:szCs w:val="24"/>
        </w:rPr>
        <w:t xml:space="preserve"> and senescence are stronger among women </w:t>
      </w:r>
      <w:r w:rsidR="001025AF">
        <w:rPr>
          <w:rFonts w:ascii="Times New Roman" w:hAnsi="Times New Roman" w:cs="Times New Roman"/>
          <w:sz w:val="24"/>
          <w:szCs w:val="24"/>
        </w:rPr>
        <w:t>of lower socioeco</w:t>
      </w:r>
      <w:r w:rsidR="001760F1">
        <w:rPr>
          <w:rFonts w:ascii="Times New Roman" w:hAnsi="Times New Roman" w:cs="Times New Roman"/>
          <w:sz w:val="24"/>
          <w:szCs w:val="24"/>
        </w:rPr>
        <w:t>nomic status, for whom resource</w:t>
      </w:r>
      <w:r w:rsidR="001025AF">
        <w:rPr>
          <w:rFonts w:ascii="Times New Roman" w:hAnsi="Times New Roman" w:cs="Times New Roman"/>
          <w:sz w:val="24"/>
          <w:szCs w:val="24"/>
        </w:rPr>
        <w:t xml:space="preserve"> constraints are highest</w:t>
      </w:r>
      <w:r w:rsidR="006C71A9">
        <w:rPr>
          <w:rFonts w:ascii="Times New Roman" w:hAnsi="Times New Roman" w:cs="Times New Roman"/>
          <w:sz w:val="24"/>
          <w:szCs w:val="24"/>
        </w:rPr>
        <w:t xml:space="preserve"> </w:t>
      </w:r>
      <w:r w:rsidR="00BD7BA8">
        <w:rPr>
          <w:rFonts w:ascii="Times New Roman" w:hAnsi="Times New Roman" w:cs="Times New Roman"/>
          <w:sz w:val="24"/>
          <w:szCs w:val="24"/>
        </w:rPr>
        <w:t>(H2). Finally, we test</w:t>
      </w:r>
      <w:r w:rsidR="006C71A9">
        <w:rPr>
          <w:rFonts w:ascii="Times New Roman" w:hAnsi="Times New Roman" w:cs="Times New Roman"/>
          <w:sz w:val="24"/>
          <w:szCs w:val="24"/>
        </w:rPr>
        <w:t xml:space="preserve"> </w:t>
      </w:r>
      <w:r w:rsidR="00BD7BA8">
        <w:rPr>
          <w:rFonts w:ascii="Times New Roman" w:hAnsi="Times New Roman" w:cs="Times New Roman"/>
          <w:sz w:val="24"/>
          <w:szCs w:val="24"/>
        </w:rPr>
        <w:t>a more</w:t>
      </w:r>
      <w:r w:rsidR="006C71A9">
        <w:rPr>
          <w:rFonts w:ascii="Times New Roman" w:hAnsi="Times New Roman" w:cs="Times New Roman"/>
          <w:sz w:val="24"/>
          <w:szCs w:val="24"/>
        </w:rPr>
        <w:t xml:space="preserve"> causal effect of </w:t>
      </w:r>
      <w:r w:rsidR="001025AF">
        <w:rPr>
          <w:rFonts w:ascii="Times New Roman" w:hAnsi="Times New Roman" w:cs="Times New Roman"/>
          <w:sz w:val="24"/>
          <w:szCs w:val="24"/>
        </w:rPr>
        <w:t xml:space="preserve">pregnancy on </w:t>
      </w:r>
      <w:r w:rsidR="006C71A9">
        <w:rPr>
          <w:rFonts w:ascii="Times New Roman" w:hAnsi="Times New Roman" w:cs="Times New Roman"/>
          <w:sz w:val="24"/>
          <w:szCs w:val="24"/>
        </w:rPr>
        <w:t xml:space="preserve">TL and </w:t>
      </w:r>
      <w:proofErr w:type="spellStart"/>
      <w:r w:rsidR="006C71A9">
        <w:rPr>
          <w:rFonts w:ascii="Times New Roman" w:hAnsi="Times New Roman" w:cs="Times New Roman"/>
          <w:sz w:val="24"/>
          <w:szCs w:val="24"/>
        </w:rPr>
        <w:t>DNAm</w:t>
      </w:r>
      <w:r w:rsidR="001025AF">
        <w:rPr>
          <w:rFonts w:ascii="Times New Roman" w:hAnsi="Times New Roman" w:cs="Times New Roman"/>
          <w:sz w:val="24"/>
          <w:szCs w:val="24"/>
        </w:rPr>
        <w:t>Age</w:t>
      </w:r>
      <w:proofErr w:type="spellEnd"/>
      <w:r w:rsidR="00BD7BA8">
        <w:rPr>
          <w:rFonts w:ascii="Times New Roman" w:hAnsi="Times New Roman" w:cs="Times New Roman"/>
          <w:sz w:val="24"/>
          <w:szCs w:val="24"/>
        </w:rPr>
        <w:t xml:space="preserve"> by examining the effect of both measures on </w:t>
      </w:r>
      <w:r w:rsidR="001025AF">
        <w:rPr>
          <w:rFonts w:ascii="Times New Roman" w:hAnsi="Times New Roman" w:cs="Times New Roman"/>
          <w:sz w:val="24"/>
          <w:szCs w:val="24"/>
        </w:rPr>
        <w:t>the number of pregnancies over the subsequent 4 years</w:t>
      </w:r>
      <w:r w:rsidR="006C71A9">
        <w:rPr>
          <w:rFonts w:ascii="Times New Roman" w:hAnsi="Times New Roman" w:cs="Times New Roman"/>
          <w:sz w:val="24"/>
          <w:szCs w:val="24"/>
        </w:rPr>
        <w:t xml:space="preserve"> (H3). </w:t>
      </w:r>
    </w:p>
    <w:p w:rsidR="000B4CC4" w:rsidRDefault="00175753" w:rsidP="00E63E12">
      <w:pPr>
        <w:rPr>
          <w:rFonts w:ascii="Times" w:hAnsi="Times" w:cs="Times New Roman"/>
          <w:b/>
          <w:sz w:val="24"/>
          <w:szCs w:val="24"/>
        </w:rPr>
      </w:pPr>
      <w:r>
        <w:rPr>
          <w:rFonts w:ascii="Times" w:hAnsi="Times" w:cs="Times New Roman"/>
          <w:b/>
          <w:sz w:val="24"/>
          <w:szCs w:val="24"/>
        </w:rPr>
        <w:br w:type="page"/>
        <w:t>R</w:t>
      </w:r>
      <w:r w:rsidRPr="00873E6C">
        <w:rPr>
          <w:rFonts w:ascii="Times" w:hAnsi="Times" w:cs="Times New Roman"/>
          <w:b/>
          <w:sz w:val="24"/>
          <w:szCs w:val="24"/>
        </w:rPr>
        <w:t>e</w:t>
      </w:r>
      <w:r>
        <w:rPr>
          <w:rFonts w:ascii="Times" w:hAnsi="Times" w:cs="Times New Roman"/>
          <w:b/>
          <w:sz w:val="24"/>
          <w:szCs w:val="24"/>
        </w:rPr>
        <w:t>sults</w:t>
      </w:r>
    </w:p>
    <w:p w:rsidR="009D296A" w:rsidRDefault="000B4CC4" w:rsidP="00E63E12">
      <w:pPr>
        <w:rPr>
          <w:rFonts w:ascii="Times" w:hAnsi="Times" w:cs="Times New Roman"/>
          <w:sz w:val="24"/>
          <w:szCs w:val="24"/>
        </w:rPr>
      </w:pPr>
      <w:r>
        <w:rPr>
          <w:rFonts w:ascii="Times" w:hAnsi="Times" w:cs="Times New Roman"/>
          <w:sz w:val="24"/>
          <w:szCs w:val="24"/>
        </w:rPr>
        <w:t xml:space="preserve">Our sample consisted of relatively young women (21.7 </w:t>
      </w:r>
      <w:r w:rsidRPr="00873E6C">
        <w:rPr>
          <w:rFonts w:ascii="Times" w:hAnsi="Times" w:cs="Times New Roman"/>
          <w:sz w:val="24"/>
          <w:szCs w:val="24"/>
        </w:rPr>
        <w:t>± 0.4</w:t>
      </w:r>
      <w:r>
        <w:rPr>
          <w:rFonts w:ascii="Times" w:hAnsi="Times" w:cs="Times New Roman"/>
          <w:sz w:val="24"/>
          <w:szCs w:val="24"/>
        </w:rPr>
        <w:t xml:space="preserve"> years old) with a range of reproductive histories. While women </w:t>
      </w:r>
      <w:r w:rsidR="004E4EB5">
        <w:rPr>
          <w:rFonts w:ascii="Times" w:hAnsi="Times" w:cs="Times New Roman"/>
          <w:sz w:val="24"/>
          <w:szCs w:val="24"/>
        </w:rPr>
        <w:t xml:space="preserve">who </w:t>
      </w:r>
      <w:r>
        <w:rPr>
          <w:rFonts w:ascii="Times" w:hAnsi="Times" w:cs="Times New Roman"/>
          <w:sz w:val="24"/>
          <w:szCs w:val="24"/>
        </w:rPr>
        <w:t xml:space="preserve">had never been pregnant </w:t>
      </w:r>
      <w:r w:rsidR="004E4EB5">
        <w:rPr>
          <w:rFonts w:ascii="Times" w:hAnsi="Times" w:cs="Times New Roman"/>
          <w:sz w:val="24"/>
          <w:szCs w:val="24"/>
        </w:rPr>
        <w:t xml:space="preserve">formed the largest group </w:t>
      </w:r>
      <w:r>
        <w:rPr>
          <w:rFonts w:ascii="Times" w:hAnsi="Times" w:cs="Times New Roman"/>
          <w:sz w:val="24"/>
          <w:szCs w:val="24"/>
        </w:rPr>
        <w:t>(n=507; 61.7%), women having experienced one (</w:t>
      </w:r>
      <w:r w:rsidR="009D372B">
        <w:rPr>
          <w:rFonts w:ascii="Times" w:hAnsi="Times" w:cs="Times New Roman"/>
          <w:sz w:val="24"/>
          <w:szCs w:val="24"/>
        </w:rPr>
        <w:t>n=174; 21.2%</w:t>
      </w:r>
      <w:r>
        <w:rPr>
          <w:rFonts w:ascii="Times" w:hAnsi="Times" w:cs="Times New Roman"/>
          <w:sz w:val="24"/>
          <w:szCs w:val="24"/>
        </w:rPr>
        <w:t>), two (</w:t>
      </w:r>
      <w:r w:rsidR="009D372B">
        <w:rPr>
          <w:rFonts w:ascii="Times" w:hAnsi="Times" w:cs="Times New Roman"/>
          <w:sz w:val="24"/>
          <w:szCs w:val="24"/>
        </w:rPr>
        <w:t>n=102; 12.4%</w:t>
      </w:r>
      <w:r>
        <w:rPr>
          <w:rFonts w:ascii="Times" w:hAnsi="Times" w:cs="Times New Roman"/>
          <w:sz w:val="24"/>
          <w:szCs w:val="24"/>
        </w:rPr>
        <w:t>), and three (</w:t>
      </w:r>
      <w:r w:rsidR="009D372B">
        <w:rPr>
          <w:rFonts w:ascii="Times" w:hAnsi="Times" w:cs="Times New Roman"/>
          <w:sz w:val="24"/>
          <w:szCs w:val="24"/>
        </w:rPr>
        <w:t>n=28; 3.4%</w:t>
      </w:r>
      <w:r w:rsidR="0027378C">
        <w:rPr>
          <w:rFonts w:ascii="Times" w:hAnsi="Times" w:cs="Times New Roman"/>
          <w:sz w:val="24"/>
          <w:szCs w:val="24"/>
        </w:rPr>
        <w:t>)</w:t>
      </w:r>
      <w:r>
        <w:rPr>
          <w:rFonts w:ascii="Times" w:hAnsi="Times" w:cs="Times New Roman"/>
          <w:sz w:val="24"/>
          <w:szCs w:val="24"/>
        </w:rPr>
        <w:t xml:space="preserve"> pregnancies were </w:t>
      </w:r>
      <w:r w:rsidR="009427B2">
        <w:rPr>
          <w:rFonts w:ascii="Times" w:hAnsi="Times" w:cs="Times New Roman"/>
          <w:sz w:val="24"/>
          <w:szCs w:val="24"/>
        </w:rPr>
        <w:t>well represented. A small</w:t>
      </w:r>
      <w:r w:rsidR="009D372B">
        <w:rPr>
          <w:rFonts w:ascii="Times" w:hAnsi="Times" w:cs="Times New Roman"/>
          <w:sz w:val="24"/>
          <w:szCs w:val="24"/>
        </w:rPr>
        <w:t xml:space="preserve"> subset of women had experienced four (n=7; 0.8%) and five (n=3; 0.4%) pregnancies. Because our models did not differ qualitatively when grouping women with three or more pregnancies, we retained the </w:t>
      </w:r>
      <w:r w:rsidR="0027378C">
        <w:rPr>
          <w:rFonts w:ascii="Times" w:hAnsi="Times" w:cs="Times New Roman"/>
          <w:sz w:val="24"/>
          <w:szCs w:val="24"/>
        </w:rPr>
        <w:t xml:space="preserve">more conservative models using the full </w:t>
      </w:r>
      <w:r w:rsidR="009D372B">
        <w:rPr>
          <w:rFonts w:ascii="Times" w:hAnsi="Times" w:cs="Times New Roman"/>
          <w:sz w:val="24"/>
          <w:szCs w:val="24"/>
        </w:rPr>
        <w:t xml:space="preserve">natural variation in parity in our analyses. </w:t>
      </w:r>
      <w:proofErr w:type="spellStart"/>
      <w:r w:rsidR="00D31D5A">
        <w:rPr>
          <w:rFonts w:ascii="Times" w:hAnsi="Times" w:cs="Times New Roman"/>
          <w:sz w:val="24"/>
          <w:szCs w:val="24"/>
        </w:rPr>
        <w:t>DNAmAge</w:t>
      </w:r>
      <w:proofErr w:type="spellEnd"/>
      <w:r w:rsidR="00D31D5A">
        <w:rPr>
          <w:rFonts w:ascii="Times" w:hAnsi="Times" w:cs="Times New Roman"/>
          <w:sz w:val="24"/>
          <w:szCs w:val="24"/>
        </w:rPr>
        <w:t xml:space="preserve"> </w:t>
      </w:r>
      <w:r w:rsidR="009427B2">
        <w:rPr>
          <w:rFonts w:ascii="Times" w:hAnsi="Times" w:cs="Times New Roman"/>
          <w:sz w:val="24"/>
          <w:szCs w:val="24"/>
        </w:rPr>
        <w:t xml:space="preserve">among our sample </w:t>
      </w:r>
      <w:r w:rsidR="00D31D5A">
        <w:rPr>
          <w:rFonts w:ascii="Times" w:hAnsi="Times" w:cs="Times New Roman"/>
          <w:sz w:val="24"/>
          <w:szCs w:val="24"/>
        </w:rPr>
        <w:t xml:space="preserve">was slightly accelerated relative to chronological age, </w:t>
      </w:r>
      <w:r w:rsidR="0027378C">
        <w:rPr>
          <w:rFonts w:ascii="Times" w:hAnsi="Times" w:cs="Times New Roman"/>
          <w:sz w:val="24"/>
          <w:szCs w:val="24"/>
        </w:rPr>
        <w:t xml:space="preserve">while </w:t>
      </w:r>
      <w:r w:rsidR="00D31D5A">
        <w:rPr>
          <w:rFonts w:ascii="Times" w:hAnsi="Times" w:cs="Times New Roman"/>
          <w:sz w:val="24"/>
          <w:szCs w:val="24"/>
        </w:rPr>
        <w:t xml:space="preserve">age-corrected TL was longer than expected (). </w:t>
      </w:r>
      <w:r w:rsidR="009D296A">
        <w:rPr>
          <w:rFonts w:ascii="Times" w:hAnsi="Times" w:cs="Times New Roman"/>
          <w:sz w:val="24"/>
          <w:szCs w:val="24"/>
        </w:rPr>
        <w:t>Consistent with their independent roles in cellular senescence</w:t>
      </w:r>
      <w:r w:rsidR="00D31D5A">
        <w:rPr>
          <w:rFonts w:ascii="Times" w:hAnsi="Times" w:cs="Times New Roman"/>
          <w:sz w:val="24"/>
          <w:szCs w:val="24"/>
        </w:rPr>
        <w:t xml:space="preserve">, </w:t>
      </w:r>
      <w:proofErr w:type="spellStart"/>
      <w:r w:rsidR="00D31D5A">
        <w:rPr>
          <w:rFonts w:ascii="Times" w:hAnsi="Times" w:cs="Times New Roman"/>
          <w:sz w:val="24"/>
          <w:szCs w:val="24"/>
        </w:rPr>
        <w:t>DNAmAge</w:t>
      </w:r>
      <w:proofErr w:type="spellEnd"/>
      <w:r w:rsidR="00D31D5A">
        <w:rPr>
          <w:rFonts w:ascii="Times" w:hAnsi="Times" w:cs="Times New Roman"/>
          <w:sz w:val="24"/>
          <w:szCs w:val="24"/>
        </w:rPr>
        <w:t xml:space="preserve"> and TL were uncorrelated</w:t>
      </w:r>
      <w:r w:rsidR="009D296A">
        <w:rPr>
          <w:rFonts w:ascii="Times" w:hAnsi="Times" w:cs="Times New Roman"/>
          <w:sz w:val="24"/>
          <w:szCs w:val="24"/>
        </w:rPr>
        <w:t xml:space="preserve"> with each other</w:t>
      </w:r>
      <w:r w:rsidR="00D31D5A">
        <w:rPr>
          <w:rFonts w:ascii="Times" w:hAnsi="Times" w:cs="Times New Roman"/>
          <w:sz w:val="24"/>
          <w:szCs w:val="24"/>
        </w:rPr>
        <w:t xml:space="preserve"> </w:t>
      </w:r>
      <w:r w:rsidR="009D296A">
        <w:rPr>
          <w:rFonts w:ascii="Times" w:hAnsi="Times" w:cs="Times New Roman"/>
          <w:sz w:val="24"/>
          <w:szCs w:val="24"/>
        </w:rPr>
        <w:t xml:space="preserve">including </w:t>
      </w:r>
      <w:r w:rsidR="00D31D5A">
        <w:rPr>
          <w:rFonts w:ascii="Times" w:hAnsi="Times" w:cs="Times New Roman"/>
          <w:sz w:val="24"/>
          <w:szCs w:val="24"/>
        </w:rPr>
        <w:t xml:space="preserve">() or </w:t>
      </w:r>
      <w:r w:rsidR="009D296A">
        <w:rPr>
          <w:rFonts w:ascii="Times" w:hAnsi="Times" w:cs="Times New Roman"/>
          <w:sz w:val="24"/>
          <w:szCs w:val="24"/>
        </w:rPr>
        <w:t>not including</w:t>
      </w:r>
      <w:r w:rsidR="0027378C">
        <w:rPr>
          <w:rFonts w:ascii="Times" w:hAnsi="Times" w:cs="Times New Roman"/>
          <w:sz w:val="24"/>
          <w:szCs w:val="24"/>
        </w:rPr>
        <w:t xml:space="preserve"> ()</w:t>
      </w:r>
      <w:r w:rsidR="009D296A">
        <w:rPr>
          <w:rFonts w:ascii="Times" w:hAnsi="Times" w:cs="Times New Roman"/>
          <w:sz w:val="24"/>
          <w:szCs w:val="24"/>
        </w:rPr>
        <w:t xml:space="preserve"> chronological age corrections.</w:t>
      </w:r>
    </w:p>
    <w:p w:rsidR="008B6F7E" w:rsidRDefault="0027378C" w:rsidP="00E63E12">
      <w:pPr>
        <w:rPr>
          <w:rFonts w:ascii="Times" w:hAnsi="Times" w:cs="Times New Roman"/>
          <w:sz w:val="24"/>
          <w:szCs w:val="24"/>
        </w:rPr>
      </w:pPr>
      <w:r>
        <w:rPr>
          <w:rFonts w:ascii="Times" w:hAnsi="Times" w:cs="Times New Roman"/>
          <w:sz w:val="24"/>
          <w:szCs w:val="24"/>
        </w:rPr>
        <w:t>Both mitotic (TL) and non-mitotic (</w:t>
      </w:r>
      <w:proofErr w:type="spellStart"/>
      <w:r>
        <w:rPr>
          <w:rFonts w:ascii="Times" w:hAnsi="Times" w:cs="Times New Roman"/>
          <w:sz w:val="24"/>
          <w:szCs w:val="24"/>
        </w:rPr>
        <w:t>DNAmAge</w:t>
      </w:r>
      <w:proofErr w:type="spellEnd"/>
      <w:r>
        <w:rPr>
          <w:rFonts w:ascii="Times" w:hAnsi="Times" w:cs="Times New Roman"/>
          <w:sz w:val="24"/>
          <w:szCs w:val="24"/>
        </w:rPr>
        <w:t xml:space="preserve">) measures of cellular senescence increased with </w:t>
      </w:r>
      <w:r w:rsidR="008734EA">
        <w:rPr>
          <w:rFonts w:ascii="Times" w:hAnsi="Times" w:cs="Times New Roman"/>
          <w:sz w:val="24"/>
          <w:szCs w:val="24"/>
        </w:rPr>
        <w:t>the number of pregnancies in a woman’s reproductive history</w:t>
      </w:r>
      <w:r w:rsidR="00BC6EF2">
        <w:rPr>
          <w:rFonts w:ascii="Times" w:hAnsi="Times" w:cs="Times New Roman"/>
          <w:sz w:val="24"/>
          <w:szCs w:val="24"/>
        </w:rPr>
        <w:t xml:space="preserve"> (</w:t>
      </w:r>
      <w:r w:rsidR="008B6F7E">
        <w:rPr>
          <w:rFonts w:ascii="Times" w:hAnsi="Times" w:cs="Times New Roman"/>
          <w:sz w:val="24"/>
          <w:szCs w:val="24"/>
        </w:rPr>
        <w:t>H1</w:t>
      </w:r>
      <w:r w:rsidR="00BC6EF2">
        <w:rPr>
          <w:rFonts w:ascii="Times" w:hAnsi="Times" w:cs="Times New Roman"/>
          <w:sz w:val="24"/>
          <w:szCs w:val="24"/>
        </w:rPr>
        <w:t>). The effects of parity on cellular senescence were also relatively robust –</w:t>
      </w:r>
      <w:r>
        <w:rPr>
          <w:rFonts w:ascii="Times" w:hAnsi="Times" w:cs="Times New Roman"/>
          <w:sz w:val="24"/>
          <w:szCs w:val="24"/>
        </w:rPr>
        <w:t xml:space="preserve"> </w:t>
      </w:r>
      <w:r w:rsidR="009427B2">
        <w:rPr>
          <w:rFonts w:ascii="Times" w:hAnsi="Times" w:cs="Times New Roman"/>
          <w:sz w:val="24"/>
          <w:szCs w:val="24"/>
        </w:rPr>
        <w:t xml:space="preserve">in </w:t>
      </w:r>
      <w:r>
        <w:rPr>
          <w:rFonts w:ascii="Times" w:hAnsi="Times" w:cs="Times New Roman"/>
          <w:sz w:val="24"/>
          <w:szCs w:val="24"/>
        </w:rPr>
        <w:t>nested models c</w:t>
      </w:r>
      <w:r w:rsidR="008734EA">
        <w:rPr>
          <w:rFonts w:ascii="Times" w:hAnsi="Times" w:cs="Times New Roman"/>
          <w:sz w:val="24"/>
          <w:szCs w:val="24"/>
        </w:rPr>
        <w:t>ontrolling for</w:t>
      </w:r>
      <w:r>
        <w:rPr>
          <w:rFonts w:ascii="Times" w:hAnsi="Times" w:cs="Times New Roman"/>
          <w:sz w:val="24"/>
          <w:szCs w:val="24"/>
        </w:rPr>
        <w:t xml:space="preserve"> </w:t>
      </w:r>
      <w:r w:rsidR="005A08EA">
        <w:rPr>
          <w:rFonts w:ascii="Times" w:hAnsi="Times" w:cs="Times New Roman"/>
          <w:sz w:val="24"/>
          <w:szCs w:val="24"/>
        </w:rPr>
        <w:t xml:space="preserve">a range of </w:t>
      </w:r>
      <w:r>
        <w:rPr>
          <w:rFonts w:ascii="Times" w:hAnsi="Times" w:cs="Times New Roman"/>
          <w:sz w:val="24"/>
          <w:szCs w:val="24"/>
        </w:rPr>
        <w:t>potential confounders, effects sizes for pregnancy number remained stable or increased ().</w:t>
      </w:r>
      <w:r w:rsidR="009427B2">
        <w:rPr>
          <w:rFonts w:ascii="Times" w:hAnsi="Times" w:cs="Times New Roman"/>
          <w:sz w:val="24"/>
          <w:szCs w:val="24"/>
        </w:rPr>
        <w:t xml:space="preserve"> Each additional pregnancy was associated with between 0.34-3.67 years of telomere aging, and between 0.29-0.63 years of </w:t>
      </w:r>
      <w:proofErr w:type="spellStart"/>
      <w:r w:rsidR="009427B2">
        <w:rPr>
          <w:rFonts w:ascii="Times" w:hAnsi="Times" w:cs="Times New Roman"/>
          <w:sz w:val="24"/>
          <w:szCs w:val="24"/>
        </w:rPr>
        <w:t>DNAmAge</w:t>
      </w:r>
      <w:proofErr w:type="spellEnd"/>
      <w:r w:rsidR="009427B2">
        <w:rPr>
          <w:rFonts w:ascii="Times" w:hAnsi="Times" w:cs="Times New Roman"/>
          <w:sz w:val="24"/>
          <w:szCs w:val="24"/>
        </w:rPr>
        <w:t xml:space="preserve"> acceleration ().</w:t>
      </w:r>
      <w:r w:rsidR="00BC6EF2">
        <w:rPr>
          <w:rFonts w:ascii="Times" w:hAnsi="Times" w:cs="Times New Roman"/>
          <w:sz w:val="24"/>
          <w:szCs w:val="24"/>
        </w:rPr>
        <w:t xml:space="preserve"> E</w:t>
      </w:r>
      <w:r w:rsidR="005A08EA">
        <w:rPr>
          <w:rFonts w:ascii="Times" w:hAnsi="Times" w:cs="Times New Roman"/>
          <w:sz w:val="24"/>
          <w:szCs w:val="24"/>
        </w:rPr>
        <w:t>ffect</w:t>
      </w:r>
      <w:r w:rsidR="008734EA">
        <w:rPr>
          <w:rFonts w:ascii="Times" w:hAnsi="Times" w:cs="Times New Roman"/>
          <w:sz w:val="24"/>
          <w:szCs w:val="24"/>
        </w:rPr>
        <w:t xml:space="preserve"> sizes and p-values </w:t>
      </w:r>
      <w:r w:rsidR="009427B2">
        <w:rPr>
          <w:rFonts w:ascii="Times" w:hAnsi="Times" w:cs="Times New Roman"/>
          <w:sz w:val="24"/>
          <w:szCs w:val="24"/>
        </w:rPr>
        <w:t>were largely</w:t>
      </w:r>
      <w:r w:rsidR="00BC6EF2">
        <w:rPr>
          <w:rFonts w:ascii="Times" w:hAnsi="Times" w:cs="Times New Roman"/>
          <w:sz w:val="24"/>
          <w:szCs w:val="24"/>
        </w:rPr>
        <w:t xml:space="preserve"> </w:t>
      </w:r>
      <w:r w:rsidR="009427B2">
        <w:rPr>
          <w:rFonts w:ascii="Times" w:hAnsi="Times" w:cs="Times New Roman"/>
          <w:sz w:val="24"/>
          <w:szCs w:val="24"/>
        </w:rPr>
        <w:t>un</w:t>
      </w:r>
      <w:r w:rsidR="008734EA">
        <w:rPr>
          <w:rFonts w:ascii="Times" w:hAnsi="Times" w:cs="Times New Roman"/>
          <w:sz w:val="24"/>
          <w:szCs w:val="24"/>
        </w:rPr>
        <w:t>changed</w:t>
      </w:r>
      <w:r w:rsidR="00BC6EF2">
        <w:rPr>
          <w:rFonts w:ascii="Times" w:hAnsi="Times" w:cs="Times New Roman"/>
          <w:sz w:val="24"/>
          <w:szCs w:val="24"/>
        </w:rPr>
        <w:t xml:space="preserve"> when</w:t>
      </w:r>
      <w:r w:rsidR="008734EA">
        <w:rPr>
          <w:rFonts w:ascii="Times" w:hAnsi="Times" w:cs="Times New Roman"/>
          <w:sz w:val="24"/>
          <w:szCs w:val="24"/>
        </w:rPr>
        <w:t xml:space="preserve"> women with three or more pregnancies </w:t>
      </w:r>
      <w:r w:rsidR="00BC6EF2">
        <w:rPr>
          <w:rFonts w:ascii="Times" w:hAnsi="Times" w:cs="Times New Roman"/>
          <w:sz w:val="24"/>
          <w:szCs w:val="24"/>
        </w:rPr>
        <w:t xml:space="preserve">were grouped and analyzed </w:t>
      </w:r>
      <w:r w:rsidR="008734EA">
        <w:rPr>
          <w:rFonts w:ascii="Times" w:hAnsi="Times" w:cs="Times New Roman"/>
          <w:sz w:val="24"/>
          <w:szCs w:val="24"/>
        </w:rPr>
        <w:t>together ().</w:t>
      </w:r>
      <w:r w:rsidR="009427B2">
        <w:rPr>
          <w:rFonts w:ascii="Times" w:hAnsi="Times" w:cs="Times New Roman"/>
          <w:sz w:val="24"/>
          <w:szCs w:val="24"/>
        </w:rPr>
        <w:t xml:space="preserve"> In contrast with reproductive history</w:t>
      </w:r>
      <w:r w:rsidR="005A08EA">
        <w:rPr>
          <w:rFonts w:ascii="Times" w:hAnsi="Times" w:cs="Times New Roman"/>
          <w:sz w:val="24"/>
          <w:szCs w:val="24"/>
        </w:rPr>
        <w:t xml:space="preserve">, being currently pregnant was associated with a decrease in </w:t>
      </w:r>
      <w:proofErr w:type="spellStart"/>
      <w:r w:rsidR="005A08EA">
        <w:rPr>
          <w:rFonts w:ascii="Times" w:hAnsi="Times" w:cs="Times New Roman"/>
          <w:sz w:val="24"/>
          <w:szCs w:val="24"/>
        </w:rPr>
        <w:t>DNAmAge</w:t>
      </w:r>
      <w:proofErr w:type="spellEnd"/>
      <w:r w:rsidR="005A08EA">
        <w:rPr>
          <w:rFonts w:ascii="Times" w:hAnsi="Times" w:cs="Times New Roman"/>
          <w:sz w:val="24"/>
          <w:szCs w:val="24"/>
        </w:rPr>
        <w:t xml:space="preserve">. This effect attenuated the influence of </w:t>
      </w:r>
      <w:r w:rsidR="00BC6EF2">
        <w:rPr>
          <w:rFonts w:ascii="Times" w:hAnsi="Times" w:cs="Times New Roman"/>
          <w:sz w:val="24"/>
          <w:szCs w:val="24"/>
        </w:rPr>
        <w:t xml:space="preserve">parity on </w:t>
      </w:r>
      <w:proofErr w:type="spellStart"/>
      <w:r w:rsidR="00BC6EF2">
        <w:rPr>
          <w:rFonts w:ascii="Times" w:hAnsi="Times" w:cs="Times New Roman"/>
          <w:sz w:val="24"/>
          <w:szCs w:val="24"/>
        </w:rPr>
        <w:t>DNAmAge</w:t>
      </w:r>
      <w:proofErr w:type="spellEnd"/>
      <w:r w:rsidR="00BC6EF2">
        <w:rPr>
          <w:rFonts w:ascii="Times" w:hAnsi="Times" w:cs="Times New Roman"/>
          <w:sz w:val="24"/>
          <w:szCs w:val="24"/>
        </w:rPr>
        <w:t>, evident from</w:t>
      </w:r>
      <w:r w:rsidR="005A08EA">
        <w:rPr>
          <w:rFonts w:ascii="Times" w:hAnsi="Times" w:cs="Times New Roman"/>
          <w:sz w:val="24"/>
          <w:szCs w:val="24"/>
        </w:rPr>
        <w:t xml:space="preserve"> the </w:t>
      </w:r>
      <w:r w:rsidR="00BC6EF2">
        <w:rPr>
          <w:rFonts w:ascii="Times" w:hAnsi="Times" w:cs="Times New Roman"/>
          <w:sz w:val="24"/>
          <w:szCs w:val="24"/>
        </w:rPr>
        <w:t>considerable</w:t>
      </w:r>
      <w:r w:rsidR="005A08EA">
        <w:rPr>
          <w:rFonts w:ascii="Times" w:hAnsi="Times" w:cs="Times New Roman"/>
          <w:sz w:val="24"/>
          <w:szCs w:val="24"/>
        </w:rPr>
        <w:t xml:space="preserve"> increase in </w:t>
      </w:r>
      <w:r w:rsidR="00BC6EF2">
        <w:rPr>
          <w:rFonts w:ascii="Times" w:hAnsi="Times" w:cs="Times New Roman"/>
          <w:sz w:val="24"/>
          <w:szCs w:val="24"/>
        </w:rPr>
        <w:t xml:space="preserve">the effect size of parity on </w:t>
      </w:r>
      <w:proofErr w:type="spellStart"/>
      <w:r w:rsidR="00BC6EF2">
        <w:rPr>
          <w:rFonts w:ascii="Times" w:hAnsi="Times" w:cs="Times New Roman"/>
          <w:sz w:val="24"/>
          <w:szCs w:val="24"/>
        </w:rPr>
        <w:t>DNAmAge</w:t>
      </w:r>
      <w:proofErr w:type="spellEnd"/>
      <w:r w:rsidR="00BC6EF2">
        <w:rPr>
          <w:rFonts w:ascii="Times" w:hAnsi="Times" w:cs="Times New Roman"/>
          <w:sz w:val="24"/>
          <w:szCs w:val="24"/>
        </w:rPr>
        <w:t xml:space="preserve"> in models 7 and 8. </w:t>
      </w:r>
    </w:p>
    <w:p w:rsidR="00D31D5A" w:rsidRDefault="008B6F7E" w:rsidP="00E63E12">
      <w:pPr>
        <w:rPr>
          <w:rFonts w:ascii="Times" w:hAnsi="Times" w:cs="Times New Roman"/>
          <w:sz w:val="24"/>
          <w:szCs w:val="24"/>
        </w:rPr>
      </w:pPr>
      <w:r>
        <w:rPr>
          <w:rFonts w:ascii="Times" w:hAnsi="Times" w:cs="Times New Roman"/>
          <w:sz w:val="24"/>
          <w:szCs w:val="24"/>
        </w:rPr>
        <w:t>Contrary to our</w:t>
      </w:r>
      <w:r w:rsidR="009427B2">
        <w:rPr>
          <w:rFonts w:ascii="Times" w:hAnsi="Times" w:cs="Times New Roman"/>
          <w:sz w:val="24"/>
          <w:szCs w:val="24"/>
        </w:rPr>
        <w:t xml:space="preserve"> prediction, the effect of parity</w:t>
      </w:r>
      <w:r w:rsidR="00DB0FE4">
        <w:rPr>
          <w:rFonts w:ascii="Times" w:hAnsi="Times" w:cs="Times New Roman"/>
          <w:sz w:val="24"/>
          <w:szCs w:val="24"/>
        </w:rPr>
        <w:t xml:space="preserve"> on </w:t>
      </w:r>
      <w:r w:rsidR="001025AF">
        <w:rPr>
          <w:rFonts w:ascii="Times" w:hAnsi="Times" w:cs="Times New Roman"/>
          <w:sz w:val="24"/>
          <w:szCs w:val="24"/>
        </w:rPr>
        <w:t xml:space="preserve">our measures of </w:t>
      </w:r>
      <w:r w:rsidR="00DB0FE4">
        <w:rPr>
          <w:rFonts w:ascii="Times" w:hAnsi="Times" w:cs="Times New Roman"/>
          <w:sz w:val="24"/>
          <w:szCs w:val="24"/>
        </w:rPr>
        <w:t>cellular senescence</w:t>
      </w:r>
      <w:r w:rsidR="009427B2">
        <w:rPr>
          <w:rFonts w:ascii="Times" w:hAnsi="Times" w:cs="Times New Roman"/>
          <w:sz w:val="24"/>
          <w:szCs w:val="24"/>
        </w:rPr>
        <w:t xml:space="preserve"> </w:t>
      </w:r>
      <w:r w:rsidR="001760F1">
        <w:rPr>
          <w:rFonts w:ascii="Times" w:hAnsi="Times" w:cs="Times New Roman"/>
          <w:sz w:val="24"/>
          <w:szCs w:val="24"/>
        </w:rPr>
        <w:t>did not differ</w:t>
      </w:r>
      <w:r w:rsidR="009427B2">
        <w:rPr>
          <w:rFonts w:ascii="Times" w:hAnsi="Times" w:cs="Times New Roman"/>
          <w:sz w:val="24"/>
          <w:szCs w:val="24"/>
        </w:rPr>
        <w:t xml:space="preserve"> among women</w:t>
      </w:r>
      <w:r w:rsidR="00DB0FE4">
        <w:rPr>
          <w:rFonts w:ascii="Times" w:hAnsi="Times" w:cs="Times New Roman"/>
          <w:sz w:val="24"/>
          <w:szCs w:val="24"/>
        </w:rPr>
        <w:t xml:space="preserve"> of low socioeconomic status</w:t>
      </w:r>
      <w:r w:rsidR="001760F1">
        <w:rPr>
          <w:rFonts w:ascii="Times" w:hAnsi="Times" w:cs="Times New Roman"/>
          <w:sz w:val="24"/>
          <w:szCs w:val="24"/>
        </w:rPr>
        <w:t>,</w:t>
      </w:r>
      <w:r w:rsidR="000E7A51">
        <w:rPr>
          <w:rFonts w:ascii="Times" w:hAnsi="Times" w:cs="Times New Roman"/>
          <w:sz w:val="24"/>
          <w:szCs w:val="24"/>
        </w:rPr>
        <w:t xml:space="preserve"> </w:t>
      </w:r>
      <w:r w:rsidR="001025AF">
        <w:rPr>
          <w:rFonts w:ascii="Times" w:hAnsi="Times" w:cs="Times New Roman"/>
          <w:sz w:val="24"/>
          <w:szCs w:val="24"/>
        </w:rPr>
        <w:t xml:space="preserve">for </w:t>
      </w:r>
      <w:r w:rsidR="001760F1">
        <w:rPr>
          <w:rFonts w:ascii="Times New Roman" w:hAnsi="Times New Roman" w:cs="Times New Roman"/>
          <w:sz w:val="24"/>
          <w:szCs w:val="24"/>
        </w:rPr>
        <w:t>whom resource</w:t>
      </w:r>
      <w:r w:rsidR="001025AF">
        <w:rPr>
          <w:rFonts w:ascii="Times New Roman" w:hAnsi="Times New Roman" w:cs="Times New Roman"/>
          <w:sz w:val="24"/>
          <w:szCs w:val="24"/>
        </w:rPr>
        <w:t xml:space="preserve"> constraints are highest </w:t>
      </w:r>
      <w:r w:rsidR="009427B2" w:rsidRPr="00873E6C">
        <w:rPr>
          <w:rFonts w:ascii="Times" w:hAnsi="Times" w:cs="Times New Roman"/>
          <w:sz w:val="24"/>
          <w:szCs w:val="24"/>
        </w:rPr>
        <w:t>(</w:t>
      </w:r>
      <w:r w:rsidR="00DB0FE4">
        <w:rPr>
          <w:rFonts w:ascii="Times" w:hAnsi="Times" w:cs="Times New Roman"/>
          <w:sz w:val="24"/>
          <w:szCs w:val="24"/>
        </w:rPr>
        <w:t xml:space="preserve">TL: </w:t>
      </w:r>
      <w:r w:rsidR="009427B2" w:rsidRPr="00873E6C">
        <w:rPr>
          <w:rFonts w:ascii="Times" w:hAnsi="Times" w:cs="Times New Roman"/>
          <w:sz w:val="24"/>
          <w:szCs w:val="24"/>
        </w:rPr>
        <w:t xml:space="preserve">p=0.35; </w:t>
      </w:r>
      <w:proofErr w:type="spellStart"/>
      <w:r w:rsidR="00DB0FE4">
        <w:rPr>
          <w:rFonts w:ascii="Times" w:hAnsi="Times" w:cs="Times New Roman"/>
          <w:sz w:val="24"/>
          <w:szCs w:val="24"/>
        </w:rPr>
        <w:t>DNAmAge</w:t>
      </w:r>
      <w:proofErr w:type="spellEnd"/>
      <w:r w:rsidR="00DB0FE4">
        <w:rPr>
          <w:rFonts w:ascii="Times" w:hAnsi="Times" w:cs="Times New Roman"/>
          <w:sz w:val="24"/>
          <w:szCs w:val="24"/>
        </w:rPr>
        <w:t>: p=0.37</w:t>
      </w:r>
      <w:r w:rsidR="009427B2" w:rsidRPr="00873E6C">
        <w:rPr>
          <w:rFonts w:ascii="Times" w:hAnsi="Times" w:cs="Times New Roman"/>
          <w:sz w:val="24"/>
          <w:szCs w:val="24"/>
        </w:rPr>
        <w:t xml:space="preserve">). </w:t>
      </w:r>
      <w:r w:rsidR="001025AF">
        <w:rPr>
          <w:rFonts w:ascii="Times" w:hAnsi="Times" w:cs="Times New Roman"/>
          <w:sz w:val="24"/>
          <w:szCs w:val="24"/>
        </w:rPr>
        <w:t xml:space="preserve">Furthermore, neither measure of cellular senescence at the time of measurement (2005) predicted the number of pregnancies over the subsequent four years (2005-2009), whether or not we controlled for baseline parity in 2005 (). </w:t>
      </w:r>
    </w:p>
    <w:p w:rsidR="001760F1" w:rsidRDefault="001760F1">
      <w:pPr>
        <w:rPr>
          <w:rFonts w:ascii="Times" w:hAnsi="Times" w:cs="Times New Roman"/>
          <w:b/>
          <w:sz w:val="24"/>
          <w:szCs w:val="24"/>
        </w:rPr>
      </w:pPr>
      <w:r>
        <w:rPr>
          <w:rFonts w:ascii="Times" w:hAnsi="Times" w:cs="Times New Roman"/>
          <w:b/>
          <w:sz w:val="24"/>
          <w:szCs w:val="24"/>
        </w:rPr>
        <w:br w:type="page"/>
        <w:t>Discussion</w:t>
      </w:r>
    </w:p>
    <w:p w:rsidR="00030359" w:rsidRDefault="001760F1" w:rsidP="00E63E12">
      <w:pPr>
        <w:rPr>
          <w:rFonts w:ascii="Times" w:hAnsi="Times" w:cs="Times New Roman"/>
          <w:sz w:val="24"/>
          <w:szCs w:val="24"/>
        </w:rPr>
      </w:pPr>
      <w:r>
        <w:rPr>
          <w:rFonts w:ascii="Times" w:hAnsi="Times" w:cs="Times New Roman"/>
          <w:sz w:val="24"/>
          <w:szCs w:val="24"/>
        </w:rPr>
        <w:t xml:space="preserve">TL and DNAmAge, measures of mitotic and non-mitotic cellular senescence, respectively, </w:t>
      </w:r>
      <w:r w:rsidR="00DF7C98">
        <w:rPr>
          <w:rFonts w:ascii="Times" w:hAnsi="Times" w:cs="Times New Roman"/>
          <w:sz w:val="24"/>
          <w:szCs w:val="24"/>
        </w:rPr>
        <w:t xml:space="preserve">were </w:t>
      </w:r>
      <w:r>
        <w:rPr>
          <w:rFonts w:ascii="Times" w:hAnsi="Times" w:cs="Times New Roman"/>
          <w:sz w:val="24"/>
          <w:szCs w:val="24"/>
        </w:rPr>
        <w:t xml:space="preserve">both </w:t>
      </w:r>
      <w:r w:rsidR="00DF7C98">
        <w:rPr>
          <w:rFonts w:ascii="Times" w:hAnsi="Times" w:cs="Times New Roman"/>
          <w:sz w:val="24"/>
          <w:szCs w:val="24"/>
        </w:rPr>
        <w:t xml:space="preserve">associated with </w:t>
      </w:r>
      <w:r>
        <w:rPr>
          <w:rFonts w:ascii="Times" w:hAnsi="Times" w:cs="Times New Roman"/>
          <w:sz w:val="24"/>
          <w:szCs w:val="24"/>
        </w:rPr>
        <w:t xml:space="preserve">reproductive history </w:t>
      </w:r>
      <w:r w:rsidR="00DF7C98">
        <w:rPr>
          <w:rFonts w:ascii="Times" w:hAnsi="Times" w:cs="Times New Roman"/>
          <w:sz w:val="24"/>
          <w:szCs w:val="24"/>
        </w:rPr>
        <w:t xml:space="preserve">in our sample of young women. The senescent effect of parity was relatively robust to a number of potential confounders, and did not appear to be mediated by constraints imposed by socioeconomic status. </w:t>
      </w:r>
      <w:r w:rsidR="00030359">
        <w:rPr>
          <w:rFonts w:ascii="Times" w:hAnsi="Times" w:cs="Times New Roman"/>
          <w:sz w:val="24"/>
          <w:szCs w:val="24"/>
        </w:rPr>
        <w:t>Moreover</w:t>
      </w:r>
      <w:r w:rsidR="00DF7C98">
        <w:rPr>
          <w:rFonts w:ascii="Times" w:hAnsi="Times" w:cs="Times New Roman"/>
          <w:sz w:val="24"/>
          <w:szCs w:val="24"/>
        </w:rPr>
        <w:t>, neither measure</w:t>
      </w:r>
      <w:r w:rsidR="00030359">
        <w:rPr>
          <w:rFonts w:ascii="Times" w:hAnsi="Times" w:cs="Times New Roman"/>
          <w:sz w:val="24"/>
          <w:szCs w:val="24"/>
        </w:rPr>
        <w:t xml:space="preserve"> was predictive of</w:t>
      </w:r>
      <w:r w:rsidR="00DF7C98">
        <w:rPr>
          <w:rFonts w:ascii="Times" w:hAnsi="Times" w:cs="Times New Roman"/>
          <w:sz w:val="24"/>
          <w:szCs w:val="24"/>
        </w:rPr>
        <w:t xml:space="preserve"> parity over the subsequent 4 years, supporting a causal effect of pregnancy on cellular senescence, </w:t>
      </w:r>
      <w:r w:rsidR="00030359">
        <w:rPr>
          <w:rFonts w:ascii="Times" w:hAnsi="Times" w:cs="Times New Roman"/>
          <w:sz w:val="24"/>
          <w:szCs w:val="24"/>
        </w:rPr>
        <w:t>rather than</w:t>
      </w:r>
      <w:r w:rsidR="00DF7C98">
        <w:rPr>
          <w:rFonts w:ascii="Times" w:hAnsi="Times" w:cs="Times New Roman"/>
          <w:sz w:val="24"/>
          <w:szCs w:val="24"/>
        </w:rPr>
        <w:t xml:space="preserve"> vice versa. </w:t>
      </w:r>
    </w:p>
    <w:p w:rsidR="00413534" w:rsidRDefault="00030359" w:rsidP="00E63E12">
      <w:pPr>
        <w:rPr>
          <w:rFonts w:ascii="Times" w:hAnsi="Times" w:cs="Times New Roman"/>
          <w:sz w:val="24"/>
          <w:szCs w:val="24"/>
        </w:rPr>
      </w:pPr>
      <w:r>
        <w:rPr>
          <w:rFonts w:ascii="Times" w:hAnsi="Times" w:cs="Times New Roman"/>
          <w:sz w:val="24"/>
          <w:szCs w:val="24"/>
        </w:rPr>
        <w:t xml:space="preserve">Although consistent with </w:t>
      </w:r>
      <w:r w:rsidR="0032235F">
        <w:rPr>
          <w:rFonts w:ascii="Times" w:hAnsi="Times" w:cs="Times New Roman"/>
          <w:sz w:val="24"/>
          <w:szCs w:val="24"/>
        </w:rPr>
        <w:t>theoretical predictions</w:t>
      </w:r>
      <w:r>
        <w:rPr>
          <w:rFonts w:ascii="Times" w:hAnsi="Times" w:cs="Times New Roman"/>
          <w:sz w:val="24"/>
          <w:szCs w:val="24"/>
        </w:rPr>
        <w:t xml:space="preserve"> and non-human animal work, this is the first study to our knowledge</w:t>
      </w:r>
      <w:r w:rsidR="00F81FC7">
        <w:rPr>
          <w:rFonts w:ascii="Times" w:hAnsi="Times" w:cs="Times New Roman"/>
          <w:sz w:val="24"/>
          <w:szCs w:val="24"/>
        </w:rPr>
        <w:t xml:space="preserve"> to examine</w:t>
      </w:r>
      <w:r>
        <w:rPr>
          <w:rFonts w:ascii="Times" w:hAnsi="Times" w:cs="Times New Roman"/>
          <w:sz w:val="24"/>
          <w:szCs w:val="24"/>
        </w:rPr>
        <w:t xml:space="preserve"> both mitotic and non-mitotic measures of cellular senescence</w:t>
      </w:r>
      <w:r w:rsidR="00F81FC7">
        <w:rPr>
          <w:rFonts w:ascii="Times" w:hAnsi="Times" w:cs="Times New Roman"/>
          <w:sz w:val="24"/>
          <w:szCs w:val="24"/>
        </w:rPr>
        <w:t xml:space="preserve"> in humans</w:t>
      </w:r>
      <w:r>
        <w:rPr>
          <w:rFonts w:ascii="Times" w:hAnsi="Times" w:cs="Times New Roman"/>
          <w:sz w:val="24"/>
          <w:szCs w:val="24"/>
        </w:rPr>
        <w:t>.</w:t>
      </w:r>
      <w:r w:rsidR="00F81FC7">
        <w:rPr>
          <w:rFonts w:ascii="Times" w:hAnsi="Times" w:cs="Times New Roman"/>
          <w:sz w:val="24"/>
          <w:szCs w:val="24"/>
        </w:rPr>
        <w:t xml:space="preserve"> While parity </w:t>
      </w:r>
      <w:r w:rsidR="00152D3D">
        <w:rPr>
          <w:rFonts w:ascii="Times" w:hAnsi="Times" w:cs="Times New Roman"/>
          <w:sz w:val="24"/>
          <w:szCs w:val="24"/>
        </w:rPr>
        <w:t xml:space="preserve">predicted senescence for both TL and </w:t>
      </w:r>
      <w:proofErr w:type="spellStart"/>
      <w:r w:rsidR="00152D3D">
        <w:rPr>
          <w:rFonts w:ascii="Times" w:hAnsi="Times" w:cs="Times New Roman"/>
          <w:sz w:val="24"/>
          <w:szCs w:val="24"/>
        </w:rPr>
        <w:t>DNAmAge</w:t>
      </w:r>
      <w:proofErr w:type="spellEnd"/>
      <w:r w:rsidR="00152D3D">
        <w:rPr>
          <w:rFonts w:ascii="Times" w:hAnsi="Times" w:cs="Times New Roman"/>
          <w:sz w:val="24"/>
          <w:szCs w:val="24"/>
        </w:rPr>
        <w:t xml:space="preserve"> in our study, several recent studies of </w:t>
      </w:r>
      <w:proofErr w:type="spellStart"/>
      <w:r w:rsidR="00152D3D">
        <w:rPr>
          <w:rFonts w:ascii="Times" w:hAnsi="Times" w:cs="Times New Roman"/>
          <w:sz w:val="24"/>
          <w:szCs w:val="24"/>
        </w:rPr>
        <w:t>CoR</w:t>
      </w:r>
      <w:proofErr w:type="spellEnd"/>
      <w:r w:rsidR="00152D3D">
        <w:rPr>
          <w:rFonts w:ascii="Times" w:hAnsi="Times" w:cs="Times New Roman"/>
          <w:sz w:val="24"/>
          <w:szCs w:val="24"/>
        </w:rPr>
        <w:t xml:space="preserve"> in women did not find such a relationship</w:t>
      </w:r>
      <w:r w:rsidR="00734C97">
        <w:rPr>
          <w:rFonts w:ascii="Times" w:hAnsi="Times" w:cs="Times New Roman"/>
          <w:sz w:val="24"/>
          <w:szCs w:val="24"/>
        </w:rPr>
        <w:t xml:space="preserve"> using TL alone</w:t>
      </w:r>
      <w:r w:rsidR="00152D3D">
        <w:rPr>
          <w:rFonts w:ascii="Times" w:hAnsi="Times" w:cs="Times New Roman"/>
          <w:sz w:val="24"/>
          <w:szCs w:val="24"/>
        </w:rPr>
        <w:t xml:space="preserve">. </w:t>
      </w:r>
      <w:r w:rsidR="003A6713" w:rsidRPr="00873E6C">
        <w:rPr>
          <w:rFonts w:ascii="Times" w:hAnsi="Times" w:cs="Times New Roman"/>
          <w:sz w:val="24"/>
          <w:szCs w:val="24"/>
        </w:rPr>
        <w:t xml:space="preserve">The first, conducted among 75 </w:t>
      </w:r>
      <w:proofErr w:type="spellStart"/>
      <w:r w:rsidR="003A6713" w:rsidRPr="00873E6C">
        <w:rPr>
          <w:rFonts w:ascii="Times" w:hAnsi="Times" w:cs="Times New Roman"/>
          <w:sz w:val="24"/>
          <w:szCs w:val="24"/>
        </w:rPr>
        <w:t>Guatamalan</w:t>
      </w:r>
      <w:proofErr w:type="spellEnd"/>
      <w:r w:rsidR="003A6713" w:rsidRPr="00873E6C">
        <w:rPr>
          <w:rFonts w:ascii="Times" w:hAnsi="Times" w:cs="Times New Roman"/>
          <w:sz w:val="24"/>
          <w:szCs w:val="24"/>
        </w:rPr>
        <w:t xml:space="preserve"> Maya women, </w:t>
      </w:r>
      <w:r w:rsidR="004619C2">
        <w:rPr>
          <w:rFonts w:ascii="Times" w:hAnsi="Times" w:cs="Times New Roman"/>
          <w:sz w:val="24"/>
          <w:szCs w:val="24"/>
        </w:rPr>
        <w:t>reported</w:t>
      </w:r>
      <w:r w:rsidR="003A6713" w:rsidRPr="00873E6C">
        <w:rPr>
          <w:rFonts w:ascii="Times" w:hAnsi="Times" w:cs="Times New Roman"/>
          <w:sz w:val="24"/>
          <w:szCs w:val="24"/>
        </w:rPr>
        <w:t xml:space="preserve"> a positive association between TL and number of surviving offspring over a 13-year time period </w:t>
      </w:r>
      <w:r w:rsidR="00E11235" w:rsidRPr="00873E6C">
        <w:rPr>
          <w:rFonts w:ascii="Times" w:hAnsi="Times" w:cs="Times New Roman"/>
          <w:sz w:val="24"/>
          <w:szCs w:val="24"/>
        </w:rPr>
        <w:fldChar w:fldCharType="begin"/>
      </w:r>
      <w:r w:rsidR="003A6713" w:rsidRPr="00873E6C">
        <w:rPr>
          <w:rFonts w:ascii="Times" w:hAnsi="Times" w:cs="Times New Roman"/>
          <w:sz w:val="24"/>
          <w:szCs w:val="24"/>
        </w:rPr>
        <w:instrText xml:space="preserve"> ADDIN ZOTERO_ITEM CSL_CITATION {"citationID":"aajuaij9le","properties":{"formattedCitation":"(58)","plainCitation":"(58)"},"citationItems":[{"id":7494,"uris":["http://zotero.org/users/451958/items/GSDHWRTR"],"uri":["http://zotero.org/users/451958/items/GSDHWRTR"],"itemData":{"id":7494,"type":"article-journal","title":"Number of Children and Telomere Length in Women: A Prospective, Longitudinal Evaluation","container-title":"PLOS ONE","page":"e0146424","volume":"11","issue":"1","source":"CrossRef","DOI":"10.1371/journal.pone.0146424","ISSN":"1932-6203","shortTitle":"Number of Children and Telomere Length in Women","language":"en","author":[{"family":"Barha","given":"Cindy K."},{"family":"Hanna","given":"Courtney W."},{"family":"Salvante","given":"Katrina G."},{"family":"Wilson","given":"Samantha L."},{"family":"Robinson","given":"Wendy P."},{"family":"Altman","given":"Rachel M."},{"family":"Nepomnaschy","given":"Pablo A."}],"editor":[{"family":"Helle","given":"Samuli"}],"issued":{"date-parts":[["2016",1,5]]}}}],"schema":"https://github.com/citation-style-language/schema/raw/master/csl-citation.json"} </w:instrText>
      </w:r>
      <w:r w:rsidR="00E11235" w:rsidRPr="00873E6C">
        <w:rPr>
          <w:rFonts w:ascii="Times" w:hAnsi="Times" w:cs="Times New Roman"/>
          <w:sz w:val="24"/>
          <w:szCs w:val="24"/>
        </w:rPr>
        <w:fldChar w:fldCharType="separate"/>
      </w:r>
      <w:r w:rsidR="003A6713" w:rsidRPr="00873E6C">
        <w:rPr>
          <w:rFonts w:ascii="Times" w:hAnsi="Times" w:cs="Times New Roman"/>
          <w:noProof/>
          <w:sz w:val="24"/>
          <w:szCs w:val="24"/>
        </w:rPr>
        <w:t>(58)</w:t>
      </w:r>
      <w:r w:rsidR="00E11235" w:rsidRPr="00873E6C">
        <w:rPr>
          <w:rFonts w:ascii="Times" w:hAnsi="Times" w:cs="Times New Roman"/>
          <w:sz w:val="24"/>
          <w:szCs w:val="24"/>
        </w:rPr>
        <w:fldChar w:fldCharType="end"/>
      </w:r>
      <w:r w:rsidR="003A6713" w:rsidRPr="00873E6C">
        <w:rPr>
          <w:rFonts w:ascii="Times" w:hAnsi="Times" w:cs="Times New Roman"/>
          <w:sz w:val="24"/>
          <w:szCs w:val="24"/>
        </w:rPr>
        <w:t xml:space="preserve">. TL in that study was determined using a combination of saliva- and </w:t>
      </w:r>
      <w:proofErr w:type="spellStart"/>
      <w:r w:rsidR="003A6713" w:rsidRPr="00873E6C">
        <w:rPr>
          <w:rFonts w:ascii="Times" w:hAnsi="Times" w:cs="Times New Roman"/>
          <w:sz w:val="24"/>
          <w:szCs w:val="24"/>
        </w:rPr>
        <w:t>bu</w:t>
      </w:r>
      <w:r w:rsidR="002A4AC9">
        <w:rPr>
          <w:rFonts w:ascii="Times" w:hAnsi="Times" w:cs="Times New Roman"/>
          <w:sz w:val="24"/>
          <w:szCs w:val="24"/>
        </w:rPr>
        <w:t>ccal</w:t>
      </w:r>
      <w:proofErr w:type="spellEnd"/>
      <w:r w:rsidR="002A4AC9">
        <w:rPr>
          <w:rFonts w:ascii="Times" w:hAnsi="Times" w:cs="Times New Roman"/>
          <w:sz w:val="24"/>
          <w:szCs w:val="24"/>
        </w:rPr>
        <w:t>-derived DNA samples, which unfortunately have</w:t>
      </w:r>
      <w:r w:rsidR="00F81FC7">
        <w:rPr>
          <w:rFonts w:ascii="Times" w:hAnsi="Times" w:cs="Times New Roman"/>
          <w:sz w:val="24"/>
          <w:szCs w:val="24"/>
        </w:rPr>
        <w:t xml:space="preserve"> not </w:t>
      </w:r>
      <w:r w:rsidR="002A4AC9">
        <w:rPr>
          <w:rFonts w:ascii="Times" w:hAnsi="Times" w:cs="Times New Roman"/>
          <w:sz w:val="24"/>
          <w:szCs w:val="24"/>
        </w:rPr>
        <w:t>been consistently</w:t>
      </w:r>
      <w:r w:rsidR="00F81FC7">
        <w:rPr>
          <w:rFonts w:ascii="Times" w:hAnsi="Times" w:cs="Times New Roman"/>
          <w:sz w:val="24"/>
          <w:szCs w:val="24"/>
        </w:rPr>
        <w:t xml:space="preserve"> associated with</w:t>
      </w:r>
      <w:r w:rsidR="003A6713" w:rsidRPr="00873E6C">
        <w:rPr>
          <w:rFonts w:ascii="Times" w:hAnsi="Times" w:cs="Times New Roman"/>
          <w:sz w:val="24"/>
          <w:szCs w:val="24"/>
        </w:rPr>
        <w:t xml:space="preserve"> chronological age </w:t>
      </w:r>
      <w:r w:rsidR="00E11235" w:rsidRPr="00873E6C">
        <w:rPr>
          <w:rFonts w:ascii="Times" w:hAnsi="Times" w:cs="Times New Roman"/>
          <w:sz w:val="24"/>
          <w:szCs w:val="24"/>
        </w:rPr>
        <w:fldChar w:fldCharType="begin"/>
      </w:r>
      <w:r w:rsidR="003A6713" w:rsidRPr="00873E6C">
        <w:rPr>
          <w:rFonts w:ascii="Times" w:hAnsi="Times" w:cs="Times New Roman"/>
          <w:sz w:val="24"/>
          <w:szCs w:val="24"/>
        </w:rPr>
        <w:instrText xml:space="preserve"> ADDIN ZOTERO_ITEM CSL_CITATION {"citationID":"VFh3EWW9","properties":{"formattedCitation":"{\\rtf (67\\uc0\\u8211{}69)}","plainCitation":"(67–69)"},"citationItems":[{"id":8275,"uris":["http://zotero.org/users/451958/items/EGS8DCEU"],"uri":["http://zotero.org/users/451958/items/EGS8DCEU"],"itemData":{"id":8275,"type":"article-journal","title":"Buccal cells: a non-invasive measurement of selenium, zinc and magnesium status, and telomere length","container-title":"Asia Pac. J. Clin. Nutr","page":"S19","volume":"17","journalAbbreviation":"Asia Pac. J. Clin. Nutr","author":[{"family":"O’Callaghan","given":"N"},{"family":"Bull","given":"C"},{"family":"Palmer","given":"L"},{"family":"Lyons","given":"G"},{"family":"Graham","given":"R"},{"family":"Fenech","given":"M"}],"issued":{"date-parts":[["2008"]]}},"label":"page"},{"id":8276,"uris":["http://zotero.org/users/451958/items/BQPC5BPR"],"uri":["http://zotero.org/users/451958/items/BQPC5BPR"],"itemData":{"id":8276,"type":"article-journal","title":"Changes in buccal cytome biomarkers in relation to ageing and Alzheimer’s disease.","author":[{"family":"Thomas","given":"Philip"}],"issued":{"date-parts":[["2008"]]}},"label":"page"},{"id":8195,"uris":["http://zotero.org/users/451958/items/PGCJKXPB"],"uri":["http://zotero.org/users/451958/items/PGCJKXPB"],"itemData":{"id":8195,"type":"article-journal","title":"Evaluating minimally invasive sample collection methods for telomere length measurement","container-title":"American Journal of Human Biology","page":"e23062-n/a","abstract":"Objectives: Telomere length (TL) is a biomarker of aging and age-related decline. Although venous blood is considered the “gold standard” for TL measurement, its collection is often not feasible or desired in nonclinical settings. Saliva and dried blood spots (DBS) have been used as alternatives when venipuncture cannot be performed. However, it is not known whether these sample types yield TL measurements comparable to those obtained from venous blood. We sought to determine whether different samples from the same individual yield comparable TL measurements. Methods: We extracted DNA from matched buffy coat, saliva (Oragene and Oasis), and DBS (venous and capillary) samples from 40 women aged 18-77 years. We used the monochrome multiplex qPCR (MMQPCR) assay to measure TL in all sample types for each participant and applied quality control measures to retain only high-quality samples for analysis. We then compared TL from buffy coat and saliva to examine how these measurements differ and to test if TL is correlated across sample types. Results: TL differed significantly across buffy coat, Oragene saliva, and Oasis saliva samples. TL from buffy coat and Oragene saliva was moderately correlated (ρ = 0.48, P = .002) and the most similar in size. Oasis saliva TL was not correlated with buffy coat or Oragene saliva TL, and was the shortest. DBS DNA yields were inadequate for TL measurement using the MMQPCR assay. Conclusions: Using a matched dataset we demonstrate that sample type significantly influences the TL measurement obtained using the MMQPCR assay.","author":[{"family":"Goldman","given":"Elisabeth A."},{"family":"Eick","given":"Geeta N."},{"family":"Compton","given":"Devan"},{"family":"Kowal","given":"Paul"},{"family":"Snodgrass","given":"J. Josh"},{"family":"Eisenberg","given":"Dan T. A."},{"family":"Sterner","given":"Kirstin N."}],"issued":{"date-parts":[["2017"]]}}}],"schema":"https://github.com/citation-style-language/schema/raw/master/csl-citation.json"} </w:instrText>
      </w:r>
      <w:r w:rsidR="00E11235" w:rsidRPr="00873E6C">
        <w:rPr>
          <w:rFonts w:ascii="Times" w:hAnsi="Times" w:cs="Times New Roman"/>
          <w:sz w:val="24"/>
          <w:szCs w:val="24"/>
        </w:rPr>
        <w:fldChar w:fldCharType="separate"/>
      </w:r>
      <w:r w:rsidR="003A6713" w:rsidRPr="00873E6C">
        <w:rPr>
          <w:rFonts w:ascii="Times" w:hAnsi="Times" w:cs="Segoe UI"/>
          <w:sz w:val="24"/>
        </w:rPr>
        <w:t>(67–69)</w:t>
      </w:r>
      <w:r w:rsidR="00E11235" w:rsidRPr="00873E6C">
        <w:rPr>
          <w:rFonts w:ascii="Times" w:hAnsi="Times" w:cs="Times New Roman"/>
          <w:sz w:val="24"/>
          <w:szCs w:val="24"/>
        </w:rPr>
        <w:fldChar w:fldCharType="end"/>
      </w:r>
      <w:r w:rsidR="003A6713" w:rsidRPr="00873E6C">
        <w:rPr>
          <w:rFonts w:ascii="Times" w:hAnsi="Times" w:cs="Times New Roman"/>
          <w:sz w:val="24"/>
          <w:szCs w:val="24"/>
        </w:rPr>
        <w:t xml:space="preserve">. </w:t>
      </w:r>
      <w:r w:rsidR="00F81FC7">
        <w:rPr>
          <w:rFonts w:ascii="Times" w:hAnsi="Times" w:cs="Times New Roman"/>
          <w:sz w:val="24"/>
          <w:szCs w:val="24"/>
        </w:rPr>
        <w:t>Furthermore, two separate measures of TL in that study were</w:t>
      </w:r>
      <w:r w:rsidR="00F81FC7" w:rsidRPr="00873E6C">
        <w:rPr>
          <w:rFonts w:ascii="Times" w:hAnsi="Times" w:cs="Times New Roman"/>
          <w:sz w:val="24"/>
          <w:szCs w:val="24"/>
        </w:rPr>
        <w:t xml:space="preserve"> uncorrelated within individuals between the two </w:t>
      </w:r>
      <w:proofErr w:type="spellStart"/>
      <w:r w:rsidR="00F81FC7" w:rsidRPr="00873E6C">
        <w:rPr>
          <w:rFonts w:ascii="Times" w:hAnsi="Times" w:cs="Times New Roman"/>
          <w:sz w:val="24"/>
          <w:szCs w:val="24"/>
        </w:rPr>
        <w:t>timepoints</w:t>
      </w:r>
      <w:proofErr w:type="spellEnd"/>
      <w:r w:rsidR="00F81FC7" w:rsidRPr="00873E6C">
        <w:rPr>
          <w:rFonts w:ascii="Times" w:hAnsi="Times" w:cs="Times New Roman"/>
          <w:sz w:val="24"/>
          <w:szCs w:val="24"/>
        </w:rPr>
        <w:t>, making compar</w:t>
      </w:r>
      <w:r w:rsidR="004619C2">
        <w:rPr>
          <w:rFonts w:ascii="Times" w:hAnsi="Times" w:cs="Times New Roman"/>
          <w:sz w:val="24"/>
          <w:szCs w:val="24"/>
        </w:rPr>
        <w:t xml:space="preserve">isons between these findings </w:t>
      </w:r>
      <w:r w:rsidR="00F81FC7" w:rsidRPr="00873E6C">
        <w:rPr>
          <w:rFonts w:ascii="Times" w:hAnsi="Times" w:cs="Times New Roman"/>
          <w:sz w:val="24"/>
          <w:szCs w:val="24"/>
        </w:rPr>
        <w:t>and our own blood-derived TL findings difficult.</w:t>
      </w:r>
      <w:r w:rsidR="003A6713" w:rsidRPr="00873E6C">
        <w:rPr>
          <w:rFonts w:ascii="Times" w:hAnsi="Times" w:cs="Times New Roman"/>
          <w:sz w:val="24"/>
          <w:szCs w:val="24"/>
        </w:rPr>
        <w:t xml:space="preserve"> </w:t>
      </w:r>
      <w:r w:rsidR="00263340">
        <w:rPr>
          <w:rFonts w:ascii="Times" w:hAnsi="Times" w:cs="Times New Roman"/>
          <w:sz w:val="24"/>
          <w:szCs w:val="24"/>
        </w:rPr>
        <w:t xml:space="preserve">Contrasting </w:t>
      </w:r>
      <w:r w:rsidR="004619C2">
        <w:rPr>
          <w:rFonts w:ascii="Times" w:hAnsi="Times" w:cs="Times New Roman"/>
          <w:sz w:val="24"/>
          <w:szCs w:val="24"/>
        </w:rPr>
        <w:t xml:space="preserve">our findings and those of </w:t>
      </w:r>
      <w:proofErr w:type="spellStart"/>
      <w:r w:rsidR="004619C2">
        <w:rPr>
          <w:rFonts w:ascii="Times" w:hAnsi="Times" w:cs="Times New Roman"/>
          <w:sz w:val="24"/>
          <w:szCs w:val="24"/>
        </w:rPr>
        <w:t>B</w:t>
      </w:r>
      <w:r w:rsidR="00263340">
        <w:rPr>
          <w:rFonts w:ascii="Times" w:hAnsi="Times" w:cs="Times New Roman"/>
          <w:sz w:val="24"/>
          <w:szCs w:val="24"/>
        </w:rPr>
        <w:t>arha</w:t>
      </w:r>
      <w:proofErr w:type="spellEnd"/>
      <w:r w:rsidR="00263340">
        <w:rPr>
          <w:rFonts w:ascii="Times" w:hAnsi="Times" w:cs="Times New Roman"/>
          <w:sz w:val="24"/>
          <w:szCs w:val="24"/>
        </w:rPr>
        <w:t xml:space="preserve"> et al.</w:t>
      </w:r>
      <w:r w:rsidR="003A6713" w:rsidRPr="00873E6C">
        <w:rPr>
          <w:rFonts w:ascii="Times" w:hAnsi="Times" w:cs="Times New Roman"/>
          <w:sz w:val="24"/>
          <w:szCs w:val="24"/>
        </w:rPr>
        <w:t>, a study among 620 participants of the US-based CARDIA study found no evidence for an effect of parity on TL</w:t>
      </w:r>
      <w:r w:rsidR="004619C2">
        <w:rPr>
          <w:rFonts w:ascii="Times" w:hAnsi="Times" w:cs="Times New Roman"/>
          <w:sz w:val="24"/>
          <w:szCs w:val="24"/>
        </w:rPr>
        <w:t xml:space="preserve"> in either direction</w:t>
      </w:r>
      <w:r w:rsidR="003A6713" w:rsidRPr="00873E6C">
        <w:rPr>
          <w:rFonts w:ascii="Times" w:hAnsi="Times" w:cs="Times New Roman"/>
          <w:sz w:val="24"/>
          <w:szCs w:val="24"/>
        </w:rPr>
        <w:t xml:space="preserve"> </w:t>
      </w:r>
      <w:r w:rsidR="00E11235" w:rsidRPr="00873E6C">
        <w:rPr>
          <w:rFonts w:ascii="Times" w:hAnsi="Times" w:cs="Times New Roman"/>
          <w:sz w:val="24"/>
          <w:szCs w:val="24"/>
        </w:rPr>
        <w:fldChar w:fldCharType="begin"/>
      </w:r>
      <w:r w:rsidR="003A6713" w:rsidRPr="00873E6C">
        <w:rPr>
          <w:rFonts w:ascii="Times" w:hAnsi="Times" w:cs="Times New Roman"/>
          <w:sz w:val="24"/>
          <w:szCs w:val="24"/>
        </w:rPr>
        <w:instrText xml:space="preserve"> ADDIN ZOTERO_ITEM CSL_CITATION {"citationID":"a1qo0h7pra7","properties":{"formattedCitation":"(59)","plainCitation":"(59)"},"citationItems":[{"id":8108,"uris":["http://zotero.org/users/451958/items/FS8LEKCS"],"uri":["http://zotero.org/users/451958/items/FS8LEKCS"],"itemData":{"id":8108,"type":"article-journal","title":"Gravidity is not associated with telomere length in a biracial cohort of middle-aged women: The Coronary Artery Risk Development in Young Adults (CARDIA) study","container-title":"PLOS ONE","page":"e0186495","volume":"12","issue":"10","source":"PLoS Journals","abstract":"Objective Having experienced 2–3 births is associated with reduced mortality versus women with &lt;2 or ≥4 births. The effect of 2–3 births on lifespan may be associated with delayed cellular aging. We hypothesized telomere length, a marker of cellular aging, would be longer in women who had 2–3 pregnancies.   Methods Leukocyte telomere length was measured using quantitative real-time polymerase chain reaction in 620 women in CARDIA at the year 15 and 20 exams, expressed as the ratio of telomere repeat copy number to single-copy gene copy number (T/S). Number of pregnancies at the time of telomere length measurement was obtained (mean age = 41±0.1 years, average gravidity = 2.64±0.1 pregnancies). Participants were divided into 4 groups by number of pregnancies: 0, 1, 2–3, and ≥4, to test for differences in telomere length by gravidity group.   Results The mean and SD for telomere length was 0.98 ± 0.20 T/S in the whole cohort. There were no differences in mean telomere length between groups; 0.98±0.02 T/S in women with 0 pregnancies, 1.01±0.02 T/S in women with 1 pregnancy, 0.97±0.01 T/S in women with 2–3 pregnancies, and 0.99±0.02 T/S in women with ≥4 pregnancies (p = 0.51). We defined high-risk (shorter) telomere length as ≤25th percentile, and low-risk (longer) telomere length as ≥75 percentile. There were no differences in the prevalence of high-risk or low-risk telomere length between gravidity groups.   Conclusions Gravidity was not associated with telomere length in early middle age; the protective association of 2–3 births may act through other mechanisms.","DOI":"10.1371/journal.pone.0186495","ISSN":"1932-6203","shortTitle":"Gravidity is not associated with telomere length in a biracial cohort of middle-aged women","journalAbbreviation":"PLOS ONE","author":[{"family":"Lane-Cordova","given":"Abbi D."},{"family":"Puterman","given":"Eli"},{"family":"Gunderson","given":"Erica P."},{"family":"Chan","given":"Cheeling"},{"family":"Hou","given":"Lifang"},{"family":"Carnethon","given":"Mercedes"}],"issued":{"date-parts":[["2017",10,19]]}}}],"schema":"https://github.com/citation-style-language/schema/raw/master/csl-citation.json"} </w:instrText>
      </w:r>
      <w:r w:rsidR="00E11235" w:rsidRPr="00873E6C">
        <w:rPr>
          <w:rFonts w:ascii="Times" w:hAnsi="Times" w:cs="Times New Roman"/>
          <w:sz w:val="24"/>
          <w:szCs w:val="24"/>
        </w:rPr>
        <w:fldChar w:fldCharType="separate"/>
      </w:r>
      <w:r w:rsidR="003A6713" w:rsidRPr="00873E6C">
        <w:rPr>
          <w:rFonts w:ascii="Times" w:hAnsi="Times" w:cs="Times New Roman"/>
          <w:noProof/>
          <w:sz w:val="24"/>
          <w:szCs w:val="24"/>
        </w:rPr>
        <w:t>(59)</w:t>
      </w:r>
      <w:r w:rsidR="00E11235" w:rsidRPr="00873E6C">
        <w:rPr>
          <w:rFonts w:ascii="Times" w:hAnsi="Times" w:cs="Times New Roman"/>
          <w:sz w:val="24"/>
          <w:szCs w:val="24"/>
        </w:rPr>
        <w:fldChar w:fldCharType="end"/>
      </w:r>
      <w:r w:rsidR="004619C2">
        <w:rPr>
          <w:rFonts w:ascii="Times" w:hAnsi="Times" w:cs="Times New Roman"/>
          <w:sz w:val="24"/>
          <w:szCs w:val="24"/>
        </w:rPr>
        <w:t xml:space="preserve">. </w:t>
      </w:r>
      <w:r w:rsidR="003A6713" w:rsidRPr="00873E6C">
        <w:rPr>
          <w:rFonts w:ascii="Times" w:hAnsi="Times" w:cs="Times New Roman"/>
          <w:sz w:val="24"/>
          <w:szCs w:val="24"/>
        </w:rPr>
        <w:t xml:space="preserve">The reasons for such </w:t>
      </w:r>
      <w:r w:rsidR="004619C2">
        <w:rPr>
          <w:rFonts w:ascii="Times" w:hAnsi="Times" w:cs="Times New Roman"/>
          <w:sz w:val="24"/>
          <w:szCs w:val="24"/>
        </w:rPr>
        <w:t>mixed</w:t>
      </w:r>
      <w:r w:rsidR="003A6713" w:rsidRPr="00873E6C">
        <w:rPr>
          <w:rFonts w:ascii="Times" w:hAnsi="Times" w:cs="Times New Roman"/>
          <w:sz w:val="24"/>
          <w:szCs w:val="24"/>
        </w:rPr>
        <w:t xml:space="preserve"> findings are</w:t>
      </w:r>
      <w:r w:rsidR="00413534">
        <w:rPr>
          <w:rFonts w:ascii="Times" w:hAnsi="Times" w:cs="Times New Roman"/>
          <w:sz w:val="24"/>
          <w:szCs w:val="24"/>
        </w:rPr>
        <w:t xml:space="preserve"> unclear, </w:t>
      </w:r>
      <w:r w:rsidR="003A6713" w:rsidRPr="00873E6C">
        <w:rPr>
          <w:rFonts w:ascii="Times" w:hAnsi="Times" w:cs="Times New Roman"/>
          <w:sz w:val="24"/>
          <w:szCs w:val="24"/>
        </w:rPr>
        <w:t xml:space="preserve">but may relate to pronounced differences in the age ranges and socio-ecological conditions in the different populations under investigation. TL attrition occurs more rapidly at younger ages </w:t>
      </w:r>
      <w:r w:rsidR="00E11235" w:rsidRPr="00873E6C">
        <w:rPr>
          <w:rFonts w:ascii="Times" w:hAnsi="Times" w:cs="Times New Roman"/>
          <w:sz w:val="24"/>
          <w:szCs w:val="24"/>
        </w:rPr>
        <w:fldChar w:fldCharType="begin"/>
      </w:r>
      <w:r w:rsidR="003A6713" w:rsidRPr="00873E6C">
        <w:rPr>
          <w:rFonts w:ascii="Times" w:hAnsi="Times" w:cs="Times New Roman"/>
          <w:sz w:val="24"/>
          <w:szCs w:val="24"/>
        </w:rPr>
        <w:instrText xml:space="preserve"> ADDIN ZOTERO_ITEM CSL_CITATION {"citationID":"a1j9enk2iu6","properties":{"formattedCitation":"(71)","plainCitation":"(71)"},"citationItems":[{"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M."}],"issued":{"date-parts":[["1998"]]}}}],"schema":"https://github.com/citation-style-language/schema/raw/master/csl-citation.json"} </w:instrText>
      </w:r>
      <w:r w:rsidR="00E11235" w:rsidRPr="00873E6C">
        <w:rPr>
          <w:rFonts w:ascii="Times" w:hAnsi="Times" w:cs="Times New Roman"/>
          <w:sz w:val="24"/>
          <w:szCs w:val="24"/>
        </w:rPr>
        <w:fldChar w:fldCharType="separate"/>
      </w:r>
      <w:r w:rsidR="003A6713" w:rsidRPr="00873E6C">
        <w:rPr>
          <w:rFonts w:ascii="Times" w:hAnsi="Times" w:cs="Times New Roman"/>
          <w:noProof/>
          <w:sz w:val="24"/>
          <w:szCs w:val="24"/>
        </w:rPr>
        <w:t>(71)</w:t>
      </w:r>
      <w:r w:rsidR="00E11235" w:rsidRPr="00873E6C">
        <w:rPr>
          <w:rFonts w:ascii="Times" w:hAnsi="Times" w:cs="Times New Roman"/>
          <w:sz w:val="24"/>
          <w:szCs w:val="24"/>
        </w:rPr>
        <w:fldChar w:fldCharType="end"/>
      </w:r>
      <w:r w:rsidR="003A6713" w:rsidRPr="00873E6C">
        <w:rPr>
          <w:rFonts w:ascii="Times" w:hAnsi="Times" w:cs="Times New Roman"/>
          <w:sz w:val="24"/>
          <w:szCs w:val="24"/>
        </w:rPr>
        <w:t xml:space="preserve">, suggesting that any impacts of reproduction on TL shortening could be amplified among young women, especially if reproduction overlaps with late stages of somatic growth </w:t>
      </w:r>
      <w:r w:rsidR="00E11235" w:rsidRPr="00873E6C">
        <w:rPr>
          <w:rFonts w:ascii="Times" w:hAnsi="Times" w:cs="Times New Roman"/>
          <w:sz w:val="24"/>
          <w:szCs w:val="24"/>
        </w:rPr>
        <w:fldChar w:fldCharType="begin"/>
      </w:r>
      <w:r w:rsidR="003A6713" w:rsidRPr="00873E6C">
        <w:rPr>
          <w:rFonts w:ascii="Times" w:hAnsi="Times" w:cs="Times New Roman"/>
          <w:sz w:val="24"/>
          <w:szCs w:val="24"/>
        </w:rPr>
        <w:instrText xml:space="preserve"> ADDIN ZOTERO_ITEM CSL_CITATION {"citationID":"abrrkkh211","properties":{"formattedCitation":"(1, 72)","plainCitation":"(1, 72)"},"citationItems":[{"id":7564,"uris":["http://zotero.org/users/451958/items/MP7NXKWZ"],"uri":["http://zotero.org/users/451958/items/MP7NXKWZ"],"itemData":{"id":7564,"type":"article-journal","title":"Life History Traits in Humans: Theory and Empirical Studies","container-title":"Annual Review of Anthropology","page":"397-430","volume":"28","issue":"1","source":"Annual Reviews","abstract":"Life history theory offers evolutionary explanations for the timing of life events, with a particular focus on age-schedules of fertility and mortality and growth. Traditional models examine trade-offs between current and future reproduction and quality versus quantity of offspring. These models can be used to understand questions concerning time of gestation, age of weaning, juvenile mortality profiles, age at maturation, adult body size, fertility rates, senescence, menopause, and the length of the life span. The trajectory of energy acquisition and its allocations is also an important part of life history theory. Modifications of these models have been developed to examine the period of learning, postweaning parental investment, and patterns of development. In this article, we combine energetic and demographic approaches in order to examine the human life course from an optimality perspective. The evolved life history solves related problems across two generations. The first set of decisions concerns how to maximize own lifetime net energy production that can be used for reproduction. The second set of decisions concerns how to maximize total offspring energy production (summed over all offspring).","DOI":"10.1146/annurev.anthro.28.1.397","note":"PMID: 12295622","shortTitle":"Life History Traits in Humans","author":[{"family":"Hill","given":"Kim"},{"family":"Kaplan","given":"and Hillard"}],"issued":{"date-parts":[["1999"]]}}},{"id":451,"uris":["http://zotero.org/users/451958/items/ZGIF4TVI"],"uri":["http://zotero.org/users/451958/items/ZGIF4TVI"],"itemData":{"id":451,"type":"book","title":"The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E11235" w:rsidRPr="00873E6C">
        <w:rPr>
          <w:rFonts w:ascii="Times" w:hAnsi="Times" w:cs="Times New Roman"/>
          <w:sz w:val="24"/>
          <w:szCs w:val="24"/>
        </w:rPr>
        <w:fldChar w:fldCharType="separate"/>
      </w:r>
      <w:r w:rsidR="003A6713" w:rsidRPr="00873E6C">
        <w:rPr>
          <w:rFonts w:ascii="Times" w:hAnsi="Times" w:cs="Times New Roman"/>
          <w:noProof/>
          <w:sz w:val="24"/>
          <w:szCs w:val="24"/>
        </w:rPr>
        <w:t>(1, 72)</w:t>
      </w:r>
      <w:r w:rsidR="00E11235" w:rsidRPr="00873E6C">
        <w:rPr>
          <w:rFonts w:ascii="Times" w:hAnsi="Times" w:cs="Times New Roman"/>
          <w:sz w:val="24"/>
          <w:szCs w:val="24"/>
        </w:rPr>
        <w:fldChar w:fldCharType="end"/>
      </w:r>
      <w:r w:rsidR="003A6713" w:rsidRPr="00873E6C">
        <w:rPr>
          <w:rFonts w:ascii="Times" w:hAnsi="Times" w:cs="Times New Roman"/>
          <w:sz w:val="24"/>
          <w:szCs w:val="24"/>
        </w:rPr>
        <w:t xml:space="preserve">. </w:t>
      </w:r>
      <w:r w:rsidR="002A4AC9">
        <w:rPr>
          <w:rFonts w:ascii="Times" w:hAnsi="Times" w:cs="Times New Roman"/>
          <w:sz w:val="24"/>
          <w:szCs w:val="24"/>
        </w:rPr>
        <w:t xml:space="preserve">Whether or not the women in our study will ‘recover’ for these measures of cellular senescence remains an open question. </w:t>
      </w:r>
    </w:p>
    <w:p w:rsidR="00DE546B" w:rsidRDefault="00DE546B" w:rsidP="00413534">
      <w:pPr>
        <w:rPr>
          <w:rFonts w:ascii="Times" w:hAnsi="Times" w:cs="Times New Roman"/>
          <w:sz w:val="24"/>
          <w:szCs w:val="24"/>
        </w:rPr>
      </w:pPr>
      <w:r>
        <w:rPr>
          <w:rFonts w:ascii="Times" w:hAnsi="Times" w:cs="Times New Roman"/>
          <w:sz w:val="24"/>
          <w:szCs w:val="24"/>
        </w:rPr>
        <w:t xml:space="preserve">While we found significant evidence for an effect of parity on both TL and </w:t>
      </w:r>
      <w:proofErr w:type="spellStart"/>
      <w:r>
        <w:rPr>
          <w:rFonts w:ascii="Times" w:hAnsi="Times" w:cs="Times New Roman"/>
          <w:sz w:val="24"/>
          <w:szCs w:val="24"/>
        </w:rPr>
        <w:t>DNAmAge</w:t>
      </w:r>
      <w:proofErr w:type="spellEnd"/>
      <w:r>
        <w:rPr>
          <w:rFonts w:ascii="Times" w:hAnsi="Times" w:cs="Times New Roman"/>
          <w:sz w:val="24"/>
          <w:szCs w:val="24"/>
        </w:rPr>
        <w:t xml:space="preserve">, both </w:t>
      </w:r>
      <w:r w:rsidR="002A4AC9">
        <w:rPr>
          <w:rFonts w:ascii="Times" w:hAnsi="Times" w:cs="Times New Roman"/>
          <w:sz w:val="24"/>
          <w:szCs w:val="24"/>
        </w:rPr>
        <w:t>appear to</w:t>
      </w:r>
      <w:r w:rsidR="00413534" w:rsidRPr="00873E6C">
        <w:rPr>
          <w:rFonts w:ascii="Times" w:hAnsi="Times" w:cs="Times New Roman"/>
          <w:sz w:val="24"/>
          <w:szCs w:val="24"/>
        </w:rPr>
        <w:t xml:space="preserve"> </w:t>
      </w:r>
      <w:r w:rsidR="002A4AC9" w:rsidRPr="00873E6C">
        <w:rPr>
          <w:rFonts w:ascii="Times" w:hAnsi="Times" w:cs="Times New Roman"/>
          <w:sz w:val="24"/>
          <w:szCs w:val="24"/>
        </w:rPr>
        <w:t xml:space="preserve">reflect </w:t>
      </w:r>
      <w:r w:rsidR="00413534" w:rsidRPr="00873E6C">
        <w:rPr>
          <w:rFonts w:ascii="Times" w:hAnsi="Times" w:cs="Times New Roman"/>
          <w:sz w:val="24"/>
          <w:szCs w:val="24"/>
        </w:rPr>
        <w:t xml:space="preserve">different biological pathways linking reproductive effort with somatic senescence. </w:t>
      </w:r>
      <w:r>
        <w:rPr>
          <w:rFonts w:ascii="Times" w:hAnsi="Times" w:cs="Times New Roman"/>
          <w:sz w:val="24"/>
          <w:szCs w:val="24"/>
        </w:rPr>
        <w:t>Congruent with this interpretation is the observation that TL</w:t>
      </w:r>
      <w:r w:rsidR="00413534" w:rsidRPr="00873E6C">
        <w:rPr>
          <w:rFonts w:ascii="Times" w:hAnsi="Times" w:cs="Times New Roman"/>
          <w:sz w:val="24"/>
          <w:szCs w:val="24"/>
        </w:rPr>
        <w:t xml:space="preserve"> and </w:t>
      </w:r>
      <w:proofErr w:type="spellStart"/>
      <w:r w:rsidR="00413534" w:rsidRPr="00873E6C">
        <w:rPr>
          <w:rFonts w:ascii="Times" w:hAnsi="Times" w:cs="Times New Roman"/>
          <w:sz w:val="24"/>
          <w:szCs w:val="24"/>
        </w:rPr>
        <w:t>DNAmAge</w:t>
      </w:r>
      <w:proofErr w:type="spellEnd"/>
      <w:r w:rsidR="00413534" w:rsidRPr="00873E6C">
        <w:rPr>
          <w:rFonts w:ascii="Times" w:hAnsi="Times" w:cs="Times New Roman"/>
          <w:sz w:val="24"/>
          <w:szCs w:val="24"/>
        </w:rPr>
        <w:t xml:space="preserve"> measured in the same individuals have been independently associated with aging and mortality in prior studies </w:t>
      </w:r>
      <w:r w:rsidR="00E11235" w:rsidRPr="00873E6C">
        <w:rPr>
          <w:rFonts w:ascii="Times" w:hAnsi="Times" w:cs="Times New Roman"/>
          <w:sz w:val="24"/>
          <w:szCs w:val="24"/>
        </w:rPr>
        <w:fldChar w:fldCharType="begin"/>
      </w:r>
      <w:r w:rsidR="00413534" w:rsidRPr="00873E6C">
        <w:rPr>
          <w:rFonts w:ascii="Times" w:hAnsi="Times" w:cs="Times New Roman"/>
          <w:sz w:val="24"/>
          <w:szCs w:val="24"/>
        </w:rPr>
        <w:instrText xml:space="preserve"> ADDIN ZOTERO_ITEM CSL_CITATION {"citationID":"MGjGZAJk","properties":{"formattedCitation":"(32, 73)","plainCitation":"(32, 73)"},"citationItems":[{"id":6641,"uris":["http://zotero.org/users/451958/items/TKF5Z6VM"],"uri":["http://zotero.org/users/451958/items/TKF5Z6VM"],"itemData":{"id":6641,"type":"article-journal","title":"The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J."}],"issued":{"date-parts":[["2016",4,13]]}}},{"id":8422,"uris":["http://zotero.org/users/451958/items/7A8UC5RL"],"uri":["http://zotero.org/users/451958/items/7A8UC5RL"],"itemData":{"id":8422,"type":"article-journal","title":"Eleven Telomere, Epigenetic Clock, and Biomarker-Composite Quantifications of Biological Aging: Do They Measure the Same Thing?","container-title":"American Journal of Epidemiology","source":"academic-oup-com.turing.library.northwestern.edu","abstract":"The geroscience hypothesis posits that therapies to slow biological processes of aging can prevent disease and extend healthy years of life. To test such “gero-protective” therapies in humans, outcome measures are needed that can assess extension of disease-free lifespan. This need has spurred development of different methods to quantify biological aging. But different methods have not been systematically compared in the same humans. We implemented seven methods to quantify biological aging using repeated-measures physiological and genomic data in 964 middle-aged humans in the Dunedin Study. We studied telomere-length and erosion, three epigenetic-clocks and their ticking rates, and three biomarker-composites, 11 measures in total. Contrary to expectation, we found low agreement between different measures of biological aging. We next compared associations between biological aging measures and outcomes gero-protective therapies seek to modify: physical functioning, cognitive decline, and subjective signs of aging, including aged facial appearance. The 71-CpG epigenetic clock and biomarker composites were consistently related to these aging-related outcomes. However, effect-sizes were modest. Results suggests that various proposed approaches to quantifying biological aging may not measure the same aspects of the aging process. Further systematic evaluation and refinement of measures of biological aging is needed to furnish outcomes for geroprotector trials.","URL":"https://academic.oup.com/aje/advance-article/doi/10.1093/aje/kwx346/4622080","DOI":"10.1093/aje/kwx346","shortTitle":"Eleven Telomere, Epigenetic Clock, and Biomarker-Composite Quantifications of Biological Aging","journalAbbreviation":"Am J Epidemiol","language":"en","author":[{"family":"Belsky","given":"Daniel W."},{"family":"Moffitt","given":"Terrie E."},{"family":"Cohen","given":"Alan A."},{"family":"Corcoran","given":"David L."},{"family":"Levine","given":"Morgan E."},{"family":"Prinz","given":"Joseph A."},{"family":"Schaefer","given":"Jonathan"},{"family":"Sugden","given":"Karen"},{"family":"Williams","given":"Benjamin"},{"family":"Poulton","given":"Richie"},{"family":"Caspi","given":"Avshalom"}],"issued":{"date-parts":[["2018"]]},"accessed":{"date-parts":[["2018",1,12]]}}}],"schema":"https://github.com/citation-style-language/schema/raw/master/csl-citation.json"} </w:instrText>
      </w:r>
      <w:r w:rsidR="00E11235" w:rsidRPr="00873E6C">
        <w:rPr>
          <w:rFonts w:ascii="Times" w:hAnsi="Times" w:cs="Times New Roman"/>
          <w:sz w:val="24"/>
          <w:szCs w:val="24"/>
        </w:rPr>
        <w:fldChar w:fldCharType="separate"/>
      </w:r>
      <w:r w:rsidR="00413534" w:rsidRPr="00873E6C">
        <w:rPr>
          <w:rFonts w:ascii="Times" w:hAnsi="Times" w:cs="Times New Roman"/>
          <w:noProof/>
          <w:sz w:val="24"/>
          <w:szCs w:val="24"/>
        </w:rPr>
        <w:t>(32, 73)</w:t>
      </w:r>
      <w:r w:rsidR="00E11235" w:rsidRPr="00873E6C">
        <w:rPr>
          <w:rFonts w:ascii="Times" w:hAnsi="Times" w:cs="Times New Roman"/>
          <w:sz w:val="24"/>
          <w:szCs w:val="24"/>
        </w:rPr>
        <w:fldChar w:fldCharType="end"/>
      </w:r>
      <w:r>
        <w:rPr>
          <w:rFonts w:ascii="Times" w:hAnsi="Times" w:cs="Times New Roman"/>
          <w:sz w:val="24"/>
          <w:szCs w:val="24"/>
        </w:rPr>
        <w:t>,</w:t>
      </w:r>
      <w:r w:rsidR="00413534" w:rsidRPr="00873E6C">
        <w:rPr>
          <w:rFonts w:ascii="Times" w:hAnsi="Times" w:cs="Times New Roman"/>
          <w:sz w:val="24"/>
          <w:szCs w:val="24"/>
        </w:rPr>
        <w:t xml:space="preserve"> and </w:t>
      </w:r>
      <w:r>
        <w:rPr>
          <w:rFonts w:ascii="Times" w:hAnsi="Times" w:cs="Times New Roman"/>
          <w:sz w:val="24"/>
          <w:szCs w:val="24"/>
        </w:rPr>
        <w:t>capture</w:t>
      </w:r>
      <w:r w:rsidR="00413534" w:rsidRPr="00873E6C">
        <w:rPr>
          <w:rFonts w:ascii="Times" w:hAnsi="Times" w:cs="Times New Roman"/>
          <w:sz w:val="24"/>
          <w:szCs w:val="24"/>
        </w:rPr>
        <w:t xml:space="preserve"> distinct </w:t>
      </w:r>
      <w:r>
        <w:rPr>
          <w:rFonts w:ascii="Times" w:hAnsi="Times" w:cs="Times New Roman"/>
          <w:sz w:val="24"/>
          <w:szCs w:val="24"/>
        </w:rPr>
        <w:t>dimensions</w:t>
      </w:r>
      <w:r w:rsidR="00413534" w:rsidRPr="00873E6C">
        <w:rPr>
          <w:rFonts w:ascii="Times" w:hAnsi="Times" w:cs="Times New Roman"/>
          <w:sz w:val="24"/>
          <w:szCs w:val="24"/>
        </w:rPr>
        <w:t xml:space="preserve"> of cellular senescence </w:t>
      </w:r>
      <w:r w:rsidR="00E11235" w:rsidRPr="00873E6C">
        <w:rPr>
          <w:rFonts w:ascii="Times" w:hAnsi="Times" w:cs="Times New Roman"/>
          <w:sz w:val="24"/>
          <w:szCs w:val="24"/>
        </w:rPr>
        <w:fldChar w:fldCharType="begin"/>
      </w:r>
      <w:r w:rsidR="00413534" w:rsidRPr="00873E6C">
        <w:rPr>
          <w:rFonts w:ascii="Times" w:hAnsi="Times" w:cs="Times New Roman"/>
          <w:sz w:val="24"/>
          <w:szCs w:val="24"/>
        </w:rPr>
        <w:instrText xml:space="preserve"> ADDIN ZOTERO_ITEM CSL_CITATION {"citationID":"a24k15es9rp","properties":{"formattedCitation":"(31)","plainCitation":"(31)"},"citationItems":[{"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E11235" w:rsidRPr="00873E6C">
        <w:rPr>
          <w:rFonts w:ascii="Times" w:hAnsi="Times" w:cs="Times New Roman"/>
          <w:sz w:val="24"/>
          <w:szCs w:val="24"/>
        </w:rPr>
        <w:fldChar w:fldCharType="separate"/>
      </w:r>
      <w:r w:rsidR="00413534" w:rsidRPr="00873E6C">
        <w:rPr>
          <w:rFonts w:ascii="Times" w:hAnsi="Times" w:cs="Times New Roman"/>
          <w:noProof/>
          <w:sz w:val="24"/>
          <w:szCs w:val="24"/>
        </w:rPr>
        <w:t>(31)</w:t>
      </w:r>
      <w:r w:rsidR="00E11235" w:rsidRPr="00873E6C">
        <w:rPr>
          <w:rFonts w:ascii="Times" w:hAnsi="Times" w:cs="Times New Roman"/>
          <w:sz w:val="24"/>
          <w:szCs w:val="24"/>
        </w:rPr>
        <w:fldChar w:fldCharType="end"/>
      </w:r>
      <w:r w:rsidR="00413534" w:rsidRPr="00873E6C">
        <w:rPr>
          <w:rFonts w:ascii="Times" w:hAnsi="Times" w:cs="Times New Roman"/>
          <w:sz w:val="24"/>
          <w:szCs w:val="24"/>
        </w:rPr>
        <w:t xml:space="preserve">. Accordingly, TL and </w:t>
      </w:r>
      <w:proofErr w:type="spellStart"/>
      <w:r w:rsidR="00413534" w:rsidRPr="00873E6C">
        <w:rPr>
          <w:rFonts w:ascii="Times" w:hAnsi="Times" w:cs="Times New Roman"/>
          <w:sz w:val="24"/>
          <w:szCs w:val="24"/>
        </w:rPr>
        <w:t>DNAmAge</w:t>
      </w:r>
      <w:proofErr w:type="spellEnd"/>
      <w:r w:rsidR="00413534" w:rsidRPr="00873E6C">
        <w:rPr>
          <w:rFonts w:ascii="Times" w:hAnsi="Times" w:cs="Times New Roman"/>
          <w:sz w:val="24"/>
          <w:szCs w:val="24"/>
        </w:rPr>
        <w:t xml:space="preserve"> acceleration were not associated with each other in this study. Also notable is our finding that </w:t>
      </w:r>
      <w:proofErr w:type="spellStart"/>
      <w:r w:rsidR="00413534" w:rsidRPr="00873E6C">
        <w:rPr>
          <w:rFonts w:ascii="Times" w:hAnsi="Times" w:cs="Times New Roman"/>
          <w:sz w:val="24"/>
          <w:szCs w:val="24"/>
        </w:rPr>
        <w:t>DNAmAge</w:t>
      </w:r>
      <w:proofErr w:type="spellEnd"/>
      <w:r w:rsidR="00413534" w:rsidRPr="00873E6C">
        <w:rPr>
          <w:rFonts w:ascii="Times" w:hAnsi="Times" w:cs="Times New Roman"/>
          <w:sz w:val="24"/>
          <w:szCs w:val="24"/>
        </w:rPr>
        <w:t xml:space="preserve"> was slightly elevated relative to chronological age at Cebu, while </w:t>
      </w:r>
      <w:proofErr w:type="spellStart"/>
      <w:r w:rsidR="00413534" w:rsidRPr="00873E6C">
        <w:rPr>
          <w:rFonts w:ascii="Times" w:hAnsi="Times" w:cs="Times New Roman"/>
          <w:sz w:val="24"/>
          <w:szCs w:val="24"/>
        </w:rPr>
        <w:t>TLs</w:t>
      </w:r>
      <w:proofErr w:type="spellEnd"/>
      <w:r w:rsidR="00413534" w:rsidRPr="00873E6C">
        <w:rPr>
          <w:rFonts w:ascii="Times" w:hAnsi="Times" w:cs="Times New Roman"/>
          <w:sz w:val="24"/>
          <w:szCs w:val="24"/>
        </w:rPr>
        <w:t xml:space="preserve"> were longer and show evidence for a slightly slower attrition rate relative to other populations (Table S1). Accelerated TL attrition – a measure of ‘mitotic age’ that is modified directly by cellular division – could stem from factors that modify cellular proliferation rates, such as the elevated inflammation, blood cell production, and cell-turnover rates, all of which that characterize pregnancy in this and other samples </w:t>
      </w:r>
      <w:r w:rsidR="00E11235" w:rsidRPr="00873E6C">
        <w:rPr>
          <w:rFonts w:ascii="Times" w:hAnsi="Times" w:cs="Times New Roman"/>
          <w:sz w:val="24"/>
          <w:szCs w:val="24"/>
        </w:rPr>
        <w:fldChar w:fldCharType="begin"/>
      </w:r>
      <w:r w:rsidR="00413534" w:rsidRPr="00873E6C">
        <w:rPr>
          <w:rFonts w:ascii="Times" w:hAnsi="Times" w:cs="Times New Roman"/>
          <w:sz w:val="24"/>
          <w:szCs w:val="24"/>
        </w:rPr>
        <w:instrText xml:space="preserve"> ADDIN ZOTERO_ITEM CSL_CITATION {"citationID":"a184l8bqoev","properties":{"formattedCitation":"(74)","plainCitation":"(74)"},"citationItems":[{"id":8301,"uris":["http://zotero.org/users/451958/items/EW6NF3WZ"],"uri":["http://zotero.org/users/451958/items/EW6NF3WZ"],"itemData":{"id":8301,"type":"article-journal","title":"C-reactive protein by pregnancy and lactational status among Filipino young adult women","container-title":"American Journal of Human Biology","page":"131-134","volume":"25","issue":"1","source":"Wiley Online Library","abstract":"Objectives:\n\nPregnancy and lactation involve adaptations in immune regulation, but little is known about cross-cultural variation in inflammatory changes during pregnancy or lactation. Here we report concentrations of C-reactive protein (CRP) in a large cross-sectional sample of healthy Filipino women who vary in parity, gestational, and lactational status, and who come from a population previously described as having low CRP.\n\n\nMethods:\n\nFasting plasma CRP was measured among female participants (ages 20.8–22.4 years) in the Cebu Longitudinal Health and Nutrition Survey (n = 822).\n\n\nResults:\n\nMedian CRP was 0.2 mg/l in nulliparous women and peaked at 2.0 mg/l in women in their 3rd trimester of pregnancy. Parous but post-partum women had higher CRP compared to nulliparous women, which was largely explained by body composition differences as reflected in waist circumference and skinfold measures. Among post-partum women with infants, CRP was similar in women who were currently breastfeeding compared to those who were not.\n\n\nConclusions:\n\nAt Cebu, women late in gestation have 10-fold higher C-reactive protein compared to nulliparous women, with no evidence that lactation is inflammatory. These population-based findings are similar with findings from prior clinic-based studies and are consistent with the maternal immunological adaptations initiated during pregnancy. The tendency of human females to spend more time than females of other great apes in gestation rather than lactation suggests that the human life history strategy involved increased time spent by reproductively aged females in a pro-inflammatory state. Am. J. Hum. Biol., 2013. © 2012Wiley Periodicals, Inc.","DOI":"10.1002/ajhb.22351","ISSN":"1520-6300","journalAbbreviation":"Am. J. Hum. Biol.","language":"en","author":[{"family":"Kuzawa","given":"Christopher W."},{"family":"Adair","given":"Linda S."},{"family":"Borja","given":"Judith"},{"family":"Mcdade","given":"Thomas W."}],"issued":{"date-parts":[["2013",1,1]]}}}],"schema":"https://github.com/citation-style-language/schema/raw/master/csl-citation.json"} </w:instrText>
      </w:r>
      <w:r w:rsidR="00E11235" w:rsidRPr="00873E6C">
        <w:rPr>
          <w:rFonts w:ascii="Times" w:hAnsi="Times" w:cs="Times New Roman"/>
          <w:sz w:val="24"/>
          <w:szCs w:val="24"/>
        </w:rPr>
        <w:fldChar w:fldCharType="separate"/>
      </w:r>
      <w:r w:rsidR="00413534" w:rsidRPr="00873E6C">
        <w:rPr>
          <w:rFonts w:ascii="Times" w:hAnsi="Times" w:cs="Times New Roman"/>
          <w:noProof/>
          <w:sz w:val="24"/>
          <w:szCs w:val="24"/>
        </w:rPr>
        <w:t>(74)</w:t>
      </w:r>
      <w:r w:rsidR="00E11235" w:rsidRPr="00873E6C">
        <w:rPr>
          <w:rFonts w:ascii="Times" w:hAnsi="Times" w:cs="Times New Roman"/>
          <w:sz w:val="24"/>
          <w:szCs w:val="24"/>
        </w:rPr>
        <w:fldChar w:fldCharType="end"/>
      </w:r>
      <w:r w:rsidR="00413534" w:rsidRPr="00873E6C">
        <w:rPr>
          <w:rFonts w:ascii="Times" w:hAnsi="Times" w:cs="Times New Roman"/>
          <w:sz w:val="24"/>
          <w:szCs w:val="24"/>
        </w:rPr>
        <w:t>.</w:t>
      </w:r>
    </w:p>
    <w:p w:rsidR="00DE546B" w:rsidRPr="00873E6C" w:rsidRDefault="00DE546B" w:rsidP="00DE546B">
      <w:pPr>
        <w:rPr>
          <w:rFonts w:ascii="Times" w:hAnsi="Times" w:cs="Times New Roman"/>
          <w:sz w:val="24"/>
          <w:szCs w:val="24"/>
        </w:rPr>
      </w:pPr>
      <w:r w:rsidRPr="00873E6C">
        <w:rPr>
          <w:rFonts w:ascii="Times" w:hAnsi="Times" w:cs="Times New Roman"/>
          <w:sz w:val="24"/>
          <w:szCs w:val="24"/>
        </w:rPr>
        <w:t xml:space="preserve">In contrast to TL,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not considered a marker of mitotic age, as it is associated with chronological age even in immortal, non-dividing, and non-proliferative tissues and cells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n8ht4uh9","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Times New Roman"/>
          <w:noProof/>
          <w:sz w:val="24"/>
          <w:szCs w:val="24"/>
        </w:rPr>
        <w:t>(27)</w:t>
      </w:r>
      <w:r w:rsidR="00E11235" w:rsidRPr="00873E6C">
        <w:rPr>
          <w:rFonts w:ascii="Times" w:hAnsi="Times" w:cs="Times New Roman"/>
          <w:sz w:val="24"/>
          <w:szCs w:val="24"/>
        </w:rPr>
        <w:fldChar w:fldCharType="end"/>
      </w:r>
      <w:r w:rsidRPr="00873E6C">
        <w:rPr>
          <w:rFonts w:ascii="Times" w:hAnsi="Times" w:cs="Times New Roman"/>
          <w:sz w:val="24"/>
          <w:szCs w:val="24"/>
        </w:rPr>
        <w:t xml:space="preserve">. Although the biological significance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unknown, it is hypothesized to reflect the integrity of an epigenetic maintenance system, itself responsible for maintaining dynamic regulatory stability within cells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ntbe6sh79","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Times New Roman"/>
          <w:noProof/>
          <w:sz w:val="24"/>
          <w:szCs w:val="24"/>
        </w:rPr>
        <w:t>(27)</w:t>
      </w:r>
      <w:r w:rsidR="00E11235" w:rsidRPr="00873E6C">
        <w:rPr>
          <w:rFonts w:ascii="Times" w:hAnsi="Times" w:cs="Times New Roman"/>
          <w:sz w:val="24"/>
          <w:szCs w:val="24"/>
        </w:rPr>
        <w:fldChar w:fldCharType="end"/>
      </w:r>
      <w:r w:rsidRPr="00873E6C">
        <w:rPr>
          <w:rFonts w:ascii="Times" w:hAnsi="Times" w:cs="Times New Roman"/>
          <w:sz w:val="24"/>
          <w:szCs w:val="24"/>
        </w:rPr>
        <w:t xml:space="preserve">. In light of the relationship between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and epigenetic maintenance, our findings are consistent with the prediction that reproduction comes at the expense of ‘maintenance’ – in this case at the scale of cellular regulatory maintenance. Exactly how parity might lead to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is unclear, but could involve tradeoffs between protein homeostasis and epigenetic control arising from immune activation or the buffering of oxidative stress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{"citationID":"dPP3NvO9","properties":{"formattedCitation":"{\\rtf (75\\uc0\\u8211{}78)}","plainCitation":"(75–78)"},"citationItems":[{"id":7100,"uris":["http://zotero.org/users/451958/items/AA789IME"],"uri":["http://zotero.org/users/451958/items/AA789IME"],"itemData":{"id":7100,"type":"article-journal","title":"Hsp90 and physiological stress are linked to autonomous transposon mobility and heritable genetic change in nematodes","container-title":"Genome Biology and Evolution","page":"3794-3805","volume":"8","issue":"12","source":"CrossRef","DOI":"10.1093/gbe/evw284","ISSN":"1759-6653","language":"en","author":[{"family":"Ryan","given":"Calen P."},{"family":"Brownlie","given":"Jeremy C."},{"family":"Whyard","given":"Steve"}],"issued":{"date-parts":[["2016"]]}},"label":"page"},{"id":1486,"uris":["http://zotero.org/users/451958/items/5KB542V6"],"uri":["http://zotero.org/users/451958/items/5KB542V6"],"itemData":{"id":1486,"type":"article-journal","title":"Heat-shock proteins, molecular chaperones, and the stress response: evolutionary and ecological physiology","container-title":"Annual Review of Physiology","page":"243-282","volume":"61","issue":"1","source":"Annual Reviews","abstract":"Molecular chaperones, including the heat-shock proteins (Hsps), are a ubiquitous feature of cells in which these proteins cope with stress-induced denaturation of other proteins. Hsps have received the most attention in model organisms undergoing experimental stress in the laboratory, and the function of Hsps at the molecular and cellular level is becoming well understood in this context. A complementary focus is now emerging on the Hsps of both model and nonmodel organisms undergoing stress in nature, on the roles of Hsps in the stress physiology of whole multicellular eukaryotes and the tissues and organs they comprise, and on the ecological and evolutionary correlates of variation in Hsps and the genes that encode them. This focus discloses that (a) expression of Hsps can occur in nature, (b) all species have hsp genes but they vary in the patterns of their expression, (c) Hsp expression can be correlated with resistance to stress, and (d) species' thresholds for Hsp expression are correlated with levels of stress that they naturally undergo. These conclusions are now well established and may require little additional confirmation; many significant questions remain unanswered concerning both the mechanisms of Hsp-mediated stress tolerance at the organismal level and the evolutionary mechanisms that have diversified the hsp genes.","DOI":"10.1146/annurev.physiol.61.1.243","note":"PMID: 10099689","shortTitle":"HEAT-SHOCK PROTEINS, MOLECULAR CHAPERONES, AND THE STRESS RESPONSE","author":[{"family":"Feder","given":"Martin E."},{"family":"Hofmann","given":"Gretchen E."}],"issued":{"date-parts":[["1999"]]}},"label":"page"},{"id":8288,"uris":["http://zotero.org/users/451958/items/6JPSJYZA"],"uri":["http://zotero.org/users/451958/items/6JPSJYZA"],"itemData":{"id":8288,"type":"article-journal","title":"Heat shock proteins mediate trade-offs between early-life reproduction and late survival in Drosophila melanogaster","container-title":"Physiological Entomology","page":"304-312","volume":"39","issue":"4","source":"Wiley Online Library","abstract":"Ageing and the resulting increased likelihood mortality are the inescapable fate of organisms because selection pressures on genes that exert their function late in life is weak, promoting the evolution of genes that enhance early-life reproductive performance at the same time as sacrificing late survival. Heat shock proteins (HSP) are known to buffer various environmental stresses and are also involved in protein homeostasis and longevity. The characteristics of genes for HSPs (hsp) imply that they affect various life-history traits, which in turn affect longevity; however, little is known about the effects of hsp genes on life-history traits and their interaction with longevity. In the present study, the effects of hsp genes on multiple fitness traits, such as locomotor activity, total fecundity, early fecundity and survival time, are investigated in Drosophila melanogaster Meigen using RNA interference (RNAi). In egg-laying females, RNAi knockdown of six hsp genes (hsp22, hsp23, hsp67Ba, hsp67Bb, hsp67Bc and hsp27-like) does not shorten survival but rather increases it. Knockdown of five of those genes on an individual basis reduces early-life reproduction, suggesting that several hsp genes mediate the trade-off between early reproduction and late survival. The data indicate a positive effect of hsp genes on early reproduction and also negative effects on survival time, supporting the antagonistic pleiotropic effects predicted by the optimality theory of ageing.","DOI":"10.1111/phen.12076","ISSN":"1365-3032","journalAbbreviation":"Physiol. Entomol.","language":"en","author":[{"family":"Okada","given":"Yasukazu"},{"family":"Teramura","given":"Kohei"},{"family":"Takahashi","given":"Kazuo H."}],"issued":{"date-parts":[["2014",12,1]]}},"label":"page"},{"id":1542,"uris":["http://zotero.org/users/451958/items/XW3A62K5"],"uri":["http://zotero.org/users/451958/items/XW3A62K5"],"itemData":{"id":1542,"type":"article-journal","title":"Repeated stress exposure results in a survival-reproduction trade-off in Drosophila melanogaster","container-title":"Proceedings of the Royal Society B: Biological Sciences","page":"963-969","volume":"277","issue":"1683","source":"CrossRef","DOI":"10.1098/rspb.2009.1807","ISSN":"0962-8452, 1471-2954","language":"en","author":[{"family":"Marshall","given":"K. E."},{"family":"Sinclair","given":"B. J."}],"issued":{"date-parts":[["2010",3,22]]}},"label":"page"}],"schema":"https://github.com/citation-style-language/schema/raw/master/csl-citation.json"}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Segoe UI"/>
          <w:sz w:val="24"/>
        </w:rPr>
        <w:t>(75–78)</w:t>
      </w:r>
      <w:r w:rsidR="00E11235" w:rsidRPr="00873E6C">
        <w:rPr>
          <w:rFonts w:ascii="Times" w:hAnsi="Times" w:cs="Times New Roman"/>
          <w:sz w:val="24"/>
          <w:szCs w:val="24"/>
        </w:rPr>
        <w:fldChar w:fldCharType="end"/>
      </w:r>
      <w:r w:rsidRPr="00873E6C">
        <w:rPr>
          <w:rFonts w:ascii="Times" w:hAnsi="Times" w:cs="Times New Roman"/>
          <w:sz w:val="24"/>
          <w:szCs w:val="24"/>
        </w:rPr>
        <w:t xml:space="preserve">. Indeed, cumulative changes in immune cell composition during pregnancy also likely contribute to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with parity, although the measure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used here is remarkably robust across tissue types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1841a04hpo","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Times New Roman"/>
          <w:noProof/>
          <w:sz w:val="24"/>
          <w:szCs w:val="24"/>
        </w:rPr>
        <w:t>(27)</w:t>
      </w:r>
      <w:r w:rsidR="00E11235" w:rsidRPr="00873E6C">
        <w:rPr>
          <w:rFonts w:ascii="Times" w:hAnsi="Times" w:cs="Times New Roman"/>
          <w:sz w:val="24"/>
          <w:szCs w:val="24"/>
        </w:rPr>
        <w:fldChar w:fldCharType="end"/>
      </w:r>
      <w:r w:rsidRPr="00873E6C">
        <w:rPr>
          <w:rFonts w:ascii="Times" w:hAnsi="Times" w:cs="Times New Roman"/>
          <w:sz w:val="24"/>
          <w:szCs w:val="24"/>
        </w:rPr>
        <w:t xml:space="preserve">. Nevertheless, the fact that the </w:t>
      </w:r>
      <w:proofErr w:type="gramStart"/>
      <w:r w:rsidRPr="00873E6C">
        <w:rPr>
          <w:rFonts w:ascii="Times" w:hAnsi="Times" w:cs="Times New Roman"/>
          <w:sz w:val="24"/>
          <w:szCs w:val="24"/>
        </w:rPr>
        <w:t>functionally-distinct</w:t>
      </w:r>
      <w:proofErr w:type="gramEnd"/>
      <w:r w:rsidRPr="00873E6C">
        <w:rPr>
          <w:rFonts w:ascii="Times" w:hAnsi="Times" w:cs="Times New Roman"/>
          <w:sz w:val="24"/>
          <w:szCs w:val="24"/>
        </w:rPr>
        <w:t xml:space="preserve">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 similar associations with parity provides strong support for our prediction that reproduction accelerates senescence, at least among the young adult women represented by our sample.</w:t>
      </w:r>
    </w:p>
    <w:p w:rsidR="00DE546B" w:rsidRPr="00873E6C" w:rsidRDefault="00DE546B" w:rsidP="00DE546B">
      <w:pPr>
        <w:rPr>
          <w:rFonts w:ascii="Times" w:hAnsi="Times" w:cs="Times New Roman"/>
          <w:sz w:val="24"/>
          <w:szCs w:val="24"/>
          <w:highlight w:val="yellow"/>
        </w:rPr>
      </w:pPr>
      <w:r w:rsidRPr="00873E6C">
        <w:rPr>
          <w:rFonts w:ascii="Times" w:hAnsi="Times" w:cs="Times New Roman"/>
          <w:sz w:val="24"/>
          <w:szCs w:val="24"/>
        </w:rPr>
        <w:t xml:space="preserve">Contrary to our prediction that the costs of reproduction would be greatest among individuals with limited resources </w:t>
      </w:r>
      <w:r w:rsidR="00E11235"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{"citationID":"aha8o0u534","properties":{"formattedCitation":"{\\rtf (14\\uc0\\u8211{}16)}","plainCitation":"(14–16)"},"citationItems":[{"id":8176,"uris":["http://zotero.org/users/451958/items/PV4QFT4M"],"uri":["http://zotero.org/users/451958/items/PV4QFT4M"],"itemData":{"id":8176,"type":"article-journal","title":"Long-term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M."},{"family":"Voland","given":"Eckart"}],"issued":{"date-parts":[["2000"]]}}},{"id":8263,"uris":["http://zotero.org/users/451958/items/HLDEVAT2"],"uri":["http://zotero.org/users/451958/items/HLDEVAT2"],"itemData":{"id":8263,"type":"article-journal","title":"Fertility</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P"}],"issued":{"date-parts":[["1991"]]}}}],"schema":"https://github.com/citation-style-language/schema/raw/master/csl-citation.json"} </w:instrText>
      </w:r>
      <w:r w:rsidR="00E11235" w:rsidRPr="00873E6C">
        <w:rPr>
          <w:rFonts w:ascii="Times" w:hAnsi="Times" w:cs="Times New Roman"/>
          <w:sz w:val="24"/>
          <w:szCs w:val="24"/>
        </w:rPr>
        <w:fldChar w:fldCharType="separate"/>
      </w:r>
      <w:r w:rsidRPr="00873E6C">
        <w:rPr>
          <w:rFonts w:ascii="Times" w:hAnsi="Times" w:cs="Segoe UI"/>
          <w:sz w:val="24"/>
        </w:rPr>
        <w:t>(14–16)</w:t>
      </w:r>
      <w:r w:rsidR="00E11235" w:rsidRPr="00873E6C">
        <w:rPr>
          <w:rFonts w:ascii="Times" w:hAnsi="Times" w:cs="Times New Roman"/>
          <w:sz w:val="24"/>
          <w:szCs w:val="24"/>
        </w:rPr>
        <w:fldChar w:fldCharType="end"/>
      </w:r>
      <w:r w:rsidRPr="00873E6C">
        <w:rPr>
          <w:rFonts w:ascii="Times" w:hAnsi="Times" w:cs="Times New Roman"/>
          <w:sz w:val="24"/>
          <w:szCs w:val="24"/>
        </w:rPr>
        <w:t xml:space="preserve">, we found no evidence for an interaction between parity and SES in models predicting either TL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t>
      </w:r>
      <w:r w:rsidR="00B75EED">
        <w:rPr>
          <w:rFonts w:ascii="Times" w:hAnsi="Times" w:cs="Times New Roman"/>
          <w:sz w:val="24"/>
          <w:szCs w:val="24"/>
        </w:rPr>
        <w:t xml:space="preserve">While women in low SES conditions in our study very likely experience constraints in time, energy, or nutrient availability, it is still </w:t>
      </w:r>
      <w:r>
        <w:rPr>
          <w:rFonts w:ascii="Times" w:hAnsi="Times" w:cs="Times New Roman"/>
          <w:sz w:val="24"/>
          <w:szCs w:val="24"/>
        </w:rPr>
        <w:t>unclear to what extent SES adequately</w:t>
      </w:r>
      <w:r w:rsidR="00B75EED">
        <w:rPr>
          <w:rFonts w:ascii="Times" w:hAnsi="Times" w:cs="Times New Roman"/>
          <w:sz w:val="24"/>
          <w:szCs w:val="24"/>
        </w:rPr>
        <w:t xml:space="preserve"> captures limitations in the resources most relevant to </w:t>
      </w:r>
      <w:proofErr w:type="spellStart"/>
      <w:r w:rsidR="00B75EED">
        <w:rPr>
          <w:rFonts w:ascii="Times" w:hAnsi="Times" w:cs="Times New Roman"/>
          <w:sz w:val="24"/>
          <w:szCs w:val="24"/>
        </w:rPr>
        <w:t>CoR</w:t>
      </w:r>
      <w:proofErr w:type="spellEnd"/>
      <w:r w:rsidR="00B75EED">
        <w:rPr>
          <w:rFonts w:ascii="Times" w:hAnsi="Times" w:cs="Times New Roman"/>
          <w:sz w:val="24"/>
          <w:szCs w:val="24"/>
        </w:rPr>
        <w:t>. G</w:t>
      </w:r>
      <w:r w:rsidRPr="00873E6C">
        <w:rPr>
          <w:rFonts w:ascii="Times" w:hAnsi="Times" w:cs="Times New Roman"/>
          <w:sz w:val="24"/>
          <w:szCs w:val="24"/>
        </w:rPr>
        <w:t xml:space="preserve">iven the relatively young age of the participants, </w:t>
      </w:r>
      <w:r w:rsidR="00B75EED">
        <w:rPr>
          <w:rFonts w:ascii="Times" w:hAnsi="Times" w:cs="Times New Roman"/>
          <w:sz w:val="24"/>
          <w:szCs w:val="24"/>
        </w:rPr>
        <w:t>however, it is possible that any</w:t>
      </w:r>
      <w:r w:rsidRPr="00873E6C">
        <w:rPr>
          <w:rFonts w:ascii="Times" w:hAnsi="Times" w:cs="Times New Roman"/>
          <w:sz w:val="24"/>
          <w:szCs w:val="24"/>
        </w:rPr>
        <w:t xml:space="preserve"> moderating effect of resource limitations </w:t>
      </w:r>
      <w:r w:rsidR="00B75EED">
        <w:rPr>
          <w:rFonts w:ascii="Times" w:hAnsi="Times" w:cs="Times New Roman"/>
          <w:sz w:val="24"/>
          <w:szCs w:val="24"/>
        </w:rPr>
        <w:t>will only</w:t>
      </w:r>
      <w:r w:rsidRPr="00873E6C">
        <w:rPr>
          <w:rFonts w:ascii="Times" w:hAnsi="Times" w:cs="Times New Roman"/>
          <w:sz w:val="24"/>
          <w:szCs w:val="24"/>
        </w:rPr>
        <w:t xml:space="preserve"> emerge at more advanced ages. SES in this population may also index factors other than resource availability that contribute to accelerated aging, such as less healthful diets or </w:t>
      </w:r>
      <w:r w:rsidR="00B75EED">
        <w:rPr>
          <w:rFonts w:ascii="Times" w:hAnsi="Times" w:cs="Times New Roman"/>
          <w:sz w:val="24"/>
          <w:szCs w:val="24"/>
        </w:rPr>
        <w:t xml:space="preserve">decreases in physical activity, although neither TL or </w:t>
      </w:r>
      <w:proofErr w:type="spellStart"/>
      <w:r w:rsidR="00B75EED">
        <w:rPr>
          <w:rFonts w:ascii="Times" w:hAnsi="Times" w:cs="Times New Roman"/>
          <w:sz w:val="24"/>
          <w:szCs w:val="24"/>
        </w:rPr>
        <w:t>DNAmAge</w:t>
      </w:r>
      <w:proofErr w:type="spellEnd"/>
      <w:r w:rsidR="00B75EED">
        <w:rPr>
          <w:rFonts w:ascii="Times" w:hAnsi="Times" w:cs="Times New Roman"/>
          <w:sz w:val="24"/>
          <w:szCs w:val="24"/>
        </w:rPr>
        <w:t xml:space="preserve"> were associated with SES in our models. </w:t>
      </w:r>
    </w:p>
    <w:p w:rsidR="00AE0EF4" w:rsidRDefault="00B75EED" w:rsidP="00E63E12">
      <w:pPr>
        <w:rPr>
          <w:rFonts w:ascii="Times" w:hAnsi="Times" w:cs="Times New Roman"/>
          <w:sz w:val="24"/>
          <w:szCs w:val="24"/>
        </w:rPr>
      </w:pPr>
      <w:r>
        <w:rPr>
          <w:rFonts w:ascii="Times" w:hAnsi="Times" w:cs="Times New Roman"/>
          <w:sz w:val="24"/>
          <w:szCs w:val="24"/>
        </w:rPr>
        <w:t xml:space="preserve">Importantly, neither measure of cellular senescence obtained in 2005 predicted parity over the subsequent 4 years (2005-2009). This argues against a life-history framework whereby ‘pace-of-living’ as captured by TL and </w:t>
      </w:r>
      <w:proofErr w:type="spellStart"/>
      <w:r>
        <w:rPr>
          <w:rFonts w:ascii="Times" w:hAnsi="Times" w:cs="Times New Roman"/>
          <w:sz w:val="24"/>
          <w:szCs w:val="24"/>
        </w:rPr>
        <w:t>DNAmAge</w:t>
      </w:r>
      <w:proofErr w:type="spellEnd"/>
      <w:r>
        <w:rPr>
          <w:rFonts w:ascii="Times" w:hAnsi="Times" w:cs="Times New Roman"/>
          <w:sz w:val="24"/>
          <w:szCs w:val="24"/>
        </w:rPr>
        <w:t xml:space="preserve"> </w:t>
      </w:r>
      <w:r w:rsidR="00AE0EF4">
        <w:rPr>
          <w:rFonts w:ascii="Times" w:hAnsi="Times" w:cs="Times New Roman"/>
          <w:sz w:val="24"/>
          <w:szCs w:val="24"/>
        </w:rPr>
        <w:t xml:space="preserve">is itself </w:t>
      </w:r>
      <w:r>
        <w:rPr>
          <w:rFonts w:ascii="Times" w:hAnsi="Times" w:cs="Times New Roman"/>
          <w:sz w:val="24"/>
          <w:szCs w:val="24"/>
        </w:rPr>
        <w:t xml:space="preserve">predictive of future fecundity. </w:t>
      </w:r>
      <w:r w:rsidR="00AE0EF4">
        <w:rPr>
          <w:rFonts w:ascii="Times" w:hAnsi="Times" w:cs="Times New Roman"/>
          <w:sz w:val="24"/>
          <w:szCs w:val="24"/>
        </w:rPr>
        <w:t xml:space="preserve">Intriguingly, currently </w:t>
      </w:r>
      <w:r w:rsidR="00AE0EF4" w:rsidRPr="00873E6C">
        <w:rPr>
          <w:rFonts w:ascii="Times" w:hAnsi="Times" w:cs="Times New Roman"/>
          <w:sz w:val="24"/>
          <w:szCs w:val="24"/>
        </w:rPr>
        <w:t>pregnant</w:t>
      </w:r>
      <w:r w:rsidR="00AE0EF4">
        <w:rPr>
          <w:rFonts w:ascii="Times" w:hAnsi="Times" w:cs="Times New Roman"/>
          <w:sz w:val="24"/>
          <w:szCs w:val="24"/>
        </w:rPr>
        <w:t xml:space="preserve"> women</w:t>
      </w:r>
      <w:r w:rsidR="00AE0EF4" w:rsidRPr="00873E6C">
        <w:rPr>
          <w:rFonts w:ascii="Times" w:hAnsi="Times" w:cs="Times New Roman"/>
          <w:sz w:val="24"/>
          <w:szCs w:val="24"/>
        </w:rPr>
        <w:t xml:space="preserve"> exhibited significantly </w:t>
      </w:r>
      <w:r w:rsidR="00AE0EF4">
        <w:rPr>
          <w:rFonts w:ascii="Times" w:hAnsi="Times" w:cs="Times New Roman"/>
          <w:sz w:val="24"/>
          <w:szCs w:val="24"/>
        </w:rPr>
        <w:t xml:space="preserve">‘younger’ </w:t>
      </w:r>
      <w:proofErr w:type="spellStart"/>
      <w:r w:rsidR="00AE0EF4" w:rsidRPr="00873E6C">
        <w:rPr>
          <w:rFonts w:ascii="Times" w:hAnsi="Times" w:cs="Times New Roman"/>
          <w:sz w:val="24"/>
          <w:szCs w:val="24"/>
        </w:rPr>
        <w:t>DNAmAge</w:t>
      </w:r>
      <w:proofErr w:type="spellEnd"/>
      <w:r w:rsidR="00AE0EF4" w:rsidRPr="00873E6C">
        <w:rPr>
          <w:rFonts w:ascii="Times" w:hAnsi="Times" w:cs="Times New Roman"/>
          <w:sz w:val="24"/>
          <w:szCs w:val="24"/>
        </w:rPr>
        <w:t xml:space="preserve">. These results could reflect the suite of </w:t>
      </w:r>
      <w:r w:rsidR="00AE0EF4">
        <w:rPr>
          <w:rFonts w:ascii="Times" w:hAnsi="Times" w:cs="Times New Roman"/>
          <w:sz w:val="24"/>
          <w:szCs w:val="24"/>
        </w:rPr>
        <w:t xml:space="preserve">immunological and </w:t>
      </w:r>
      <w:r w:rsidR="00AE0EF4" w:rsidRPr="00873E6C">
        <w:rPr>
          <w:rFonts w:ascii="Times" w:hAnsi="Times" w:cs="Times New Roman"/>
          <w:sz w:val="24"/>
          <w:szCs w:val="24"/>
        </w:rPr>
        <w:t xml:space="preserve">physiological shifts that occur during pregnancy, such as the protective effects of estrogens on </w:t>
      </w:r>
      <w:proofErr w:type="spellStart"/>
      <w:r w:rsidR="00AE0EF4" w:rsidRPr="00873E6C">
        <w:rPr>
          <w:rFonts w:ascii="Times" w:hAnsi="Times" w:cs="Times New Roman"/>
          <w:sz w:val="24"/>
          <w:szCs w:val="24"/>
        </w:rPr>
        <w:t>DNAmAge</w:t>
      </w:r>
      <w:proofErr w:type="spellEnd"/>
      <w:r w:rsidR="00AE0EF4" w:rsidRPr="00873E6C">
        <w:rPr>
          <w:rFonts w:ascii="Times" w:hAnsi="Times" w:cs="Times New Roman"/>
          <w:sz w:val="24"/>
          <w:szCs w:val="24"/>
        </w:rPr>
        <w:t xml:space="preserve"> </w:t>
      </w:r>
      <w:r w:rsidR="00E11235" w:rsidRPr="00873E6C">
        <w:rPr>
          <w:rFonts w:ascii="Times" w:hAnsi="Times" w:cs="Times New Roman"/>
          <w:sz w:val="24"/>
          <w:szCs w:val="24"/>
        </w:rPr>
        <w:fldChar w:fldCharType="begin"/>
      </w:r>
      <w:r w:rsidR="00AE0EF4" w:rsidRPr="00873E6C">
        <w:rPr>
          <w:rFonts w:ascii="Times" w:hAnsi="Times" w:cs="Times New Roman"/>
          <w:sz w:val="24"/>
          <w:szCs w:val="24"/>
        </w:rPr>
        <w:instrText xml:space="preserve"> ADDIN ZOTERO_ITEM CSL_CITATION {"citationID":"J07MniGr","properties":{"formattedCitation":"(57, 63)","plainCitation":"(57, 63)"},"citationItems":[{"id":8271,"uris":["http://zotero.org/users/451958/items/5NAKURPD"],"uri":["http://zotero.org/users/451958/items/5NAKURPD"],"itemData":{"id":8271,"type":"article-journal","title":"Epidemiological and Mendelian randomisation studies of dihydrotestosterone and estradiol, and leucocyte telomere length in men","container-title":"The Journal of Clinical Endocrinology &amp; Metabolism","page":"jc.2015-4139","author":[{"family":"Yeap","given":"Bu B."},{"family":"Knuiman","given":"Matthew W."},{"family":"Divitini","given":"Mark L."},{"family":"Hui","given":"Jennie"},{"family":"Arscott","given":"Gillian M."},{"family":"Handelsman","given":"David J."},{"family":"McLennan","given":"Susan V."},{"family":"Twigg","given":"Stephen M."},{"family":"McQuillan","given":"Brendan"},{"family":"Hung","given":"Joseph"},{"family":"Beilby","given":"John P."}],"issued":{"date-parts":[["2016"]]}}},{"id":6115,"uris":["http://zotero.org/users/451958/items/EDMFQZ7G"],"uri":["http://zotero.org/users/451958/items/EDMFQZ7G"],"itemData":{"id":6115,"type":"article-journal","title":"Menopause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E11235" w:rsidRPr="00873E6C">
        <w:rPr>
          <w:rFonts w:ascii="Times" w:hAnsi="Times" w:cs="Times New Roman"/>
          <w:sz w:val="24"/>
          <w:szCs w:val="24"/>
        </w:rPr>
        <w:fldChar w:fldCharType="separate"/>
      </w:r>
      <w:r w:rsidR="00AE0EF4" w:rsidRPr="00873E6C">
        <w:rPr>
          <w:rFonts w:ascii="Times" w:hAnsi="Times" w:cs="Times New Roman"/>
          <w:noProof/>
          <w:sz w:val="24"/>
          <w:szCs w:val="24"/>
        </w:rPr>
        <w:t>(57, 63)</w:t>
      </w:r>
      <w:r w:rsidR="00E11235" w:rsidRPr="00873E6C">
        <w:rPr>
          <w:rFonts w:ascii="Times" w:hAnsi="Times" w:cs="Times New Roman"/>
          <w:sz w:val="24"/>
          <w:szCs w:val="24"/>
        </w:rPr>
        <w:fldChar w:fldCharType="end"/>
      </w:r>
      <w:r w:rsidR="00AE0EF4">
        <w:rPr>
          <w:rFonts w:ascii="Times" w:hAnsi="Times" w:cs="Times New Roman"/>
          <w:sz w:val="24"/>
          <w:szCs w:val="24"/>
        </w:rPr>
        <w:t>REMOVE 63</w:t>
      </w:r>
      <w:r w:rsidR="00AE0EF4" w:rsidRPr="00873E6C">
        <w:rPr>
          <w:rFonts w:ascii="Times" w:hAnsi="Times" w:cs="Times New Roman"/>
          <w:sz w:val="24"/>
          <w:szCs w:val="24"/>
        </w:rPr>
        <w:t xml:space="preserve"> </w:t>
      </w:r>
      <w:r w:rsidR="00AE0EF4">
        <w:rPr>
          <w:rFonts w:ascii="Times" w:hAnsi="Times" w:cs="Times New Roman"/>
          <w:sz w:val="24"/>
          <w:szCs w:val="24"/>
        </w:rPr>
        <w:t xml:space="preserve">. Notably, </w:t>
      </w:r>
      <w:r w:rsidR="00AE0EF4" w:rsidRPr="00873E6C">
        <w:rPr>
          <w:rFonts w:ascii="Times" w:hAnsi="Times" w:cs="Times New Roman"/>
          <w:sz w:val="24"/>
          <w:szCs w:val="24"/>
        </w:rPr>
        <w:t>pregnancy status may be an important confounder to include in future studies investigating the costs of reproduction</w:t>
      </w:r>
      <w:r w:rsidR="00AE0EF4">
        <w:rPr>
          <w:rFonts w:ascii="Times" w:hAnsi="Times" w:cs="Times New Roman"/>
          <w:sz w:val="24"/>
          <w:szCs w:val="24"/>
        </w:rPr>
        <w:t xml:space="preserve"> in women</w:t>
      </w:r>
      <w:r w:rsidR="00AE0EF4" w:rsidRPr="00873E6C">
        <w:rPr>
          <w:rFonts w:ascii="Times" w:hAnsi="Times" w:cs="Times New Roman"/>
          <w:sz w:val="24"/>
          <w:szCs w:val="24"/>
        </w:rPr>
        <w:t>.</w:t>
      </w:r>
    </w:p>
    <w:p w:rsidR="00BF3BFA" w:rsidRDefault="0040750C" w:rsidP="00AE0EF4">
      <w:pPr>
        <w:rPr>
          <w:rFonts w:ascii="Times" w:hAnsi="Times" w:cs="Times New Roman"/>
          <w:sz w:val="24"/>
          <w:szCs w:val="24"/>
        </w:rPr>
      </w:pPr>
      <w:r>
        <w:rPr>
          <w:rFonts w:ascii="Times" w:hAnsi="Times" w:cs="Times New Roman"/>
          <w:sz w:val="24"/>
          <w:szCs w:val="24"/>
        </w:rPr>
        <w:t>Our findings, though relatively robust, should be considered in the context of several</w:t>
      </w:r>
      <w:r w:rsidR="00A01707">
        <w:rPr>
          <w:rFonts w:ascii="Times" w:hAnsi="Times" w:cs="Times New Roman"/>
          <w:sz w:val="24"/>
          <w:szCs w:val="24"/>
        </w:rPr>
        <w:t xml:space="preserve"> </w:t>
      </w:r>
      <w:r w:rsidR="00A20880">
        <w:rPr>
          <w:rFonts w:ascii="Times" w:hAnsi="Times" w:cs="Times New Roman"/>
          <w:sz w:val="24"/>
          <w:szCs w:val="24"/>
        </w:rPr>
        <w:t xml:space="preserve">limitations </w:t>
      </w:r>
      <w:r w:rsidR="00A01707">
        <w:rPr>
          <w:rFonts w:ascii="Times" w:hAnsi="Times" w:cs="Times New Roman"/>
          <w:sz w:val="24"/>
          <w:szCs w:val="24"/>
        </w:rPr>
        <w:t>inherent in</w:t>
      </w:r>
      <w:r w:rsidR="00A20880">
        <w:rPr>
          <w:rFonts w:ascii="Times" w:hAnsi="Times" w:cs="Times New Roman"/>
          <w:sz w:val="24"/>
          <w:szCs w:val="24"/>
        </w:rPr>
        <w:t xml:space="preserve"> our study. </w:t>
      </w:r>
      <w:r w:rsidR="00AE0EF4" w:rsidRPr="00873E6C">
        <w:rPr>
          <w:rFonts w:ascii="Times" w:hAnsi="Times" w:cs="Times New Roman"/>
          <w:sz w:val="24"/>
          <w:szCs w:val="24"/>
        </w:rPr>
        <w:t xml:space="preserve">While </w:t>
      </w:r>
      <w:r w:rsidR="00A01707">
        <w:rPr>
          <w:rFonts w:ascii="Times" w:hAnsi="Times" w:cs="Times New Roman"/>
          <w:sz w:val="24"/>
          <w:szCs w:val="24"/>
        </w:rPr>
        <w:t>we</w:t>
      </w:r>
      <w:r w:rsidR="00AE0EF4" w:rsidRPr="00873E6C">
        <w:rPr>
          <w:rFonts w:ascii="Times" w:hAnsi="Times" w:cs="Times New Roman"/>
          <w:sz w:val="24"/>
          <w:szCs w:val="24"/>
        </w:rPr>
        <w:t xml:space="preserve"> attempt to control for socio-ecological factors that could affect both parity and our biomarkers of aging, confounding arising from differences in health and/or resources remains a possibility. Although there was no </w:t>
      </w:r>
      <w:r w:rsidR="00A01707">
        <w:rPr>
          <w:rFonts w:ascii="Times" w:hAnsi="Times" w:cs="Times New Roman"/>
          <w:sz w:val="24"/>
          <w:szCs w:val="24"/>
        </w:rPr>
        <w:t xml:space="preserve">strong </w:t>
      </w:r>
      <w:r w:rsidR="00AE0EF4" w:rsidRPr="00873E6C">
        <w:rPr>
          <w:rFonts w:ascii="Times" w:hAnsi="Times" w:cs="Times New Roman"/>
          <w:sz w:val="24"/>
          <w:szCs w:val="24"/>
        </w:rPr>
        <w:t>evidence for confounding effects in our data, confounding may explain the slight decrease in effect size of parity between mod</w:t>
      </w:r>
      <w:r w:rsidR="00A01707">
        <w:rPr>
          <w:rFonts w:ascii="Times" w:hAnsi="Times" w:cs="Times New Roman"/>
          <w:sz w:val="24"/>
          <w:szCs w:val="24"/>
        </w:rPr>
        <w:t>els 1 and 2 (TL) and 5 and 6</w:t>
      </w:r>
      <w:r w:rsidR="00AE0EF4" w:rsidRPr="00873E6C">
        <w:rPr>
          <w:rFonts w:ascii="Times" w:hAnsi="Times" w:cs="Times New Roman"/>
          <w:sz w:val="24"/>
          <w:szCs w:val="24"/>
        </w:rPr>
        <w:t xml:space="preserve"> (</w:t>
      </w:r>
      <w:proofErr w:type="spellStart"/>
      <w:r w:rsidR="00AE0EF4" w:rsidRPr="00873E6C">
        <w:rPr>
          <w:rFonts w:ascii="Times" w:hAnsi="Times" w:cs="Times New Roman"/>
          <w:sz w:val="24"/>
          <w:szCs w:val="24"/>
        </w:rPr>
        <w:t>DNAmAge</w:t>
      </w:r>
      <w:proofErr w:type="spellEnd"/>
      <w:r w:rsidR="00AE0EF4" w:rsidRPr="00873E6C">
        <w:rPr>
          <w:rFonts w:ascii="Times" w:hAnsi="Times" w:cs="Times New Roman"/>
          <w:sz w:val="24"/>
          <w:szCs w:val="24"/>
        </w:rPr>
        <w:t xml:space="preserve">). Future studies employing a longitudinal measures of TL and </w:t>
      </w:r>
      <w:proofErr w:type="spellStart"/>
      <w:r w:rsidR="00AE0EF4" w:rsidRPr="00873E6C">
        <w:rPr>
          <w:rFonts w:ascii="Times" w:hAnsi="Times" w:cs="Times New Roman"/>
          <w:sz w:val="24"/>
          <w:szCs w:val="24"/>
        </w:rPr>
        <w:t>DNAmAge</w:t>
      </w:r>
      <w:proofErr w:type="spellEnd"/>
      <w:r w:rsidR="00AE0EF4" w:rsidRPr="00873E6C">
        <w:rPr>
          <w:rFonts w:ascii="Times" w:hAnsi="Times" w:cs="Times New Roman"/>
          <w:sz w:val="24"/>
          <w:szCs w:val="24"/>
        </w:rPr>
        <w:t xml:space="preserve"> acceleration would minimize the potential effects of such confounders </w:t>
      </w:r>
      <w:r w:rsidR="00E11235" w:rsidRPr="00873E6C">
        <w:rPr>
          <w:rFonts w:ascii="Times" w:hAnsi="Times" w:cs="Times New Roman"/>
          <w:sz w:val="24"/>
          <w:szCs w:val="24"/>
        </w:rPr>
        <w:fldChar w:fldCharType="begin"/>
      </w:r>
      <w:r w:rsidR="00AE0EF4" w:rsidRPr="00873E6C">
        <w:rPr>
          <w:rFonts w:ascii="Times" w:hAnsi="Times" w:cs="Times New Roman"/>
          <w:sz w:val="24"/>
          <w:szCs w:val="24"/>
        </w:rPr>
        <w:instrText xml:space="preserve"> ADDIN ZOTERO_ITEM CSL_CITATION {"citationID":"a11a59p38gm","properties":{"formattedCitation":"(79)","plainCitation":"(79)"},"citationItems":[{"id":415,"uris":["http://zotero.org/users/451958/items/VU2WH2K5"],"uri":["http://zotero.org/users/451958/items/VU2WH2K5"],"itemData":{"id":415,"type":"article-journal","title":"Acquisition and Allocation of Resources: Their Influence on Variation in Life History Tactics","container-title":"The American Naturalist","page":"137-142","volume":"128","issue":"1","source":"JSTOR","ISSN":"0003-0147","note":"ArticleType: research-article / Full publication date: Jul., 1986 / Copyright © 1986 The University of Chicago Press","shortTitle":"Acquisition and Allocation of Resources","author":[{"family":"Noordwijk","given":"A. J.","dropping-particle":"van"},{"family":"Jong","given":"G.","dropping-particle":"de"}],"issued":{"date-parts":[["1986",7,1]]}}}],"schema":"https://github.com/citation-style-language/schema/raw/master/csl-citation.json"} </w:instrText>
      </w:r>
      <w:r w:rsidR="00E11235" w:rsidRPr="00873E6C">
        <w:rPr>
          <w:rFonts w:ascii="Times" w:hAnsi="Times" w:cs="Times New Roman"/>
          <w:sz w:val="24"/>
          <w:szCs w:val="24"/>
        </w:rPr>
        <w:fldChar w:fldCharType="separate"/>
      </w:r>
      <w:r w:rsidR="00AE0EF4" w:rsidRPr="00873E6C">
        <w:rPr>
          <w:rFonts w:ascii="Times" w:hAnsi="Times" w:cs="Times New Roman"/>
          <w:noProof/>
          <w:sz w:val="24"/>
          <w:szCs w:val="24"/>
        </w:rPr>
        <w:t>(79)</w:t>
      </w:r>
      <w:r w:rsidR="00E11235" w:rsidRPr="00873E6C">
        <w:rPr>
          <w:rFonts w:ascii="Times" w:hAnsi="Times" w:cs="Times New Roman"/>
          <w:sz w:val="24"/>
          <w:szCs w:val="24"/>
        </w:rPr>
        <w:fldChar w:fldCharType="end"/>
      </w:r>
      <w:r w:rsidR="00AE0EF4" w:rsidRPr="00873E6C">
        <w:rPr>
          <w:rFonts w:ascii="Times" w:hAnsi="Times" w:cs="Times New Roman"/>
          <w:sz w:val="24"/>
          <w:szCs w:val="24"/>
        </w:rPr>
        <w:t xml:space="preserve">, while modeling lactation and other indices for reproductive effort might provide a more accurate estimate of the </w:t>
      </w:r>
      <w:proofErr w:type="spellStart"/>
      <w:r w:rsidR="00AE0EF4" w:rsidRPr="00873E6C">
        <w:rPr>
          <w:rFonts w:ascii="Times" w:hAnsi="Times" w:cs="Times New Roman"/>
          <w:sz w:val="24"/>
          <w:szCs w:val="24"/>
        </w:rPr>
        <w:t>CoR</w:t>
      </w:r>
      <w:proofErr w:type="spellEnd"/>
      <w:r w:rsidR="00AE0EF4" w:rsidRPr="00873E6C">
        <w:rPr>
          <w:rFonts w:ascii="Times" w:hAnsi="Times" w:cs="Times New Roman"/>
          <w:sz w:val="24"/>
          <w:szCs w:val="24"/>
        </w:rPr>
        <w:t xml:space="preserve"> </w:t>
      </w:r>
      <w:r w:rsidR="00E11235" w:rsidRPr="00873E6C">
        <w:rPr>
          <w:rFonts w:ascii="Times" w:hAnsi="Times" w:cs="Times New Roman"/>
          <w:sz w:val="24"/>
          <w:szCs w:val="24"/>
        </w:rPr>
        <w:fldChar w:fldCharType="begin"/>
      </w:r>
      <w:r w:rsidR="00AE0EF4" w:rsidRPr="00873E6C">
        <w:rPr>
          <w:rFonts w:ascii="Times" w:hAnsi="Times" w:cs="Times New Roman"/>
          <w:sz w:val="24"/>
          <w:szCs w:val="24"/>
        </w:rPr>
        <w:instrText xml:space="preserve"> ADDIN ZOTERO_ITEM CSL_CITATION {"citationID":"pSZucIUP","properties":{"formattedCitation":"(66, 80)","plainCitation":"(66, 80)"},"citationItems":[{"id":6770,"uris":["http://zotero.org/users/451958/items/JUGUGE4G"],"uri":["http://zotero.org/users/451958/items/JUGUGE4G"],"itemData":{"id":6770,"type":"article-journal","title":"Health costs of reproduction are minimal despite high fertility, mortality and subsistence lifestyle","container-title":"Scientific Reports","page":"30056","volume":"6","source":"CrossRef","DOI":"10.1038/srep30056","ISSN":"2045-2322","author":[{"family":"Gurven","given":"Michael"},{"family":"Costa","given":"Megan"},{"literal":"Ben Trumble"},{"family":"Stieglitz","given":"Jonathan"},{"family":"Beheim","given":"Bret"},{"family":"Eid Rodriguez","given":"Daniel"},{"family":"Hooper","given":"Paul L."},{"family":"Kaplan","given":"Hillard"}],"issued":{"date-parts":[["2016",7,20]]}}},{"id":8095,"uris":["http://zotero.org/users/451958/items/6HSC2IEN"],"uri":["http://zotero.org/users/451958/items/6HSC2IEN"],"itemData":{"id":8095,"type":"article-journal","title":"Accounting for measurement error in human life history trade-offs using structural equation modeling","container-title":"American Journal of Human Biology","page":"e23075","source":"CrossRef","DOI":"10.1002/ajhb.23075","ISSN":"10420533","language":"en","author":[{"family":"Helle","given":"Samuli"}],"issued":{"date-parts":[["2017",11,11]]}}}],"schema":"https://github.com/citation-style-language/schema/raw/master/csl-citation.json"} </w:instrText>
      </w:r>
      <w:r w:rsidR="00E11235" w:rsidRPr="00873E6C">
        <w:rPr>
          <w:rFonts w:ascii="Times" w:hAnsi="Times" w:cs="Times New Roman"/>
          <w:sz w:val="24"/>
          <w:szCs w:val="24"/>
        </w:rPr>
        <w:fldChar w:fldCharType="separate"/>
      </w:r>
      <w:r w:rsidR="00AE0EF4" w:rsidRPr="00873E6C">
        <w:rPr>
          <w:rFonts w:ascii="Times" w:hAnsi="Times" w:cs="Times New Roman"/>
          <w:noProof/>
          <w:sz w:val="24"/>
          <w:szCs w:val="24"/>
        </w:rPr>
        <w:t>(66, 80)</w:t>
      </w:r>
      <w:r w:rsidR="00E11235" w:rsidRPr="00873E6C">
        <w:rPr>
          <w:rFonts w:ascii="Times" w:hAnsi="Times" w:cs="Times New Roman"/>
          <w:sz w:val="24"/>
          <w:szCs w:val="24"/>
        </w:rPr>
        <w:fldChar w:fldCharType="end"/>
      </w:r>
      <w:r w:rsidR="00AE0EF4" w:rsidRPr="00873E6C">
        <w:rPr>
          <w:rFonts w:ascii="Times" w:hAnsi="Times" w:cs="Times New Roman"/>
          <w:sz w:val="24"/>
          <w:szCs w:val="24"/>
        </w:rPr>
        <w:t xml:space="preserve">. Finally, the women in this study all fell within a relatively narrow age range during young adulthood (20-22 years old). Because both TL and </w:t>
      </w:r>
      <w:proofErr w:type="spellStart"/>
      <w:r w:rsidR="00AE0EF4" w:rsidRPr="00873E6C">
        <w:rPr>
          <w:rFonts w:ascii="Times" w:hAnsi="Times" w:cs="Times New Roman"/>
          <w:sz w:val="24"/>
          <w:szCs w:val="24"/>
        </w:rPr>
        <w:t>DNAmAge</w:t>
      </w:r>
      <w:proofErr w:type="spellEnd"/>
      <w:r w:rsidR="00AE0EF4" w:rsidRPr="00873E6C">
        <w:rPr>
          <w:rFonts w:ascii="Times" w:hAnsi="Times" w:cs="Times New Roman"/>
          <w:sz w:val="24"/>
          <w:szCs w:val="24"/>
        </w:rPr>
        <w:t xml:space="preserve"> ‘age’ more rapidly early in adulthood </w:t>
      </w:r>
      <w:r w:rsidR="00E11235" w:rsidRPr="00873E6C">
        <w:rPr>
          <w:rFonts w:ascii="Times" w:hAnsi="Times" w:cs="Times New Roman"/>
          <w:sz w:val="24"/>
          <w:szCs w:val="24"/>
        </w:rPr>
        <w:fldChar w:fldCharType="begin"/>
      </w:r>
      <w:r w:rsidR="00AE0EF4" w:rsidRPr="00873E6C">
        <w:rPr>
          <w:rFonts w:ascii="Times" w:hAnsi="Times" w:cs="Times New Roman"/>
          <w:sz w:val="24"/>
          <w:szCs w:val="24"/>
        </w:rPr>
        <w:instrText xml:space="preserve"> ADDIN ZOTERO_ITEM CSL_CITATION {"citationID":"ar0kcrfsag","properties":{"formattedCitation":"(27, 71)","plainCitation":"(27, 71)"},"citationItems":[{"id":6478,"uris":["http://zotero.org/users/451958/items/PPBB3633"],"uri":["http://zotero.org/users/451958/items/PPBB3633"],"itemData":{"id":6478,"type":"article-journal","title":"DNA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label":"page"},{"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M."}],"issued":{"date-parts":[["1998"]]}},"label":"page"}],"schema":"https://github.com/citation-style-language/schema/raw/master/csl-citation.json"} </w:instrText>
      </w:r>
      <w:r w:rsidR="00E11235" w:rsidRPr="00873E6C">
        <w:rPr>
          <w:rFonts w:ascii="Times" w:hAnsi="Times" w:cs="Times New Roman"/>
          <w:sz w:val="24"/>
          <w:szCs w:val="24"/>
        </w:rPr>
        <w:fldChar w:fldCharType="separate"/>
      </w:r>
      <w:r w:rsidR="00AE0EF4" w:rsidRPr="00873E6C">
        <w:rPr>
          <w:rFonts w:ascii="Times" w:hAnsi="Times" w:cs="Times New Roman"/>
          <w:noProof/>
          <w:sz w:val="24"/>
          <w:szCs w:val="24"/>
        </w:rPr>
        <w:t>(27, 71)</w:t>
      </w:r>
      <w:r w:rsidR="00E11235" w:rsidRPr="00873E6C">
        <w:rPr>
          <w:rFonts w:ascii="Times" w:hAnsi="Times" w:cs="Times New Roman"/>
          <w:sz w:val="24"/>
          <w:szCs w:val="24"/>
        </w:rPr>
        <w:fldChar w:fldCharType="end"/>
      </w:r>
      <w:r w:rsidR="00AE0EF4" w:rsidRPr="00873E6C">
        <w:rPr>
          <w:rFonts w:ascii="Times" w:hAnsi="Times" w:cs="Times New Roman"/>
          <w:sz w:val="24"/>
          <w:szCs w:val="24"/>
        </w:rPr>
        <w:t xml:space="preserve">, it is possible that both measures are particularly sensitive to reproduction at this time. Multiple measures of TL and </w:t>
      </w:r>
      <w:proofErr w:type="spellStart"/>
      <w:r w:rsidR="00AE0EF4" w:rsidRPr="00873E6C">
        <w:rPr>
          <w:rFonts w:ascii="Times" w:hAnsi="Times" w:cs="Times New Roman"/>
          <w:sz w:val="24"/>
          <w:szCs w:val="24"/>
        </w:rPr>
        <w:t>DNAmAge</w:t>
      </w:r>
      <w:proofErr w:type="spellEnd"/>
      <w:r w:rsidR="00AE0EF4" w:rsidRPr="00873E6C">
        <w:rPr>
          <w:rFonts w:ascii="Times" w:hAnsi="Times" w:cs="Times New Roman"/>
          <w:sz w:val="24"/>
          <w:szCs w:val="24"/>
        </w:rPr>
        <w:t xml:space="preserve"> for each individual that capture the ‘pace’ of </w:t>
      </w:r>
      <w:r w:rsidR="00BF3BFA">
        <w:rPr>
          <w:rFonts w:ascii="Times" w:hAnsi="Times" w:cs="Times New Roman"/>
          <w:sz w:val="24"/>
          <w:szCs w:val="24"/>
        </w:rPr>
        <w:t xml:space="preserve">mitotic and non-mitotic cellular senescence </w:t>
      </w:r>
      <w:r w:rsidR="00AE0EF4" w:rsidRPr="00873E6C">
        <w:rPr>
          <w:rFonts w:ascii="Times" w:hAnsi="Times" w:cs="Times New Roman"/>
          <w:sz w:val="24"/>
          <w:szCs w:val="24"/>
        </w:rPr>
        <w:t>over time will again prove important to resolving such effects.</w:t>
      </w:r>
    </w:p>
    <w:p w:rsidR="00BF3BFA" w:rsidRPr="00873E6C" w:rsidRDefault="00BF3BFA" w:rsidP="00BF3BFA">
      <w:pPr>
        <w:rPr>
          <w:rFonts w:ascii="Times" w:hAnsi="Times" w:cs="Times New Roman"/>
          <w:sz w:val="24"/>
          <w:szCs w:val="24"/>
        </w:rPr>
      </w:pPr>
      <w:r w:rsidRPr="00873E6C">
        <w:rPr>
          <w:rFonts w:ascii="Times" w:hAnsi="Times" w:cs="Times New Roman"/>
          <w:sz w:val="24"/>
          <w:szCs w:val="24"/>
        </w:rPr>
        <w:t xml:space="preserve">In sum, </w:t>
      </w:r>
      <w:r>
        <w:rPr>
          <w:rFonts w:ascii="Times" w:hAnsi="Times" w:cs="Times New Roman"/>
          <w:sz w:val="24"/>
          <w:szCs w:val="24"/>
        </w:rPr>
        <w:t xml:space="preserve">our study suggests that </w:t>
      </w:r>
      <w:r w:rsidRPr="00873E6C">
        <w:rPr>
          <w:rFonts w:ascii="Times" w:hAnsi="Times" w:cs="Times New Roman"/>
          <w:sz w:val="24"/>
          <w:szCs w:val="24"/>
        </w:rPr>
        <w:t>parity is associated with shorter telomeres and epigenetic</w:t>
      </w:r>
      <w:r>
        <w:rPr>
          <w:rFonts w:ascii="Times" w:hAnsi="Times" w:cs="Times New Roman"/>
          <w:sz w:val="24"/>
          <w:szCs w:val="24"/>
        </w:rPr>
        <w:t xml:space="preserve"> age, measures of mitotic and non-mitotic aging, respectively,</w:t>
      </w:r>
      <w:r w:rsidRPr="00873E6C">
        <w:rPr>
          <w:rFonts w:ascii="Times" w:hAnsi="Times" w:cs="Times New Roman"/>
          <w:sz w:val="24"/>
          <w:szCs w:val="24"/>
        </w:rPr>
        <w:t xml:space="preserve"> among the young women in our sample. The consistent relationships between parity and aging in two distinct pathways—one reflecting cellular turnover and genomic stability, and the second a marker of </w:t>
      </w:r>
      <w:proofErr w:type="spellStart"/>
      <w:r w:rsidRPr="00873E6C">
        <w:rPr>
          <w:rFonts w:ascii="Times" w:hAnsi="Times" w:cs="Times New Roman"/>
          <w:sz w:val="24"/>
          <w:szCs w:val="24"/>
        </w:rPr>
        <w:t>epigenomic</w:t>
      </w:r>
      <w:proofErr w:type="spellEnd"/>
      <w:r w:rsidRPr="00873E6C">
        <w:rPr>
          <w:rFonts w:ascii="Times" w:hAnsi="Times" w:cs="Times New Roman"/>
          <w:sz w:val="24"/>
          <w:szCs w:val="24"/>
        </w:rPr>
        <w:t xml:space="preserve"> stability—</w:t>
      </w:r>
      <w:r>
        <w:rPr>
          <w:rFonts w:ascii="Times" w:hAnsi="Times" w:cs="Times New Roman"/>
          <w:sz w:val="24"/>
          <w:szCs w:val="24"/>
        </w:rPr>
        <w:t>support</w:t>
      </w:r>
      <w:r w:rsidRPr="00873E6C">
        <w:rPr>
          <w:rFonts w:ascii="Times" w:hAnsi="Times" w:cs="Times New Roman"/>
          <w:sz w:val="24"/>
          <w:szCs w:val="24"/>
        </w:rPr>
        <w:t xml:space="preserve"> a cost of reproduction</w:t>
      </w:r>
      <w:r>
        <w:rPr>
          <w:rFonts w:ascii="Times" w:hAnsi="Times" w:cs="Times New Roman"/>
          <w:sz w:val="24"/>
          <w:szCs w:val="24"/>
        </w:rPr>
        <w:t xml:space="preserve"> from pregnancy</w:t>
      </w:r>
      <w:r w:rsidRPr="00873E6C">
        <w:rPr>
          <w:rFonts w:ascii="Times" w:hAnsi="Times" w:cs="Times New Roman"/>
          <w:sz w:val="24"/>
          <w:szCs w:val="24"/>
        </w:rPr>
        <w:t xml:space="preserve"> in humans.</w:t>
      </w:r>
    </w:p>
    <w:p w:rsidR="00AE0EF4" w:rsidRPr="00873E6C" w:rsidRDefault="00AE0EF4" w:rsidP="00AE0EF4">
      <w:pPr>
        <w:rPr>
          <w:rFonts w:ascii="Times" w:hAnsi="Times" w:cs="Times New Roman"/>
          <w:sz w:val="24"/>
          <w:szCs w:val="24"/>
        </w:rPr>
      </w:pPr>
    </w:p>
    <w:p w:rsidR="00E63E12" w:rsidRPr="00DF7C98" w:rsidRDefault="00175753" w:rsidP="00E63E12">
      <w:pPr>
        <w:rPr>
          <w:rFonts w:ascii="Times" w:hAnsi="Times" w:cs="Times New Roman"/>
          <w:sz w:val="24"/>
          <w:szCs w:val="24"/>
        </w:rPr>
      </w:pPr>
      <w:r>
        <w:rPr>
          <w:rFonts w:ascii="Times" w:hAnsi="Times" w:cs="Times New Roman"/>
          <w:b/>
          <w:sz w:val="24"/>
          <w:szCs w:val="24"/>
        </w:rPr>
        <w:br w:type="page"/>
      </w:r>
      <w:r w:rsidR="00E63E12" w:rsidRPr="00873E6C">
        <w:rPr>
          <w:rFonts w:ascii="Times" w:hAnsi="Times" w:cs="Times New Roman"/>
          <w:b/>
          <w:sz w:val="24"/>
          <w:szCs w:val="24"/>
        </w:rPr>
        <w:t>References</w:t>
      </w:r>
    </w:p>
    <w:p w:rsidR="00E63E12" w:rsidRPr="00873E6C" w:rsidRDefault="00E11235" w:rsidP="00E63E12">
      <w:pPr>
        <w:pStyle w:val="Bibliography"/>
        <w:rPr>
          <w:rFonts w:ascii="Times" w:hAnsi="Times"/>
          <w:sz w:val="24"/>
        </w:rPr>
      </w:pPr>
      <w:r w:rsidRPr="00873E6C">
        <w:rPr>
          <w:rFonts w:ascii="Times" w:hAnsi="Times" w:cs="Times New Roman"/>
          <w:b/>
          <w:sz w:val="24"/>
          <w:szCs w:val="24"/>
        </w:rPr>
        <w:fldChar w:fldCharType="begin"/>
      </w:r>
      <w:r w:rsidR="00E63E12" w:rsidRPr="00873E6C">
        <w:rPr>
          <w:rFonts w:ascii="Times" w:hAnsi="Times" w:cs="Times New Roman"/>
          <w:b/>
          <w:sz w:val="24"/>
          <w:szCs w:val="24"/>
        </w:rPr>
        <w:instrText xml:space="preserve"> ADDIN ZOTERO_BIBL {"custom":[]} CSL_BIBLIOGRAPHY </w:instrText>
      </w:r>
      <w:r w:rsidRPr="00873E6C">
        <w:rPr>
          <w:rFonts w:ascii="Times" w:hAnsi="Times" w:cs="Times New Roman"/>
          <w:b/>
          <w:sz w:val="24"/>
          <w:szCs w:val="24"/>
        </w:rPr>
        <w:fldChar w:fldCharType="separate"/>
      </w:r>
      <w:r w:rsidR="00E63E12" w:rsidRPr="00873E6C">
        <w:rPr>
          <w:rFonts w:ascii="Times" w:hAnsi="Times"/>
          <w:sz w:val="24"/>
        </w:rPr>
        <w:t xml:space="preserve">1. </w:t>
      </w:r>
      <w:r w:rsidR="00E63E12" w:rsidRPr="00873E6C">
        <w:rPr>
          <w:rFonts w:ascii="Times" w:hAnsi="Times"/>
          <w:sz w:val="24"/>
        </w:rPr>
        <w:tab/>
        <w:t xml:space="preserve">Stearns SC (1992) </w:t>
      </w:r>
      <w:r w:rsidR="00E63E12" w:rsidRPr="00873E6C">
        <w:rPr>
          <w:rFonts w:ascii="Times" w:hAnsi="Times"/>
          <w:i/>
          <w:iCs/>
          <w:sz w:val="24"/>
        </w:rPr>
        <w:t>The Evolution of Life Histories</w:t>
      </w:r>
      <w:r w:rsidR="00E63E12" w:rsidRPr="00873E6C">
        <w:rPr>
          <w:rFonts w:ascii="Times" w:hAnsi="Times"/>
          <w:sz w:val="24"/>
        </w:rPr>
        <w:t xml:space="preserve"> (Oxford University Press, USA).</w:t>
      </w:r>
    </w:p>
    <w:p w:rsidR="00E63E12" w:rsidRPr="00873E6C" w:rsidRDefault="00E63E12" w:rsidP="00E63E12">
      <w:pPr>
        <w:pStyle w:val="Bibliography"/>
        <w:rPr>
          <w:rFonts w:ascii="Times" w:hAnsi="Times"/>
          <w:sz w:val="24"/>
        </w:rPr>
      </w:pPr>
      <w:r w:rsidRPr="00873E6C">
        <w:rPr>
          <w:rFonts w:ascii="Times" w:hAnsi="Times"/>
          <w:sz w:val="24"/>
        </w:rPr>
        <w:t xml:space="preserve">2. </w:t>
      </w:r>
      <w:r w:rsidRPr="00873E6C">
        <w:rPr>
          <w:rFonts w:ascii="Times" w:hAnsi="Times"/>
          <w:sz w:val="24"/>
        </w:rPr>
        <w:tab/>
        <w:t xml:space="preserve">Williams GC (1957) Pleiotropy, Natural Selection, and the Evolution of Senescence. </w:t>
      </w:r>
      <w:r w:rsidRPr="00873E6C">
        <w:rPr>
          <w:rFonts w:ascii="Times" w:hAnsi="Times"/>
          <w:i/>
          <w:iCs/>
          <w:sz w:val="24"/>
        </w:rPr>
        <w:t>Evolution</w:t>
      </w:r>
      <w:r w:rsidRPr="00873E6C">
        <w:rPr>
          <w:rFonts w:ascii="Times" w:hAnsi="Times"/>
          <w:sz w:val="24"/>
        </w:rPr>
        <w:t>:398–411.</w:t>
      </w:r>
    </w:p>
    <w:p w:rsidR="00E63E12" w:rsidRPr="00873E6C" w:rsidRDefault="00E63E12" w:rsidP="00E63E12">
      <w:pPr>
        <w:pStyle w:val="Bibliography"/>
        <w:rPr>
          <w:rFonts w:ascii="Times" w:hAnsi="Times"/>
          <w:sz w:val="24"/>
        </w:rPr>
      </w:pPr>
      <w:r w:rsidRPr="00873E6C">
        <w:rPr>
          <w:rFonts w:ascii="Times" w:hAnsi="Times"/>
          <w:sz w:val="24"/>
        </w:rPr>
        <w:t xml:space="preserve">3. </w:t>
      </w:r>
      <w:r w:rsidRPr="00873E6C">
        <w:rPr>
          <w:rFonts w:ascii="Times" w:hAnsi="Times"/>
          <w:sz w:val="24"/>
        </w:rPr>
        <w:tab/>
        <w:t xml:space="preserve">Kirkwood TBL (1977) Evolution of ageing. </w:t>
      </w:r>
      <w:r w:rsidRPr="00873E6C">
        <w:rPr>
          <w:rFonts w:ascii="Times" w:hAnsi="Times"/>
          <w:i/>
          <w:iCs/>
          <w:sz w:val="24"/>
        </w:rPr>
        <w:t>Nature</w:t>
      </w:r>
      <w:r w:rsidRPr="00873E6C">
        <w:rPr>
          <w:rFonts w:ascii="Times" w:hAnsi="Times"/>
          <w:sz w:val="24"/>
        </w:rPr>
        <w:t xml:space="preserve"> 270(5635):301–304.</w:t>
      </w:r>
    </w:p>
    <w:p w:rsidR="00E63E12" w:rsidRPr="00873E6C" w:rsidRDefault="00E63E12" w:rsidP="00E63E12">
      <w:pPr>
        <w:pStyle w:val="Bibliography"/>
        <w:rPr>
          <w:rFonts w:ascii="Times" w:hAnsi="Times"/>
          <w:sz w:val="24"/>
        </w:rPr>
      </w:pPr>
      <w:r w:rsidRPr="00873E6C">
        <w:rPr>
          <w:rFonts w:ascii="Times" w:hAnsi="Times"/>
          <w:sz w:val="24"/>
        </w:rPr>
        <w:t xml:space="preserve">4. </w:t>
      </w:r>
      <w:r w:rsidRPr="00873E6C">
        <w:rPr>
          <w:rFonts w:ascii="Times" w:hAnsi="Times"/>
          <w:sz w:val="24"/>
        </w:rPr>
        <w:tab/>
        <w:t xml:space="preserve">Maynard Smith J (1958) The Effects of Temperature and of Egg-Laying on the Longevity of Drosophila Subobscura. </w:t>
      </w:r>
      <w:r w:rsidRPr="00873E6C">
        <w:rPr>
          <w:rFonts w:ascii="Times" w:hAnsi="Times"/>
          <w:i/>
          <w:iCs/>
          <w:sz w:val="24"/>
        </w:rPr>
        <w:t>J Exp Biol</w:t>
      </w:r>
      <w:r w:rsidRPr="00873E6C">
        <w:rPr>
          <w:rFonts w:ascii="Times" w:hAnsi="Times"/>
          <w:sz w:val="24"/>
        </w:rPr>
        <w:t xml:space="preserve"> 35(4):832–842.</w:t>
      </w:r>
    </w:p>
    <w:p w:rsidR="00E63E12" w:rsidRPr="00873E6C" w:rsidRDefault="00E63E12" w:rsidP="00E63E12">
      <w:pPr>
        <w:pStyle w:val="Bibliography"/>
        <w:rPr>
          <w:rFonts w:ascii="Times" w:hAnsi="Times"/>
          <w:sz w:val="24"/>
        </w:rPr>
      </w:pPr>
      <w:r w:rsidRPr="00873E6C">
        <w:rPr>
          <w:rFonts w:ascii="Times" w:hAnsi="Times"/>
          <w:sz w:val="24"/>
        </w:rPr>
        <w:t xml:space="preserve">5. </w:t>
      </w:r>
      <w:r w:rsidRPr="00873E6C">
        <w:rPr>
          <w:rFonts w:ascii="Times" w:hAnsi="Times"/>
          <w:sz w:val="24"/>
        </w:rPr>
        <w:tab/>
        <w:t xml:space="preserve">Reznick D (1985) Costs of reproduction: an evaluation of the empirical evidence. </w:t>
      </w:r>
      <w:r w:rsidRPr="00873E6C">
        <w:rPr>
          <w:rFonts w:ascii="Times" w:hAnsi="Times"/>
          <w:i/>
          <w:iCs/>
          <w:sz w:val="24"/>
        </w:rPr>
        <w:t>Oikos</w:t>
      </w:r>
      <w:r w:rsidRPr="00873E6C">
        <w:rPr>
          <w:rFonts w:ascii="Times" w:hAnsi="Times"/>
          <w:sz w:val="24"/>
        </w:rPr>
        <w:t xml:space="preserve"> 44(2):257–267.</w:t>
      </w:r>
    </w:p>
    <w:p w:rsidR="00E63E12" w:rsidRPr="00873E6C" w:rsidRDefault="00E63E12" w:rsidP="00E63E12">
      <w:pPr>
        <w:pStyle w:val="Bibliography"/>
        <w:rPr>
          <w:rFonts w:ascii="Times" w:hAnsi="Times"/>
          <w:sz w:val="24"/>
        </w:rPr>
      </w:pPr>
      <w:r w:rsidRPr="00873E6C">
        <w:rPr>
          <w:rFonts w:ascii="Times" w:hAnsi="Times"/>
          <w:sz w:val="24"/>
        </w:rPr>
        <w:t xml:space="preserve">6. </w:t>
      </w:r>
      <w:r w:rsidRPr="00873E6C">
        <w:rPr>
          <w:rFonts w:ascii="Times" w:hAnsi="Times"/>
          <w:sz w:val="24"/>
        </w:rPr>
        <w:tab/>
        <w:t xml:space="preserve">Curtsinger JW, et al. (1995) Genetic variation and aging. </w:t>
      </w:r>
      <w:r w:rsidRPr="00873E6C">
        <w:rPr>
          <w:rFonts w:ascii="Times" w:hAnsi="Times"/>
          <w:i/>
          <w:iCs/>
          <w:sz w:val="24"/>
        </w:rPr>
        <w:t>Annu Rev Genet</w:t>
      </w:r>
      <w:r w:rsidRPr="00873E6C">
        <w:rPr>
          <w:rFonts w:ascii="Times" w:hAnsi="Times"/>
          <w:sz w:val="24"/>
        </w:rPr>
        <w:t xml:space="preserve"> 29(1):553–75.</w:t>
      </w:r>
    </w:p>
    <w:p w:rsidR="00E63E12" w:rsidRPr="00873E6C" w:rsidRDefault="00E63E12" w:rsidP="00E63E12">
      <w:pPr>
        <w:pStyle w:val="Bibliography"/>
        <w:rPr>
          <w:rFonts w:ascii="Times" w:hAnsi="Times"/>
          <w:sz w:val="24"/>
        </w:rPr>
      </w:pPr>
      <w:r w:rsidRPr="00873E6C">
        <w:rPr>
          <w:rFonts w:ascii="Times" w:hAnsi="Times"/>
          <w:sz w:val="24"/>
        </w:rPr>
        <w:t xml:space="preserve">7. </w:t>
      </w:r>
      <w:r w:rsidRPr="00873E6C">
        <w:rPr>
          <w:rFonts w:ascii="Times" w:hAnsi="Times"/>
          <w:sz w:val="24"/>
        </w:rPr>
        <w:tab/>
        <w:t xml:space="preserve">Rose MR, et al. (2002) Evolution of late-life mortality in drosophila melanogaster. </w:t>
      </w:r>
      <w:r w:rsidRPr="00873E6C">
        <w:rPr>
          <w:rFonts w:ascii="Times" w:hAnsi="Times"/>
          <w:i/>
          <w:iCs/>
          <w:sz w:val="24"/>
        </w:rPr>
        <w:t>Evolution</w:t>
      </w:r>
      <w:r w:rsidRPr="00873E6C">
        <w:rPr>
          <w:rFonts w:ascii="Times" w:hAnsi="Times"/>
          <w:sz w:val="24"/>
        </w:rPr>
        <w:t xml:space="preserve"> 56(10):1982–1991.</w:t>
      </w:r>
    </w:p>
    <w:p w:rsidR="00E63E12" w:rsidRPr="00873E6C" w:rsidRDefault="00E63E12" w:rsidP="00E63E12">
      <w:pPr>
        <w:pStyle w:val="Bibliography"/>
        <w:rPr>
          <w:rFonts w:ascii="Times" w:hAnsi="Times"/>
          <w:sz w:val="24"/>
        </w:rPr>
      </w:pPr>
      <w:r w:rsidRPr="00873E6C">
        <w:rPr>
          <w:rFonts w:ascii="Times" w:hAnsi="Times"/>
          <w:sz w:val="24"/>
        </w:rPr>
        <w:t xml:space="preserve">8. </w:t>
      </w:r>
      <w:r w:rsidRPr="00873E6C">
        <w:rPr>
          <w:rFonts w:ascii="Times" w:hAnsi="Times"/>
          <w:sz w:val="24"/>
        </w:rPr>
        <w:tab/>
        <w:t xml:space="preserve">Westendorp RGJ, Kirkwood TBL (1998) Human longevity at the cost of reproductive success. </w:t>
      </w:r>
      <w:r w:rsidRPr="00873E6C">
        <w:rPr>
          <w:rFonts w:ascii="Times" w:hAnsi="Times"/>
          <w:i/>
          <w:iCs/>
          <w:sz w:val="24"/>
        </w:rPr>
        <w:t>Nature</w:t>
      </w:r>
      <w:r w:rsidRPr="00873E6C">
        <w:rPr>
          <w:rFonts w:ascii="Times" w:hAnsi="Times"/>
          <w:sz w:val="24"/>
        </w:rPr>
        <w:t xml:space="preserve"> 396(6713):743–746.</w:t>
      </w:r>
    </w:p>
    <w:p w:rsidR="00E63E12" w:rsidRPr="00873E6C" w:rsidRDefault="00E63E12" w:rsidP="00E63E12">
      <w:pPr>
        <w:pStyle w:val="Bibliography"/>
        <w:rPr>
          <w:rFonts w:ascii="Times" w:hAnsi="Times"/>
          <w:sz w:val="24"/>
        </w:rPr>
      </w:pPr>
      <w:r w:rsidRPr="00873E6C">
        <w:rPr>
          <w:rFonts w:ascii="Times" w:hAnsi="Times"/>
          <w:sz w:val="24"/>
        </w:rPr>
        <w:t xml:space="preserve">9. </w:t>
      </w:r>
      <w:r w:rsidRPr="00873E6C">
        <w:rPr>
          <w:rFonts w:ascii="Times" w:hAnsi="Times"/>
          <w:sz w:val="24"/>
        </w:rPr>
        <w:tab/>
        <w:t xml:space="preserve">Doblhammer G, Oeppen J (2003) Reproduction and longevity among the British peerage: the effect of frailty and health selection. </w:t>
      </w:r>
      <w:r w:rsidRPr="00873E6C">
        <w:rPr>
          <w:rFonts w:ascii="Times" w:hAnsi="Times"/>
          <w:i/>
          <w:iCs/>
          <w:sz w:val="24"/>
        </w:rPr>
        <w:t>Proc R Soc Lond B Biol Sci</w:t>
      </w:r>
      <w:r w:rsidRPr="00873E6C">
        <w:rPr>
          <w:rFonts w:ascii="Times" w:hAnsi="Times"/>
          <w:sz w:val="24"/>
        </w:rPr>
        <w:t xml:space="preserve"> 270(1524):1541–1547.</w:t>
      </w:r>
    </w:p>
    <w:p w:rsidR="00E63E12" w:rsidRPr="00873E6C" w:rsidRDefault="00E63E12" w:rsidP="00E63E12">
      <w:pPr>
        <w:pStyle w:val="Bibliography"/>
        <w:rPr>
          <w:rFonts w:ascii="Times" w:hAnsi="Times"/>
          <w:sz w:val="24"/>
        </w:rPr>
      </w:pPr>
      <w:r w:rsidRPr="00873E6C">
        <w:rPr>
          <w:rFonts w:ascii="Times" w:hAnsi="Times"/>
          <w:sz w:val="24"/>
        </w:rPr>
        <w:t xml:space="preserve">10. </w:t>
      </w:r>
      <w:r w:rsidRPr="00873E6C">
        <w:rPr>
          <w:rFonts w:ascii="Times" w:hAnsi="Times"/>
          <w:sz w:val="24"/>
        </w:rPr>
        <w:tab/>
        <w:t xml:space="preserve">Penn DJ, Smith KR (2007) Differential fitness costs of reproduction between the sexes. </w:t>
      </w:r>
      <w:r w:rsidRPr="00873E6C">
        <w:rPr>
          <w:rFonts w:ascii="Times" w:hAnsi="Times"/>
          <w:i/>
          <w:iCs/>
          <w:sz w:val="24"/>
        </w:rPr>
        <w:t>Proc Natl Acad Sci</w:t>
      </w:r>
      <w:r w:rsidRPr="00873E6C">
        <w:rPr>
          <w:rFonts w:ascii="Times" w:hAnsi="Times"/>
          <w:sz w:val="24"/>
        </w:rPr>
        <w:t xml:space="preserve"> 104(2):553–558.</w:t>
      </w:r>
    </w:p>
    <w:p w:rsidR="00E63E12" w:rsidRPr="00873E6C" w:rsidRDefault="00E63E12" w:rsidP="00E63E12">
      <w:pPr>
        <w:pStyle w:val="Bibliography"/>
        <w:rPr>
          <w:rFonts w:ascii="Times" w:hAnsi="Times"/>
          <w:sz w:val="24"/>
        </w:rPr>
      </w:pPr>
      <w:r w:rsidRPr="00873E6C">
        <w:rPr>
          <w:rFonts w:ascii="Times" w:hAnsi="Times"/>
          <w:sz w:val="24"/>
        </w:rPr>
        <w:t xml:space="preserve">11. </w:t>
      </w:r>
      <w:r w:rsidRPr="00873E6C">
        <w:rPr>
          <w:rFonts w:ascii="Times" w:hAnsi="Times"/>
          <w:sz w:val="24"/>
        </w:rPr>
        <w:tab/>
        <w:t xml:space="preserve">Gagnon A, et al. (2009) Is there a trade-off between fertility and longevity? A comparative study of women from three large historical databases accounting for mortality selection. </w:t>
      </w:r>
      <w:r w:rsidRPr="00873E6C">
        <w:rPr>
          <w:rFonts w:ascii="Times" w:hAnsi="Times"/>
          <w:i/>
          <w:iCs/>
          <w:sz w:val="24"/>
        </w:rPr>
        <w:t>Am J Hum Biol</w:t>
      </w:r>
      <w:r w:rsidRPr="00873E6C">
        <w:rPr>
          <w:rFonts w:ascii="Times" w:hAnsi="Times"/>
          <w:sz w:val="24"/>
        </w:rPr>
        <w:t xml:space="preserve"> 21(4):533–540.</w:t>
      </w:r>
    </w:p>
    <w:p w:rsidR="00E63E12" w:rsidRPr="00873E6C" w:rsidRDefault="00E63E12" w:rsidP="00E63E12">
      <w:pPr>
        <w:pStyle w:val="Bibliography"/>
        <w:rPr>
          <w:rFonts w:ascii="Times" w:hAnsi="Times"/>
          <w:sz w:val="24"/>
        </w:rPr>
      </w:pPr>
      <w:r w:rsidRPr="00873E6C">
        <w:rPr>
          <w:rFonts w:ascii="Times" w:hAnsi="Times"/>
          <w:sz w:val="24"/>
        </w:rPr>
        <w:t xml:space="preserve">12. </w:t>
      </w:r>
      <w:r w:rsidRPr="00873E6C">
        <w:rPr>
          <w:rFonts w:ascii="Times" w:hAnsi="Times"/>
          <w:sz w:val="24"/>
        </w:rPr>
        <w:tab/>
        <w:t xml:space="preserve">Bolund E, Lummaa V, Smith KR, Hanson HA, Maklakov AA (2016) Reduced costs of reproduction in females mediate a shift from a male-biased to a female-biased lifespan in humans. </w:t>
      </w:r>
      <w:r w:rsidRPr="00873E6C">
        <w:rPr>
          <w:rFonts w:ascii="Times" w:hAnsi="Times"/>
          <w:i/>
          <w:iCs/>
          <w:sz w:val="24"/>
        </w:rPr>
        <w:t>Sci Rep</w:t>
      </w:r>
      <w:r w:rsidRPr="00873E6C">
        <w:rPr>
          <w:rFonts w:ascii="Times" w:hAnsi="Times"/>
          <w:sz w:val="24"/>
        </w:rPr>
        <w:t xml:space="preserve"> 6:24672.</w:t>
      </w:r>
    </w:p>
    <w:p w:rsidR="00E63E12" w:rsidRPr="00873E6C" w:rsidRDefault="00E63E12" w:rsidP="00E63E12">
      <w:pPr>
        <w:pStyle w:val="Bibliography"/>
        <w:rPr>
          <w:rFonts w:ascii="Times" w:hAnsi="Times"/>
          <w:sz w:val="24"/>
        </w:rPr>
      </w:pPr>
      <w:r w:rsidRPr="00873E6C">
        <w:rPr>
          <w:rFonts w:ascii="Times" w:hAnsi="Times"/>
          <w:sz w:val="24"/>
        </w:rPr>
        <w:t xml:space="preserve">13. </w:t>
      </w:r>
      <w:r w:rsidRPr="00873E6C">
        <w:rPr>
          <w:rFonts w:ascii="Times" w:hAnsi="Times"/>
          <w:sz w:val="24"/>
        </w:rPr>
        <w:tab/>
        <w:t xml:space="preserve">Le Bourg É (2007) Does reproduction decrease longevity in human beings? </w:t>
      </w:r>
      <w:r w:rsidRPr="00873E6C">
        <w:rPr>
          <w:rFonts w:ascii="Times" w:hAnsi="Times"/>
          <w:i/>
          <w:iCs/>
          <w:sz w:val="24"/>
        </w:rPr>
        <w:t>Ageing Res Rev</w:t>
      </w:r>
      <w:r w:rsidRPr="00873E6C">
        <w:rPr>
          <w:rFonts w:ascii="Times" w:hAnsi="Times"/>
          <w:sz w:val="24"/>
        </w:rPr>
        <w:t xml:space="preserve"> 6(2):141–149.</w:t>
      </w:r>
    </w:p>
    <w:p w:rsidR="00E63E12" w:rsidRPr="00873E6C" w:rsidRDefault="00E63E12" w:rsidP="00E63E12">
      <w:pPr>
        <w:pStyle w:val="Bibliography"/>
        <w:rPr>
          <w:rFonts w:ascii="Times" w:hAnsi="Times"/>
          <w:sz w:val="24"/>
        </w:rPr>
      </w:pPr>
      <w:r w:rsidRPr="00873E6C">
        <w:rPr>
          <w:rFonts w:ascii="Times" w:hAnsi="Times"/>
          <w:sz w:val="24"/>
        </w:rPr>
        <w:t xml:space="preserve">14. </w:t>
      </w:r>
      <w:r w:rsidRPr="00873E6C">
        <w:rPr>
          <w:rFonts w:ascii="Times" w:hAnsi="Times"/>
          <w:sz w:val="24"/>
        </w:rPr>
        <w:tab/>
        <w:t>Tracer DP (1991) Fertility</w:t>
      </w:r>
      <w:r w:rsidRPr="00873E6C">
        <w:rPr>
          <w:rFonts w:ascii="Noteworthy Light" w:hAnsi="Noteworthy Light" w:cs="Noteworthy Light"/>
          <w:sz w:val="24"/>
        </w:rPr>
        <w:t>‐</w:t>
      </w:r>
      <w:r w:rsidRPr="00873E6C">
        <w:rPr>
          <w:rFonts w:ascii="Times" w:hAnsi="Times"/>
          <w:sz w:val="24"/>
        </w:rPr>
        <w:t xml:space="preserve">related changes in maternal body composition among the au of Papua New Guinea. </w:t>
      </w:r>
      <w:r w:rsidRPr="00873E6C">
        <w:rPr>
          <w:rFonts w:ascii="Times" w:hAnsi="Times"/>
          <w:i/>
          <w:iCs/>
          <w:sz w:val="24"/>
        </w:rPr>
        <w:t>Am J Phys Anthropol</w:t>
      </w:r>
      <w:r w:rsidRPr="00873E6C">
        <w:rPr>
          <w:rFonts w:ascii="Times" w:hAnsi="Times"/>
          <w:sz w:val="24"/>
        </w:rPr>
        <w:t xml:space="preserve"> 85(4):393–405.</w:t>
      </w:r>
    </w:p>
    <w:p w:rsidR="00E63E12" w:rsidRPr="00873E6C" w:rsidRDefault="00E63E12" w:rsidP="00E63E12">
      <w:pPr>
        <w:pStyle w:val="Bibliography"/>
        <w:rPr>
          <w:rFonts w:ascii="Times" w:hAnsi="Times"/>
          <w:sz w:val="24"/>
        </w:rPr>
      </w:pPr>
      <w:r w:rsidRPr="00873E6C">
        <w:rPr>
          <w:rFonts w:ascii="Times" w:hAnsi="Times"/>
          <w:sz w:val="24"/>
        </w:rPr>
        <w:t xml:space="preserve">15. </w:t>
      </w:r>
      <w:r w:rsidRPr="00873E6C">
        <w:rPr>
          <w:rFonts w:ascii="Times" w:hAnsi="Times"/>
          <w:sz w:val="24"/>
        </w:rPr>
        <w:tab/>
        <w:t xml:space="preserve">Lycett JE, Dunbar RIM, Voland E (2000) Longevity and the costs of reproduction in a historical human population. </w:t>
      </w:r>
      <w:r w:rsidRPr="00873E6C">
        <w:rPr>
          <w:rFonts w:ascii="Times" w:hAnsi="Times"/>
          <w:i/>
          <w:iCs/>
          <w:sz w:val="24"/>
        </w:rPr>
        <w:t>Proc R Soc Lond B Biol Sci</w:t>
      </w:r>
      <w:r w:rsidRPr="00873E6C">
        <w:rPr>
          <w:rFonts w:ascii="Times" w:hAnsi="Times"/>
          <w:sz w:val="24"/>
        </w:rPr>
        <w:t xml:space="preserve"> 267(1438):31–35.</w:t>
      </w:r>
    </w:p>
    <w:p w:rsidR="00E63E12" w:rsidRPr="00873E6C" w:rsidRDefault="00E63E12" w:rsidP="00E63E12">
      <w:pPr>
        <w:pStyle w:val="Bibliography"/>
        <w:rPr>
          <w:rFonts w:ascii="Times" w:hAnsi="Times"/>
          <w:sz w:val="24"/>
        </w:rPr>
      </w:pPr>
      <w:r w:rsidRPr="00873E6C">
        <w:rPr>
          <w:rFonts w:ascii="Times" w:hAnsi="Times"/>
          <w:sz w:val="24"/>
        </w:rPr>
        <w:t xml:space="preserve">16. </w:t>
      </w:r>
      <w:r w:rsidRPr="00873E6C">
        <w:rPr>
          <w:rFonts w:ascii="Times" w:hAnsi="Times"/>
          <w:sz w:val="24"/>
        </w:rPr>
        <w:tab/>
        <w:t xml:space="preserve">Dribe M (2004) Long-term effects of childbearing on mortality: evidence from pre-industrial Sweden. </w:t>
      </w:r>
      <w:r w:rsidRPr="00873E6C">
        <w:rPr>
          <w:rFonts w:ascii="Times" w:hAnsi="Times"/>
          <w:i/>
          <w:iCs/>
          <w:sz w:val="24"/>
        </w:rPr>
        <w:t>Popul Stud</w:t>
      </w:r>
      <w:r w:rsidRPr="00873E6C">
        <w:rPr>
          <w:rFonts w:ascii="Times" w:hAnsi="Times"/>
          <w:sz w:val="24"/>
        </w:rPr>
        <w:t xml:space="preserve"> 58(3):297–310.</w:t>
      </w:r>
    </w:p>
    <w:p w:rsidR="00E63E12" w:rsidRPr="00873E6C" w:rsidRDefault="00E63E12" w:rsidP="00E63E12">
      <w:pPr>
        <w:pStyle w:val="Bibliography"/>
        <w:rPr>
          <w:rFonts w:ascii="Times" w:hAnsi="Times"/>
          <w:sz w:val="24"/>
        </w:rPr>
      </w:pPr>
      <w:r w:rsidRPr="00873E6C">
        <w:rPr>
          <w:rFonts w:ascii="Times" w:hAnsi="Times"/>
          <w:sz w:val="24"/>
        </w:rPr>
        <w:t xml:space="preserve">17. </w:t>
      </w:r>
      <w:r w:rsidRPr="00873E6C">
        <w:rPr>
          <w:rFonts w:ascii="Times" w:hAnsi="Times"/>
          <w:sz w:val="24"/>
        </w:rPr>
        <w:tab/>
        <w:t xml:space="preserve">Blackburn EH, Gall JG (1978) A tandemly repeated sequence at the termini of the extrachromosomal ribosomal RNA genes in Tetrahymena. </w:t>
      </w:r>
      <w:r w:rsidRPr="00873E6C">
        <w:rPr>
          <w:rFonts w:ascii="Times" w:hAnsi="Times"/>
          <w:i/>
          <w:iCs/>
          <w:sz w:val="24"/>
        </w:rPr>
        <w:t>J Mol Biol</w:t>
      </w:r>
      <w:r w:rsidRPr="00873E6C">
        <w:rPr>
          <w:rFonts w:ascii="Times" w:hAnsi="Times"/>
          <w:sz w:val="24"/>
        </w:rPr>
        <w:t xml:space="preserve"> 120(1):33–53.</w:t>
      </w:r>
    </w:p>
    <w:p w:rsidR="00E63E12" w:rsidRPr="00873E6C" w:rsidRDefault="00E63E12" w:rsidP="00E63E12">
      <w:pPr>
        <w:pStyle w:val="Bibliography"/>
        <w:rPr>
          <w:rFonts w:ascii="Times" w:hAnsi="Times"/>
          <w:sz w:val="24"/>
        </w:rPr>
      </w:pPr>
      <w:r w:rsidRPr="00873E6C">
        <w:rPr>
          <w:rFonts w:ascii="Times" w:hAnsi="Times"/>
          <w:sz w:val="24"/>
        </w:rPr>
        <w:t xml:space="preserve">18. </w:t>
      </w:r>
      <w:r w:rsidRPr="00873E6C">
        <w:rPr>
          <w:rFonts w:ascii="Times" w:hAnsi="Times"/>
          <w:sz w:val="24"/>
        </w:rPr>
        <w:tab/>
        <w:t xml:space="preserve">Meyne J, Ratliff RL, Moyzis RK (1989) Conservation of the human telomere sequence (TTAGGG)n among vertebrates. </w:t>
      </w:r>
      <w:r w:rsidRPr="00873E6C">
        <w:rPr>
          <w:rFonts w:ascii="Times" w:hAnsi="Times"/>
          <w:i/>
          <w:iCs/>
          <w:sz w:val="24"/>
        </w:rPr>
        <w:t>Proc Natl Acad Sci</w:t>
      </w:r>
      <w:r w:rsidRPr="00873E6C">
        <w:rPr>
          <w:rFonts w:ascii="Times" w:hAnsi="Times"/>
          <w:sz w:val="24"/>
        </w:rPr>
        <w:t xml:space="preserve"> 86(18):7049–53.</w:t>
      </w:r>
    </w:p>
    <w:p w:rsidR="00E63E12" w:rsidRPr="00873E6C" w:rsidRDefault="00E63E12" w:rsidP="00E63E12">
      <w:pPr>
        <w:pStyle w:val="Bibliography"/>
        <w:rPr>
          <w:rFonts w:ascii="Times" w:hAnsi="Times"/>
          <w:sz w:val="24"/>
        </w:rPr>
      </w:pPr>
      <w:r w:rsidRPr="00873E6C">
        <w:rPr>
          <w:rFonts w:ascii="Times" w:hAnsi="Times"/>
          <w:sz w:val="24"/>
        </w:rPr>
        <w:t xml:space="preserve">19. </w:t>
      </w:r>
      <w:r w:rsidRPr="00873E6C">
        <w:rPr>
          <w:rFonts w:ascii="Times" w:hAnsi="Times"/>
          <w:sz w:val="24"/>
        </w:rPr>
        <w:tab/>
        <w:t xml:space="preserve">Olovnikov AM (1971) Principle of marginotomy in template synthesis of polynucleotides. </w:t>
      </w:r>
      <w:r w:rsidRPr="00873E6C">
        <w:rPr>
          <w:rFonts w:ascii="Times" w:hAnsi="Times"/>
          <w:i/>
          <w:iCs/>
          <w:sz w:val="24"/>
        </w:rPr>
        <w:t>Dokl Akad Nauk SSSR</w:t>
      </w:r>
      <w:r w:rsidRPr="00873E6C">
        <w:rPr>
          <w:rFonts w:ascii="Times" w:hAnsi="Times"/>
          <w:sz w:val="24"/>
        </w:rPr>
        <w:t xml:space="preserve"> 201(6):1496–9.</w:t>
      </w:r>
    </w:p>
    <w:p w:rsidR="00E63E12" w:rsidRPr="00873E6C" w:rsidRDefault="00E63E12" w:rsidP="00E63E12">
      <w:pPr>
        <w:pStyle w:val="Bibliography"/>
        <w:rPr>
          <w:rFonts w:ascii="Times" w:hAnsi="Times"/>
          <w:sz w:val="24"/>
        </w:rPr>
      </w:pPr>
      <w:r w:rsidRPr="00873E6C">
        <w:rPr>
          <w:rFonts w:ascii="Times" w:hAnsi="Times"/>
          <w:sz w:val="24"/>
        </w:rPr>
        <w:t xml:space="preserve">20. </w:t>
      </w:r>
      <w:r w:rsidRPr="00873E6C">
        <w:rPr>
          <w:rFonts w:ascii="Times" w:hAnsi="Times"/>
          <w:sz w:val="24"/>
        </w:rPr>
        <w:tab/>
        <w:t xml:space="preserve">Harley CB, Futcher AB, Greider CW (1990) Telomeres shorten during ageing of human fibroblasts. </w:t>
      </w:r>
      <w:r w:rsidRPr="00873E6C">
        <w:rPr>
          <w:rFonts w:ascii="Times" w:hAnsi="Times"/>
          <w:i/>
          <w:iCs/>
          <w:sz w:val="24"/>
        </w:rPr>
        <w:t>Nature</w:t>
      </w:r>
      <w:r w:rsidRPr="00873E6C">
        <w:rPr>
          <w:rFonts w:ascii="Times" w:hAnsi="Times"/>
          <w:sz w:val="24"/>
        </w:rPr>
        <w:t xml:space="preserve"> 345(6274):458–460.</w:t>
      </w:r>
    </w:p>
    <w:p w:rsidR="00E63E12" w:rsidRPr="00873E6C" w:rsidRDefault="00E63E12" w:rsidP="00E63E12">
      <w:pPr>
        <w:pStyle w:val="Bibliography"/>
        <w:rPr>
          <w:rFonts w:ascii="Times" w:hAnsi="Times"/>
          <w:sz w:val="24"/>
        </w:rPr>
      </w:pPr>
      <w:r w:rsidRPr="00873E6C">
        <w:rPr>
          <w:rFonts w:ascii="Times" w:hAnsi="Times"/>
          <w:sz w:val="24"/>
        </w:rPr>
        <w:t xml:space="preserve">21. </w:t>
      </w:r>
      <w:r w:rsidRPr="00873E6C">
        <w:rPr>
          <w:rFonts w:ascii="Times" w:hAnsi="Times"/>
          <w:sz w:val="24"/>
        </w:rPr>
        <w:tab/>
        <w:t xml:space="preserve">Richter T, Zglinicki T (2007) A continuous correlation between oxidative stress and telomere shortening in fibroblasts. </w:t>
      </w:r>
      <w:r w:rsidRPr="00873E6C">
        <w:rPr>
          <w:rFonts w:ascii="Times" w:hAnsi="Times"/>
          <w:i/>
          <w:iCs/>
          <w:sz w:val="24"/>
        </w:rPr>
        <w:t>Exp Gerontol</w:t>
      </w:r>
      <w:r w:rsidRPr="00873E6C">
        <w:rPr>
          <w:rFonts w:ascii="Times" w:hAnsi="Times"/>
          <w:sz w:val="24"/>
        </w:rPr>
        <w:t xml:space="preserve"> 42(11):1039–1042.</w:t>
      </w:r>
    </w:p>
    <w:p w:rsidR="00E63E12" w:rsidRPr="00873E6C" w:rsidRDefault="00E63E12" w:rsidP="00E63E12">
      <w:pPr>
        <w:pStyle w:val="Bibliography"/>
        <w:rPr>
          <w:rFonts w:ascii="Times" w:hAnsi="Times"/>
          <w:sz w:val="24"/>
        </w:rPr>
      </w:pPr>
      <w:r w:rsidRPr="00873E6C">
        <w:rPr>
          <w:rFonts w:ascii="Times" w:hAnsi="Times"/>
          <w:sz w:val="24"/>
        </w:rPr>
        <w:t xml:space="preserve">22. </w:t>
      </w:r>
      <w:r w:rsidRPr="00873E6C">
        <w:rPr>
          <w:rFonts w:ascii="Times" w:hAnsi="Times"/>
          <w:sz w:val="24"/>
        </w:rPr>
        <w:tab/>
        <w:t xml:space="preserve">Cawthon RM, Smith KR, O’Brien E, Sivatchenko A, Kerber RA (2003) Association between telomere length in blood and mortality in people aged 60 years or older. </w:t>
      </w:r>
      <w:r w:rsidRPr="00873E6C">
        <w:rPr>
          <w:rFonts w:ascii="Times" w:hAnsi="Times"/>
          <w:i/>
          <w:iCs/>
          <w:sz w:val="24"/>
        </w:rPr>
        <w:t>The Lancet</w:t>
      </w:r>
      <w:r w:rsidRPr="00873E6C">
        <w:rPr>
          <w:rFonts w:ascii="Times" w:hAnsi="Times"/>
          <w:sz w:val="24"/>
        </w:rPr>
        <w:t xml:space="preserve"> 361(9355):393–395.</w:t>
      </w:r>
    </w:p>
    <w:p w:rsidR="00E63E12" w:rsidRPr="00873E6C" w:rsidRDefault="00E63E12" w:rsidP="00E63E12">
      <w:pPr>
        <w:pStyle w:val="Bibliography"/>
        <w:rPr>
          <w:rFonts w:ascii="Times" w:hAnsi="Times"/>
          <w:sz w:val="24"/>
        </w:rPr>
      </w:pPr>
      <w:r w:rsidRPr="00873E6C">
        <w:rPr>
          <w:rFonts w:ascii="Times" w:hAnsi="Times"/>
          <w:sz w:val="24"/>
        </w:rPr>
        <w:t xml:space="preserve">23. </w:t>
      </w:r>
      <w:r w:rsidRPr="00873E6C">
        <w:rPr>
          <w:rFonts w:ascii="Times" w:hAnsi="Times"/>
          <w:sz w:val="24"/>
        </w:rPr>
        <w:tab/>
        <w:t xml:space="preserve">Bakaysa SL, et al. (2007) Telomere length predicts survival independent of genetic influences. </w:t>
      </w:r>
      <w:r w:rsidRPr="00873E6C">
        <w:rPr>
          <w:rFonts w:ascii="Times" w:hAnsi="Times"/>
          <w:i/>
          <w:iCs/>
          <w:sz w:val="24"/>
        </w:rPr>
        <w:t>Aging Cell</w:t>
      </w:r>
      <w:r w:rsidRPr="00873E6C">
        <w:rPr>
          <w:rFonts w:ascii="Times" w:hAnsi="Times"/>
          <w:sz w:val="24"/>
        </w:rPr>
        <w:t xml:space="preserve"> 6(6):769–74.</w:t>
      </w:r>
    </w:p>
    <w:p w:rsidR="00E63E12" w:rsidRPr="00873E6C" w:rsidRDefault="00E63E12" w:rsidP="00E63E12">
      <w:pPr>
        <w:pStyle w:val="Bibliography"/>
        <w:rPr>
          <w:rFonts w:ascii="Times" w:hAnsi="Times"/>
          <w:sz w:val="24"/>
        </w:rPr>
      </w:pPr>
      <w:r w:rsidRPr="00873E6C">
        <w:rPr>
          <w:rFonts w:ascii="Times" w:hAnsi="Times"/>
          <w:sz w:val="24"/>
        </w:rPr>
        <w:t xml:space="preserve">24. </w:t>
      </w:r>
      <w:r w:rsidRPr="00873E6C">
        <w:rPr>
          <w:rFonts w:ascii="Times" w:hAnsi="Times"/>
          <w:sz w:val="24"/>
        </w:rPr>
        <w:tab/>
        <w:t xml:space="preserve">Kimura M, et al. (2008) Telomere length and mortality: a study of leukocytes in elderly Danish twins. </w:t>
      </w:r>
      <w:r w:rsidRPr="00873E6C">
        <w:rPr>
          <w:rFonts w:ascii="Times" w:hAnsi="Times"/>
          <w:i/>
          <w:iCs/>
          <w:sz w:val="24"/>
        </w:rPr>
        <w:t>Am J Epidemiol</w:t>
      </w:r>
      <w:r w:rsidRPr="00873E6C">
        <w:rPr>
          <w:rFonts w:ascii="Times" w:hAnsi="Times"/>
          <w:sz w:val="24"/>
        </w:rPr>
        <w:t xml:space="preserve"> 167(7):799–806.</w:t>
      </w:r>
    </w:p>
    <w:p w:rsidR="00E63E12" w:rsidRPr="00873E6C" w:rsidRDefault="00E63E12" w:rsidP="00E63E12">
      <w:pPr>
        <w:pStyle w:val="Bibliography"/>
        <w:rPr>
          <w:rFonts w:ascii="Times" w:hAnsi="Times"/>
          <w:sz w:val="24"/>
        </w:rPr>
      </w:pPr>
      <w:r w:rsidRPr="00873E6C">
        <w:rPr>
          <w:rFonts w:ascii="Times" w:hAnsi="Times"/>
          <w:sz w:val="24"/>
        </w:rPr>
        <w:t xml:space="preserve">25. </w:t>
      </w:r>
      <w:r w:rsidRPr="00873E6C">
        <w:rPr>
          <w:rFonts w:ascii="Times" w:hAnsi="Times"/>
          <w:sz w:val="24"/>
        </w:rPr>
        <w:tab/>
        <w:t xml:space="preserve">Haycock PC, et al. (2014) Leucocyte telomere length and risk of cardiovascular disease: systematic review and meta-analysis. </w:t>
      </w:r>
      <w:r w:rsidRPr="00873E6C">
        <w:rPr>
          <w:rFonts w:ascii="Times" w:hAnsi="Times"/>
          <w:i/>
          <w:iCs/>
          <w:sz w:val="24"/>
        </w:rPr>
        <w:t>BMJ</w:t>
      </w:r>
      <w:r w:rsidRPr="00873E6C">
        <w:rPr>
          <w:rFonts w:ascii="Times" w:hAnsi="Times"/>
          <w:sz w:val="24"/>
        </w:rPr>
        <w:t xml:space="preserve"> 349:g4227.</w:t>
      </w:r>
    </w:p>
    <w:p w:rsidR="00E63E12" w:rsidRPr="00873E6C" w:rsidRDefault="00E63E12" w:rsidP="00E63E12">
      <w:pPr>
        <w:pStyle w:val="Bibliography"/>
        <w:rPr>
          <w:rFonts w:ascii="Times" w:hAnsi="Times"/>
          <w:sz w:val="24"/>
        </w:rPr>
      </w:pPr>
      <w:r w:rsidRPr="00873E6C">
        <w:rPr>
          <w:rFonts w:ascii="Times" w:hAnsi="Times"/>
          <w:sz w:val="24"/>
        </w:rPr>
        <w:t xml:space="preserve">26. </w:t>
      </w:r>
      <w:r w:rsidRPr="00873E6C">
        <w:rPr>
          <w:rFonts w:ascii="Times" w:hAnsi="Times"/>
          <w:sz w:val="24"/>
        </w:rPr>
        <w:tab/>
        <w:t xml:space="preserve">Jones MJ, Goodman SJ, Kobor MS (2015) DNA methylation and healthy human aging. </w:t>
      </w:r>
      <w:r w:rsidRPr="00873E6C">
        <w:rPr>
          <w:rFonts w:ascii="Times" w:hAnsi="Times"/>
          <w:i/>
          <w:iCs/>
          <w:sz w:val="24"/>
        </w:rPr>
        <w:t>Aging Cell</w:t>
      </w:r>
      <w:r w:rsidRPr="00873E6C">
        <w:rPr>
          <w:rFonts w:ascii="Times" w:hAnsi="Times"/>
          <w:sz w:val="24"/>
        </w:rPr>
        <w:t xml:space="preserve"> 14(6):924–932.</w:t>
      </w:r>
    </w:p>
    <w:p w:rsidR="00E63E12" w:rsidRPr="00873E6C" w:rsidRDefault="00E63E12" w:rsidP="00E63E12">
      <w:pPr>
        <w:pStyle w:val="Bibliography"/>
        <w:rPr>
          <w:rFonts w:ascii="Times" w:hAnsi="Times"/>
          <w:sz w:val="24"/>
        </w:rPr>
      </w:pPr>
      <w:r w:rsidRPr="00873E6C">
        <w:rPr>
          <w:rFonts w:ascii="Times" w:hAnsi="Times"/>
          <w:sz w:val="24"/>
        </w:rPr>
        <w:t xml:space="preserve">27. </w:t>
      </w:r>
      <w:r w:rsidRPr="00873E6C">
        <w:rPr>
          <w:rFonts w:ascii="Times" w:hAnsi="Times"/>
          <w:sz w:val="24"/>
        </w:rPr>
        <w:tab/>
        <w:t xml:space="preserve">Horvath S (2013) DNA methylation age of human tissues and cell types. </w:t>
      </w:r>
      <w:r w:rsidRPr="00873E6C">
        <w:rPr>
          <w:rFonts w:ascii="Times" w:hAnsi="Times"/>
          <w:i/>
          <w:iCs/>
          <w:sz w:val="24"/>
        </w:rPr>
        <w:t>Genome Biol</w:t>
      </w:r>
      <w:r w:rsidRPr="00873E6C">
        <w:rPr>
          <w:rFonts w:ascii="Times" w:hAnsi="Times"/>
          <w:sz w:val="24"/>
        </w:rPr>
        <w:t xml:space="preserve"> 14:3156.</w:t>
      </w:r>
    </w:p>
    <w:p w:rsidR="00E63E12" w:rsidRPr="00873E6C" w:rsidRDefault="00E63E12" w:rsidP="00E63E12">
      <w:pPr>
        <w:pStyle w:val="Bibliography"/>
        <w:rPr>
          <w:rFonts w:ascii="Times" w:hAnsi="Times"/>
          <w:sz w:val="24"/>
        </w:rPr>
      </w:pPr>
      <w:r w:rsidRPr="00873E6C">
        <w:rPr>
          <w:rFonts w:ascii="Times" w:hAnsi="Times"/>
          <w:sz w:val="24"/>
        </w:rPr>
        <w:t xml:space="preserve">28. </w:t>
      </w:r>
      <w:r w:rsidRPr="00873E6C">
        <w:rPr>
          <w:rFonts w:ascii="Times" w:hAnsi="Times"/>
          <w:sz w:val="24"/>
        </w:rPr>
        <w:tab/>
        <w:t xml:space="preserve">Marioni RE, et al. (2015) DNA methylation age of blood predicts all-cause mortality in later life. </w:t>
      </w:r>
      <w:r w:rsidRPr="00873E6C">
        <w:rPr>
          <w:rFonts w:ascii="Times" w:hAnsi="Times"/>
          <w:i/>
          <w:iCs/>
          <w:sz w:val="24"/>
        </w:rPr>
        <w:t>Genome Biol</w:t>
      </w:r>
      <w:r w:rsidRPr="00873E6C">
        <w:rPr>
          <w:rFonts w:ascii="Times" w:hAnsi="Times"/>
          <w:sz w:val="24"/>
        </w:rPr>
        <w:t xml:space="preserve"> 16(1):25.</w:t>
      </w:r>
    </w:p>
    <w:p w:rsidR="00E63E12" w:rsidRPr="00873E6C" w:rsidRDefault="00E63E12" w:rsidP="00E63E12">
      <w:pPr>
        <w:pStyle w:val="Bibliography"/>
        <w:rPr>
          <w:rFonts w:ascii="Times" w:hAnsi="Times"/>
          <w:sz w:val="24"/>
        </w:rPr>
      </w:pPr>
      <w:r w:rsidRPr="00873E6C">
        <w:rPr>
          <w:rFonts w:ascii="Times" w:hAnsi="Times"/>
          <w:sz w:val="24"/>
        </w:rPr>
        <w:t xml:space="preserve">29. </w:t>
      </w:r>
      <w:r w:rsidRPr="00873E6C">
        <w:rPr>
          <w:rFonts w:ascii="Times" w:hAnsi="Times"/>
          <w:sz w:val="24"/>
        </w:rPr>
        <w:tab/>
        <w:t xml:space="preserve">Chen BH, et al. (2016) DNA methylation-based measures of biological age: meta-analysis predicting time to death. </w:t>
      </w:r>
      <w:r w:rsidRPr="00873E6C">
        <w:rPr>
          <w:rFonts w:ascii="Times" w:hAnsi="Times"/>
          <w:i/>
          <w:iCs/>
          <w:sz w:val="24"/>
        </w:rPr>
        <w:t>Aging</w:t>
      </w:r>
      <w:r w:rsidRPr="00873E6C">
        <w:rPr>
          <w:rFonts w:ascii="Times" w:hAnsi="Times"/>
          <w:sz w:val="24"/>
        </w:rPr>
        <w:t xml:space="preserve"> 8(9):1844.</w:t>
      </w:r>
    </w:p>
    <w:p w:rsidR="00E63E12" w:rsidRPr="00873E6C" w:rsidRDefault="00E63E12" w:rsidP="00E63E12">
      <w:pPr>
        <w:pStyle w:val="Bibliography"/>
        <w:rPr>
          <w:rFonts w:ascii="Times" w:hAnsi="Times"/>
          <w:sz w:val="24"/>
        </w:rPr>
      </w:pPr>
      <w:r w:rsidRPr="00873E6C">
        <w:rPr>
          <w:rFonts w:ascii="Times" w:hAnsi="Times"/>
          <w:sz w:val="24"/>
        </w:rPr>
        <w:t xml:space="preserve">30. </w:t>
      </w:r>
      <w:r w:rsidRPr="00873E6C">
        <w:rPr>
          <w:rFonts w:ascii="Times" w:hAnsi="Times"/>
          <w:sz w:val="24"/>
        </w:rPr>
        <w:tab/>
        <w:t xml:space="preserve">Christiansen L, et al. (2016) DNA methylation age is associated with mortality in a longitudinal Danish twin study. </w:t>
      </w:r>
      <w:r w:rsidRPr="00873E6C">
        <w:rPr>
          <w:rFonts w:ascii="Times" w:hAnsi="Times"/>
          <w:i/>
          <w:iCs/>
          <w:sz w:val="24"/>
        </w:rPr>
        <w:t>Aging Cell</w:t>
      </w:r>
      <w:r w:rsidRPr="00873E6C">
        <w:rPr>
          <w:rFonts w:ascii="Times" w:hAnsi="Times"/>
          <w:sz w:val="24"/>
        </w:rPr>
        <w:t xml:space="preserve"> 15(1):149–154.</w:t>
      </w:r>
    </w:p>
    <w:p w:rsidR="00E63E12" w:rsidRPr="00873E6C" w:rsidRDefault="00E63E12" w:rsidP="00E63E12">
      <w:pPr>
        <w:pStyle w:val="Bibliography"/>
        <w:rPr>
          <w:rFonts w:ascii="Times" w:hAnsi="Times"/>
          <w:sz w:val="24"/>
        </w:rPr>
      </w:pPr>
      <w:r w:rsidRPr="00873E6C">
        <w:rPr>
          <w:rFonts w:ascii="Times" w:hAnsi="Times"/>
          <w:sz w:val="24"/>
        </w:rPr>
        <w:t xml:space="preserve">31. </w:t>
      </w:r>
      <w:r w:rsidRPr="00873E6C">
        <w:rPr>
          <w:rFonts w:ascii="Times" w:hAnsi="Times"/>
          <w:sz w:val="24"/>
        </w:rPr>
        <w:tab/>
        <w:t xml:space="preserve">Lowe D, Horvath S, Raj K (2016) Epigenetic clock analyses of cellular senescence and ageing. </w:t>
      </w:r>
      <w:r w:rsidRPr="00873E6C">
        <w:rPr>
          <w:rFonts w:ascii="Times" w:hAnsi="Times"/>
          <w:i/>
          <w:iCs/>
          <w:sz w:val="24"/>
        </w:rPr>
        <w:t>Oncotarget</w:t>
      </w:r>
      <w:r w:rsidRPr="00873E6C">
        <w:rPr>
          <w:rFonts w:ascii="Times" w:hAnsi="Times"/>
          <w:sz w:val="24"/>
        </w:rPr>
        <w:t xml:space="preserve"> 7(8):8524.</w:t>
      </w:r>
    </w:p>
    <w:p w:rsidR="00E63E12" w:rsidRPr="00873E6C" w:rsidRDefault="00E63E12" w:rsidP="00E63E12">
      <w:pPr>
        <w:pStyle w:val="Bibliography"/>
        <w:rPr>
          <w:rFonts w:ascii="Times" w:hAnsi="Times"/>
          <w:sz w:val="24"/>
        </w:rPr>
      </w:pPr>
      <w:r w:rsidRPr="00873E6C">
        <w:rPr>
          <w:rFonts w:ascii="Times" w:hAnsi="Times"/>
          <w:sz w:val="24"/>
        </w:rPr>
        <w:t xml:space="preserve">32. </w:t>
      </w:r>
      <w:r w:rsidRPr="00873E6C">
        <w:rPr>
          <w:rFonts w:ascii="Times" w:hAnsi="Times"/>
          <w:sz w:val="24"/>
        </w:rPr>
        <w:tab/>
        <w:t xml:space="preserve">Marioni RE, et al. (2016) The epigenetic clock and telomere length are independently associated with chronological age and mortality. </w:t>
      </w:r>
      <w:r w:rsidRPr="00873E6C">
        <w:rPr>
          <w:rFonts w:ascii="Times" w:hAnsi="Times"/>
          <w:i/>
          <w:iCs/>
          <w:sz w:val="24"/>
        </w:rPr>
        <w:t>Int J Epidemiol</w:t>
      </w:r>
      <w:r w:rsidRPr="00873E6C">
        <w:rPr>
          <w:rFonts w:ascii="Times" w:hAnsi="Times"/>
          <w:sz w:val="24"/>
        </w:rPr>
        <w:t>:dyw041.</w:t>
      </w:r>
    </w:p>
    <w:p w:rsidR="00E63E12" w:rsidRPr="00873E6C" w:rsidRDefault="00E63E12" w:rsidP="00E63E12">
      <w:pPr>
        <w:pStyle w:val="Bibliography"/>
        <w:rPr>
          <w:rFonts w:ascii="Times" w:hAnsi="Times"/>
          <w:sz w:val="24"/>
        </w:rPr>
      </w:pPr>
      <w:r w:rsidRPr="00873E6C">
        <w:rPr>
          <w:rFonts w:ascii="Times" w:hAnsi="Times"/>
          <w:sz w:val="24"/>
        </w:rPr>
        <w:t xml:space="preserve">33. </w:t>
      </w:r>
      <w:r w:rsidRPr="00873E6C">
        <w:rPr>
          <w:rFonts w:ascii="Times" w:hAnsi="Times"/>
          <w:sz w:val="24"/>
        </w:rPr>
        <w:tab/>
        <w:t xml:space="preserve">Horvath S, et al. (2015) Decreased epigenetic age of PBMCs from Italian semi-supercentenarians and their offspring. </w:t>
      </w:r>
      <w:r w:rsidRPr="00873E6C">
        <w:rPr>
          <w:rFonts w:ascii="Times" w:hAnsi="Times"/>
          <w:i/>
          <w:iCs/>
          <w:sz w:val="24"/>
        </w:rPr>
        <w:t>Aging</w:t>
      </w:r>
      <w:r w:rsidRPr="00873E6C">
        <w:rPr>
          <w:rFonts w:ascii="Times" w:hAnsi="Times"/>
          <w:sz w:val="24"/>
        </w:rPr>
        <w:t xml:space="preserve"> 7(12):1159.</w:t>
      </w:r>
    </w:p>
    <w:p w:rsidR="00E63E12" w:rsidRPr="00873E6C" w:rsidRDefault="00E63E12" w:rsidP="00E63E12">
      <w:pPr>
        <w:pStyle w:val="Bibliography"/>
        <w:rPr>
          <w:rFonts w:ascii="Times" w:hAnsi="Times"/>
          <w:sz w:val="24"/>
        </w:rPr>
      </w:pPr>
      <w:r w:rsidRPr="00873E6C">
        <w:rPr>
          <w:rFonts w:ascii="Times" w:hAnsi="Times"/>
          <w:sz w:val="24"/>
        </w:rPr>
        <w:t xml:space="preserve">34. </w:t>
      </w:r>
      <w:r w:rsidRPr="00873E6C">
        <w:rPr>
          <w:rFonts w:ascii="Times" w:hAnsi="Times"/>
          <w:sz w:val="24"/>
        </w:rPr>
        <w:tab/>
        <w:t xml:space="preserve">Hjelmborg JB, et al. (2015) The heritability of leucocyte telomere length dynamics. </w:t>
      </w:r>
      <w:r w:rsidRPr="00873E6C">
        <w:rPr>
          <w:rFonts w:ascii="Times" w:hAnsi="Times"/>
          <w:i/>
          <w:iCs/>
          <w:sz w:val="24"/>
        </w:rPr>
        <w:t>J Med Genet</w:t>
      </w:r>
      <w:r w:rsidRPr="00873E6C">
        <w:rPr>
          <w:rFonts w:ascii="Times" w:hAnsi="Times"/>
          <w:sz w:val="24"/>
        </w:rPr>
        <w:t xml:space="preserve"> 52(5):297–302.</w:t>
      </w:r>
    </w:p>
    <w:p w:rsidR="00E63E12" w:rsidRPr="00873E6C" w:rsidRDefault="00E63E12" w:rsidP="00E63E12">
      <w:pPr>
        <w:pStyle w:val="Bibliography"/>
        <w:rPr>
          <w:rFonts w:ascii="Times" w:hAnsi="Times"/>
          <w:sz w:val="24"/>
        </w:rPr>
      </w:pPr>
      <w:r w:rsidRPr="00873E6C">
        <w:rPr>
          <w:rFonts w:ascii="Times" w:hAnsi="Times"/>
          <w:sz w:val="24"/>
        </w:rPr>
        <w:t xml:space="preserve">35. </w:t>
      </w:r>
      <w:r w:rsidRPr="00873E6C">
        <w:rPr>
          <w:rFonts w:ascii="Times" w:hAnsi="Times"/>
          <w:sz w:val="24"/>
        </w:rPr>
        <w:tab/>
        <w:t xml:space="preserve">Honig LS, et al. (2015) Heritability of telomere length in a study of long-lived families. </w:t>
      </w:r>
      <w:r w:rsidRPr="00873E6C">
        <w:rPr>
          <w:rFonts w:ascii="Times" w:hAnsi="Times"/>
          <w:i/>
          <w:iCs/>
          <w:sz w:val="24"/>
        </w:rPr>
        <w:t>Neurobiol Aging</w:t>
      </w:r>
      <w:r w:rsidRPr="00873E6C">
        <w:rPr>
          <w:rFonts w:ascii="Times" w:hAnsi="Times"/>
          <w:sz w:val="24"/>
        </w:rPr>
        <w:t xml:space="preserve"> 36(10):2785–2790.</w:t>
      </w:r>
    </w:p>
    <w:p w:rsidR="00E63E12" w:rsidRPr="00873E6C" w:rsidRDefault="00E63E12" w:rsidP="00E63E12">
      <w:pPr>
        <w:pStyle w:val="Bibliography"/>
        <w:rPr>
          <w:rFonts w:ascii="Times" w:hAnsi="Times"/>
          <w:sz w:val="24"/>
        </w:rPr>
      </w:pPr>
      <w:r w:rsidRPr="00873E6C">
        <w:rPr>
          <w:rFonts w:ascii="Times" w:hAnsi="Times"/>
          <w:sz w:val="24"/>
        </w:rPr>
        <w:t xml:space="preserve">36. </w:t>
      </w:r>
      <w:r w:rsidRPr="00873E6C">
        <w:rPr>
          <w:rFonts w:ascii="Times" w:hAnsi="Times"/>
          <w:sz w:val="24"/>
        </w:rPr>
        <w:tab/>
        <w:t xml:space="preserve">Simons RL, et al. (2016) Economic hardship and biological weathering: The epigenetics of aging in a U.S. sample of black women. </w:t>
      </w:r>
      <w:r w:rsidRPr="00873E6C">
        <w:rPr>
          <w:rFonts w:ascii="Times" w:hAnsi="Times"/>
          <w:i/>
          <w:iCs/>
          <w:sz w:val="24"/>
        </w:rPr>
        <w:t>Soc Sci Med</w:t>
      </w:r>
      <w:r w:rsidRPr="00873E6C">
        <w:rPr>
          <w:rFonts w:ascii="Times" w:hAnsi="Times"/>
          <w:sz w:val="24"/>
        </w:rPr>
        <w:t xml:space="preserve"> 150:192–200.</w:t>
      </w:r>
    </w:p>
    <w:p w:rsidR="00E63E12" w:rsidRPr="00873E6C" w:rsidRDefault="00E63E12" w:rsidP="00E63E12">
      <w:pPr>
        <w:pStyle w:val="Bibliography"/>
        <w:rPr>
          <w:rFonts w:ascii="Times" w:hAnsi="Times"/>
          <w:sz w:val="24"/>
        </w:rPr>
      </w:pPr>
      <w:r w:rsidRPr="00873E6C">
        <w:rPr>
          <w:rFonts w:ascii="Times" w:hAnsi="Times"/>
          <w:sz w:val="24"/>
        </w:rPr>
        <w:t xml:space="preserve">37. </w:t>
      </w:r>
      <w:r w:rsidRPr="00873E6C">
        <w:rPr>
          <w:rFonts w:ascii="Times" w:hAnsi="Times"/>
          <w:sz w:val="24"/>
        </w:rPr>
        <w:tab/>
        <w:t xml:space="preserve">Miller GE, Yu T, Chen E, Brody GH (2015) Self-control forecasts better psychosocial outcomes but faster epigenetic aging in low-SES youth. </w:t>
      </w:r>
      <w:r w:rsidRPr="00873E6C">
        <w:rPr>
          <w:rFonts w:ascii="Times" w:hAnsi="Times"/>
          <w:i/>
          <w:iCs/>
          <w:sz w:val="24"/>
        </w:rPr>
        <w:t>Proc Natl Acad Sci</w:t>
      </w:r>
      <w:r w:rsidRPr="00873E6C">
        <w:rPr>
          <w:rFonts w:ascii="Times" w:hAnsi="Times"/>
          <w:sz w:val="24"/>
        </w:rPr>
        <w:t xml:space="preserve"> 112(33):10325–10330.</w:t>
      </w:r>
    </w:p>
    <w:p w:rsidR="00E63E12" w:rsidRPr="00873E6C" w:rsidRDefault="00E63E12" w:rsidP="00E63E12">
      <w:pPr>
        <w:pStyle w:val="Bibliography"/>
        <w:rPr>
          <w:rFonts w:ascii="Times" w:hAnsi="Times"/>
          <w:sz w:val="24"/>
        </w:rPr>
      </w:pPr>
      <w:r w:rsidRPr="00873E6C">
        <w:rPr>
          <w:rFonts w:ascii="Times" w:hAnsi="Times"/>
          <w:sz w:val="24"/>
        </w:rPr>
        <w:t xml:space="preserve">38. </w:t>
      </w:r>
      <w:r w:rsidRPr="00873E6C">
        <w:rPr>
          <w:rFonts w:ascii="Times" w:hAnsi="Times"/>
          <w:sz w:val="24"/>
        </w:rPr>
        <w:tab/>
        <w:t xml:space="preserve">Boks MP, et al. (2015) Longitudinal changes of telomere length and epigenetic age related to traumatic stress and post-traumatic stress disorder. </w:t>
      </w:r>
      <w:r w:rsidRPr="00873E6C">
        <w:rPr>
          <w:rFonts w:ascii="Times" w:hAnsi="Times"/>
          <w:i/>
          <w:iCs/>
          <w:sz w:val="24"/>
        </w:rPr>
        <w:t>Psychoneuroendocrinology</w:t>
      </w:r>
      <w:r w:rsidRPr="00873E6C">
        <w:rPr>
          <w:rFonts w:ascii="Times" w:hAnsi="Times"/>
          <w:sz w:val="24"/>
        </w:rPr>
        <w:t xml:space="preserve"> 51:506–512.</w:t>
      </w:r>
    </w:p>
    <w:p w:rsidR="00E63E12" w:rsidRPr="00873E6C" w:rsidRDefault="00E63E12" w:rsidP="00E63E12">
      <w:pPr>
        <w:pStyle w:val="Bibliography"/>
        <w:rPr>
          <w:rFonts w:ascii="Times" w:hAnsi="Times"/>
          <w:sz w:val="24"/>
        </w:rPr>
      </w:pPr>
      <w:r w:rsidRPr="00873E6C">
        <w:rPr>
          <w:rFonts w:ascii="Times" w:hAnsi="Times"/>
          <w:sz w:val="24"/>
        </w:rPr>
        <w:t xml:space="preserve">39. </w:t>
      </w:r>
      <w:r w:rsidRPr="00873E6C">
        <w:rPr>
          <w:rFonts w:ascii="Times" w:hAnsi="Times"/>
          <w:sz w:val="24"/>
        </w:rPr>
        <w:tab/>
        <w:t xml:space="preserve">Zannas AS, et al. (2015) Lifetime stress accelerates epigenetic aging in an urban, African American cohort: relevance of glucocorticoid signaling. </w:t>
      </w:r>
      <w:r w:rsidRPr="00873E6C">
        <w:rPr>
          <w:rFonts w:ascii="Times" w:hAnsi="Times"/>
          <w:i/>
          <w:iCs/>
          <w:sz w:val="24"/>
        </w:rPr>
        <w:t>Genome Biol</w:t>
      </w:r>
      <w:r w:rsidRPr="00873E6C">
        <w:rPr>
          <w:rFonts w:ascii="Times" w:hAnsi="Times"/>
          <w:sz w:val="24"/>
        </w:rPr>
        <w:t xml:space="preserve"> 16(1):266.</w:t>
      </w:r>
    </w:p>
    <w:p w:rsidR="00E63E12" w:rsidRPr="00873E6C" w:rsidRDefault="00E63E12" w:rsidP="00E63E12">
      <w:pPr>
        <w:pStyle w:val="Bibliography"/>
        <w:rPr>
          <w:rFonts w:ascii="Times" w:hAnsi="Times"/>
          <w:sz w:val="24"/>
        </w:rPr>
      </w:pPr>
      <w:r w:rsidRPr="00873E6C">
        <w:rPr>
          <w:rFonts w:ascii="Times" w:hAnsi="Times"/>
          <w:sz w:val="24"/>
        </w:rPr>
        <w:t xml:space="preserve">40. </w:t>
      </w:r>
      <w:r w:rsidRPr="00873E6C">
        <w:rPr>
          <w:rFonts w:ascii="Times" w:hAnsi="Times"/>
          <w:sz w:val="24"/>
        </w:rPr>
        <w:tab/>
        <w:t xml:space="preserve">Horvath S, Levine AJ (2015) HIV-1 Infection Accelerates Age According to the Epigenetic Clock. </w:t>
      </w:r>
      <w:r w:rsidRPr="00873E6C">
        <w:rPr>
          <w:rFonts w:ascii="Times" w:hAnsi="Times"/>
          <w:i/>
          <w:iCs/>
          <w:sz w:val="24"/>
        </w:rPr>
        <w:t>J Infect Dis</w:t>
      </w:r>
      <w:r w:rsidRPr="00873E6C">
        <w:rPr>
          <w:rFonts w:ascii="Times" w:hAnsi="Times"/>
          <w:sz w:val="24"/>
        </w:rPr>
        <w:t xml:space="preserve"> 212(10):1563–1573.</w:t>
      </w:r>
    </w:p>
    <w:p w:rsidR="00E63E12" w:rsidRPr="00873E6C" w:rsidRDefault="00E63E12" w:rsidP="00E63E12">
      <w:pPr>
        <w:pStyle w:val="Bibliography"/>
        <w:rPr>
          <w:rFonts w:ascii="Times" w:hAnsi="Times"/>
          <w:sz w:val="24"/>
        </w:rPr>
      </w:pPr>
      <w:r w:rsidRPr="00873E6C">
        <w:rPr>
          <w:rFonts w:ascii="Times" w:hAnsi="Times"/>
          <w:sz w:val="24"/>
        </w:rPr>
        <w:t xml:space="preserve">41. </w:t>
      </w:r>
      <w:r w:rsidRPr="00873E6C">
        <w:rPr>
          <w:rFonts w:ascii="Times" w:hAnsi="Times"/>
          <w:sz w:val="24"/>
        </w:rPr>
        <w:tab/>
        <w:t xml:space="preserve">Jasienska G (2009) Reproduction and lifespan: Trade-offs, overall energy budgets, intergenerational costs, and costs neglected by research. </w:t>
      </w:r>
      <w:r w:rsidRPr="00873E6C">
        <w:rPr>
          <w:rFonts w:ascii="Times" w:hAnsi="Times"/>
          <w:i/>
          <w:iCs/>
          <w:sz w:val="24"/>
        </w:rPr>
        <w:t>Am J Hum Biol</w:t>
      </w:r>
      <w:r w:rsidRPr="00873E6C">
        <w:rPr>
          <w:rFonts w:ascii="Times" w:hAnsi="Times"/>
          <w:sz w:val="24"/>
        </w:rPr>
        <w:t xml:space="preserve"> 21(4):524–532.</w:t>
      </w:r>
    </w:p>
    <w:p w:rsidR="00E63E12" w:rsidRPr="00873E6C" w:rsidRDefault="00E63E12" w:rsidP="00E63E12">
      <w:pPr>
        <w:pStyle w:val="Bibliography"/>
        <w:rPr>
          <w:rFonts w:ascii="Times" w:hAnsi="Times"/>
          <w:sz w:val="24"/>
        </w:rPr>
      </w:pPr>
      <w:r w:rsidRPr="00873E6C">
        <w:rPr>
          <w:rFonts w:ascii="Times" w:hAnsi="Times"/>
          <w:sz w:val="24"/>
        </w:rPr>
        <w:t xml:space="preserve">42. </w:t>
      </w:r>
      <w:r w:rsidRPr="00873E6C">
        <w:rPr>
          <w:rFonts w:ascii="Times" w:hAnsi="Times"/>
          <w:sz w:val="24"/>
        </w:rPr>
        <w:tab/>
        <w:t xml:space="preserve">Speakman J, Król E (2005) Limits to sustained energy intake IX: a review of hypotheses. </w:t>
      </w:r>
      <w:r w:rsidRPr="00873E6C">
        <w:rPr>
          <w:rFonts w:ascii="Times" w:hAnsi="Times"/>
          <w:i/>
          <w:iCs/>
          <w:sz w:val="24"/>
        </w:rPr>
        <w:t>J Comp Physiol [B]</w:t>
      </w:r>
      <w:r w:rsidRPr="00873E6C">
        <w:rPr>
          <w:rFonts w:ascii="Times" w:hAnsi="Times"/>
          <w:sz w:val="24"/>
        </w:rPr>
        <w:t xml:space="preserve"> 175(6):375–394.</w:t>
      </w:r>
    </w:p>
    <w:p w:rsidR="00E63E12" w:rsidRPr="00873E6C" w:rsidRDefault="00E63E12" w:rsidP="00E63E12">
      <w:pPr>
        <w:pStyle w:val="Bibliography"/>
        <w:rPr>
          <w:rFonts w:ascii="Times" w:hAnsi="Times"/>
          <w:sz w:val="24"/>
        </w:rPr>
      </w:pPr>
      <w:r w:rsidRPr="00873E6C">
        <w:rPr>
          <w:rFonts w:ascii="Times" w:hAnsi="Times"/>
          <w:sz w:val="24"/>
        </w:rPr>
        <w:t xml:space="preserve">43. </w:t>
      </w:r>
      <w:r w:rsidRPr="00873E6C">
        <w:rPr>
          <w:rFonts w:ascii="Times" w:hAnsi="Times"/>
          <w:sz w:val="24"/>
        </w:rPr>
        <w:tab/>
        <w:t xml:space="preserve">Lurie S, Rahamim E, Piper I, Golan A, Sadan O (2008) Total and differential leukocyte counts percentiles in normal pregnancy. </w:t>
      </w:r>
      <w:r w:rsidRPr="00873E6C">
        <w:rPr>
          <w:rFonts w:ascii="Times" w:hAnsi="Times"/>
          <w:i/>
          <w:iCs/>
          <w:sz w:val="24"/>
        </w:rPr>
        <w:t>Eur J Obstet Gynecol Reprod Biol</w:t>
      </w:r>
      <w:r w:rsidRPr="00873E6C">
        <w:rPr>
          <w:rFonts w:ascii="Times" w:hAnsi="Times"/>
          <w:sz w:val="24"/>
        </w:rPr>
        <w:t xml:space="preserve"> 136(1):16–19.</w:t>
      </w:r>
    </w:p>
    <w:p w:rsidR="00E63E12" w:rsidRPr="00873E6C" w:rsidRDefault="00E63E12" w:rsidP="00E63E12">
      <w:pPr>
        <w:pStyle w:val="Bibliography"/>
        <w:rPr>
          <w:rFonts w:ascii="Times" w:hAnsi="Times"/>
          <w:sz w:val="24"/>
        </w:rPr>
      </w:pPr>
      <w:r w:rsidRPr="00873E6C">
        <w:rPr>
          <w:rFonts w:ascii="Times" w:hAnsi="Times"/>
          <w:sz w:val="24"/>
        </w:rPr>
        <w:t xml:space="preserve">44. </w:t>
      </w:r>
      <w:r w:rsidRPr="00873E6C">
        <w:rPr>
          <w:rFonts w:ascii="Times" w:hAnsi="Times"/>
          <w:sz w:val="24"/>
        </w:rPr>
        <w:tab/>
        <w:t xml:space="preserve">Bauer KA (2014) Hematologic changes in pregnancy. </w:t>
      </w:r>
      <w:r w:rsidRPr="00873E6C">
        <w:rPr>
          <w:rFonts w:ascii="Times" w:hAnsi="Times"/>
          <w:i/>
          <w:iCs/>
          <w:sz w:val="24"/>
        </w:rPr>
        <w:t>UpToDate</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45. </w:t>
      </w:r>
      <w:r w:rsidRPr="00873E6C">
        <w:rPr>
          <w:rFonts w:ascii="Times" w:hAnsi="Times"/>
          <w:sz w:val="24"/>
        </w:rPr>
        <w:tab/>
        <w:t xml:space="preserve">Roberts CW, Satoskar A, Alexander J (1996) Sex steroids, pregnancy-associated hormones and immunity to parasitic infection. </w:t>
      </w:r>
      <w:r w:rsidRPr="00873E6C">
        <w:rPr>
          <w:rFonts w:ascii="Times" w:hAnsi="Times"/>
          <w:i/>
          <w:iCs/>
          <w:sz w:val="24"/>
        </w:rPr>
        <w:t>Parasitol Today</w:t>
      </w:r>
      <w:r w:rsidRPr="00873E6C">
        <w:rPr>
          <w:rFonts w:ascii="Times" w:hAnsi="Times"/>
          <w:sz w:val="24"/>
        </w:rPr>
        <w:t xml:space="preserve"> 12(10):382–388.</w:t>
      </w:r>
    </w:p>
    <w:p w:rsidR="00E63E12" w:rsidRPr="00873E6C" w:rsidRDefault="00E63E12" w:rsidP="00E63E12">
      <w:pPr>
        <w:pStyle w:val="Bibliography"/>
        <w:rPr>
          <w:rFonts w:ascii="Times" w:hAnsi="Times"/>
          <w:sz w:val="24"/>
        </w:rPr>
      </w:pPr>
      <w:r w:rsidRPr="00873E6C">
        <w:rPr>
          <w:rFonts w:ascii="Times" w:hAnsi="Times"/>
          <w:sz w:val="24"/>
        </w:rPr>
        <w:t xml:space="preserve">46. </w:t>
      </w:r>
      <w:r w:rsidRPr="00873E6C">
        <w:rPr>
          <w:rFonts w:ascii="Times" w:hAnsi="Times"/>
          <w:sz w:val="24"/>
        </w:rPr>
        <w:tab/>
        <w:t xml:space="preserve">Lanciers S, Despinasse B, Mehta DI, Blecker U (1999) Increased susceptibility to Helicobacter pylori infection in pregnancy. </w:t>
      </w:r>
      <w:r w:rsidRPr="00873E6C">
        <w:rPr>
          <w:rFonts w:ascii="Times" w:hAnsi="Times"/>
          <w:i/>
          <w:iCs/>
          <w:sz w:val="24"/>
        </w:rPr>
        <w:t>Infect Obstet Gynecol</w:t>
      </w:r>
      <w:r w:rsidRPr="00873E6C">
        <w:rPr>
          <w:rFonts w:ascii="Times" w:hAnsi="Times"/>
          <w:sz w:val="24"/>
        </w:rPr>
        <w:t xml:space="preserve"> 7(4):195–8.</w:t>
      </w:r>
    </w:p>
    <w:p w:rsidR="00E63E12" w:rsidRPr="00873E6C" w:rsidRDefault="00E63E12" w:rsidP="00E63E12">
      <w:pPr>
        <w:pStyle w:val="Bibliography"/>
        <w:rPr>
          <w:rFonts w:ascii="Times" w:hAnsi="Times"/>
          <w:sz w:val="24"/>
        </w:rPr>
      </w:pPr>
      <w:r w:rsidRPr="00873E6C">
        <w:rPr>
          <w:rFonts w:ascii="Times" w:hAnsi="Times"/>
          <w:sz w:val="24"/>
        </w:rPr>
        <w:t xml:space="preserve">47. </w:t>
      </w:r>
      <w:r w:rsidRPr="00873E6C">
        <w:rPr>
          <w:rFonts w:ascii="Times" w:hAnsi="Times"/>
          <w:sz w:val="24"/>
        </w:rPr>
        <w:tab/>
        <w:t xml:space="preserve">Gray RH, et al. (2005) Increased risk of incident HIV during pregnancy in Rakai, Uganda: a prospective study. </w:t>
      </w:r>
      <w:r w:rsidRPr="00873E6C">
        <w:rPr>
          <w:rFonts w:ascii="Times" w:hAnsi="Times"/>
          <w:i/>
          <w:iCs/>
          <w:sz w:val="24"/>
        </w:rPr>
        <w:t>The Lancet</w:t>
      </w:r>
      <w:r w:rsidRPr="00873E6C">
        <w:rPr>
          <w:rFonts w:ascii="Times" w:hAnsi="Times"/>
          <w:sz w:val="24"/>
        </w:rPr>
        <w:t xml:space="preserve"> 366(9492):1182–1188.</w:t>
      </w:r>
    </w:p>
    <w:p w:rsidR="00E63E12" w:rsidRPr="00873E6C" w:rsidRDefault="00E63E12" w:rsidP="00E63E12">
      <w:pPr>
        <w:pStyle w:val="Bibliography"/>
        <w:rPr>
          <w:rFonts w:ascii="Times" w:hAnsi="Times"/>
          <w:sz w:val="24"/>
        </w:rPr>
      </w:pPr>
      <w:r w:rsidRPr="00873E6C">
        <w:rPr>
          <w:rFonts w:ascii="Times" w:hAnsi="Times"/>
          <w:sz w:val="24"/>
        </w:rPr>
        <w:t xml:space="preserve">48. </w:t>
      </w:r>
      <w:r w:rsidRPr="00873E6C">
        <w:rPr>
          <w:rFonts w:ascii="Times" w:hAnsi="Times"/>
          <w:sz w:val="24"/>
        </w:rPr>
        <w:tab/>
        <w:t xml:space="preserve">Pommier J-P, et al. (1997) Immunosenescence in HIV Pathogenesis. </w:t>
      </w:r>
      <w:r w:rsidRPr="00873E6C">
        <w:rPr>
          <w:rFonts w:ascii="Times" w:hAnsi="Times"/>
          <w:i/>
          <w:iCs/>
          <w:sz w:val="24"/>
        </w:rPr>
        <w:t>Virology</w:t>
      </w:r>
      <w:r w:rsidRPr="00873E6C">
        <w:rPr>
          <w:rFonts w:ascii="Times" w:hAnsi="Times"/>
          <w:sz w:val="24"/>
        </w:rPr>
        <w:t xml:space="preserve"> 231(1):148–154.</w:t>
      </w:r>
    </w:p>
    <w:p w:rsidR="00E63E12" w:rsidRPr="00873E6C" w:rsidRDefault="00E63E12" w:rsidP="00E63E12">
      <w:pPr>
        <w:pStyle w:val="Bibliography"/>
        <w:rPr>
          <w:rFonts w:ascii="Times" w:hAnsi="Times"/>
          <w:sz w:val="24"/>
        </w:rPr>
      </w:pPr>
      <w:r w:rsidRPr="00873E6C">
        <w:rPr>
          <w:rFonts w:ascii="Times" w:hAnsi="Times"/>
          <w:sz w:val="24"/>
        </w:rPr>
        <w:t xml:space="preserve">49. </w:t>
      </w:r>
      <w:r w:rsidRPr="00873E6C">
        <w:rPr>
          <w:rFonts w:ascii="Times" w:hAnsi="Times"/>
          <w:sz w:val="24"/>
        </w:rPr>
        <w:tab/>
        <w:t xml:space="preserve">Sampson MJ, Winterbone MS, Hughes JC, Dozio N, Hughes DA (2006) Monocyte telomere shortening and oxidative DNA damage in type 2 diabetes. </w:t>
      </w:r>
      <w:r w:rsidRPr="00873E6C">
        <w:rPr>
          <w:rFonts w:ascii="Times" w:hAnsi="Times"/>
          <w:i/>
          <w:iCs/>
          <w:sz w:val="24"/>
        </w:rPr>
        <w:t>Diabetes Care</w:t>
      </w:r>
      <w:r w:rsidRPr="00873E6C">
        <w:rPr>
          <w:rFonts w:ascii="Times" w:hAnsi="Times"/>
          <w:sz w:val="24"/>
        </w:rPr>
        <w:t xml:space="preserve"> 29(2):283–9.</w:t>
      </w:r>
    </w:p>
    <w:p w:rsidR="00E63E12" w:rsidRPr="00873E6C" w:rsidRDefault="00E63E12" w:rsidP="00E63E12">
      <w:pPr>
        <w:pStyle w:val="Bibliography"/>
        <w:rPr>
          <w:rFonts w:ascii="Times" w:hAnsi="Times"/>
          <w:sz w:val="24"/>
        </w:rPr>
      </w:pPr>
      <w:r w:rsidRPr="00873E6C">
        <w:rPr>
          <w:rFonts w:ascii="Times" w:hAnsi="Times"/>
          <w:sz w:val="24"/>
        </w:rPr>
        <w:t xml:space="preserve">50. </w:t>
      </w:r>
      <w:r w:rsidRPr="00873E6C">
        <w:rPr>
          <w:rFonts w:ascii="Times" w:hAnsi="Times"/>
          <w:sz w:val="24"/>
        </w:rPr>
        <w:tab/>
        <w:t xml:space="preserve">Carrero JJ, et al. (2008) Telomere attrition is associated with inflammation, low fetuin-A levels and high mortality in prevalent haemodialysis patients. </w:t>
      </w:r>
      <w:r w:rsidRPr="00873E6C">
        <w:rPr>
          <w:rFonts w:ascii="Times" w:hAnsi="Times"/>
          <w:i/>
          <w:iCs/>
          <w:sz w:val="24"/>
        </w:rPr>
        <w:t>J Intern Med</w:t>
      </w:r>
      <w:r w:rsidRPr="00873E6C">
        <w:rPr>
          <w:rFonts w:ascii="Times" w:hAnsi="Times"/>
          <w:sz w:val="24"/>
        </w:rPr>
        <w:t xml:space="preserve"> 263(3):302–312.</w:t>
      </w:r>
    </w:p>
    <w:p w:rsidR="00E63E12" w:rsidRPr="00873E6C" w:rsidRDefault="00E63E12" w:rsidP="00E63E12">
      <w:pPr>
        <w:pStyle w:val="Bibliography"/>
        <w:rPr>
          <w:rFonts w:ascii="Times" w:hAnsi="Times"/>
          <w:sz w:val="24"/>
        </w:rPr>
      </w:pPr>
      <w:r w:rsidRPr="00873E6C">
        <w:rPr>
          <w:rFonts w:ascii="Times" w:hAnsi="Times"/>
          <w:sz w:val="24"/>
        </w:rPr>
        <w:t xml:space="preserve">51. </w:t>
      </w:r>
      <w:r w:rsidRPr="00873E6C">
        <w:rPr>
          <w:rFonts w:ascii="Times" w:hAnsi="Times"/>
          <w:sz w:val="24"/>
        </w:rPr>
        <w:tab/>
        <w:t xml:space="preserve">O’Donovan A, et al. (2011) Cumulative Inflammatory Load Is Associated with Short Leukocyte Telomere Length in the Health, Aging and Body Composition Study. </w:t>
      </w:r>
      <w:r w:rsidRPr="00873E6C">
        <w:rPr>
          <w:rFonts w:ascii="Times" w:hAnsi="Times"/>
          <w:i/>
          <w:iCs/>
          <w:sz w:val="24"/>
        </w:rPr>
        <w:t>PLoS ONE</w:t>
      </w:r>
      <w:r w:rsidRPr="00873E6C">
        <w:rPr>
          <w:rFonts w:ascii="Times" w:hAnsi="Times"/>
          <w:sz w:val="24"/>
        </w:rPr>
        <w:t xml:space="preserve"> 6(5):e19687.</w:t>
      </w:r>
    </w:p>
    <w:p w:rsidR="00E63E12" w:rsidRPr="00873E6C" w:rsidRDefault="00E63E12" w:rsidP="00E63E12">
      <w:pPr>
        <w:pStyle w:val="Bibliography"/>
        <w:rPr>
          <w:rFonts w:ascii="Times" w:hAnsi="Times"/>
          <w:sz w:val="24"/>
        </w:rPr>
      </w:pPr>
      <w:r w:rsidRPr="00873E6C">
        <w:rPr>
          <w:rFonts w:ascii="Times" w:hAnsi="Times"/>
          <w:sz w:val="24"/>
        </w:rPr>
        <w:t xml:space="preserve">52. </w:t>
      </w:r>
      <w:r w:rsidRPr="00873E6C">
        <w:rPr>
          <w:rFonts w:ascii="Times" w:hAnsi="Times"/>
          <w:sz w:val="24"/>
        </w:rPr>
        <w:tab/>
        <w:t xml:space="preserve">Aviv A, et al. (2006) Menopause Modifies the Association of Leukocyte Telomere Length with Insulin Resistance and Inflammation. </w:t>
      </w:r>
      <w:r w:rsidRPr="00873E6C">
        <w:rPr>
          <w:rFonts w:ascii="Times" w:hAnsi="Times"/>
          <w:i/>
          <w:iCs/>
          <w:sz w:val="24"/>
        </w:rPr>
        <w:t>J Clin Endocrinol Metab</w:t>
      </w:r>
      <w:r w:rsidRPr="00873E6C">
        <w:rPr>
          <w:rFonts w:ascii="Times" w:hAnsi="Times"/>
          <w:sz w:val="24"/>
        </w:rPr>
        <w:t xml:space="preserve"> 91(2):635–640.</w:t>
      </w:r>
    </w:p>
    <w:p w:rsidR="00E63E12" w:rsidRPr="00873E6C" w:rsidRDefault="00E63E12" w:rsidP="00E63E12">
      <w:pPr>
        <w:pStyle w:val="Bibliography"/>
        <w:rPr>
          <w:rFonts w:ascii="Times" w:hAnsi="Times"/>
          <w:sz w:val="24"/>
        </w:rPr>
      </w:pPr>
      <w:r w:rsidRPr="00873E6C">
        <w:rPr>
          <w:rFonts w:ascii="Times" w:hAnsi="Times"/>
          <w:sz w:val="24"/>
        </w:rPr>
        <w:t xml:space="preserve">53. </w:t>
      </w:r>
      <w:r w:rsidRPr="00873E6C">
        <w:rPr>
          <w:rFonts w:ascii="Times" w:hAnsi="Times"/>
          <w:sz w:val="24"/>
        </w:rPr>
        <w:tab/>
        <w:t xml:space="preserve">Farzaneh-Far R, et al. (2010) Telomere length trajectory and its determinants in persons with coronary artery disease: longitudinal findings from the heart and soul study. </w:t>
      </w:r>
      <w:r w:rsidRPr="00873E6C">
        <w:rPr>
          <w:rFonts w:ascii="Times" w:hAnsi="Times"/>
          <w:i/>
          <w:iCs/>
          <w:sz w:val="24"/>
        </w:rPr>
        <w:t>PLoS One</w:t>
      </w:r>
      <w:r w:rsidRPr="00873E6C">
        <w:rPr>
          <w:rFonts w:ascii="Times" w:hAnsi="Times"/>
          <w:sz w:val="24"/>
        </w:rPr>
        <w:t xml:space="preserve"> 5(1):e8612.</w:t>
      </w:r>
    </w:p>
    <w:p w:rsidR="00E63E12" w:rsidRPr="00873E6C" w:rsidRDefault="00E63E12" w:rsidP="00E63E12">
      <w:pPr>
        <w:pStyle w:val="Bibliography"/>
        <w:rPr>
          <w:rFonts w:ascii="Times" w:hAnsi="Times"/>
          <w:sz w:val="24"/>
        </w:rPr>
      </w:pPr>
      <w:r w:rsidRPr="00873E6C">
        <w:rPr>
          <w:rFonts w:ascii="Times" w:hAnsi="Times"/>
          <w:sz w:val="24"/>
        </w:rPr>
        <w:t xml:space="preserve">54. </w:t>
      </w:r>
      <w:r w:rsidRPr="00873E6C">
        <w:rPr>
          <w:rFonts w:ascii="Times" w:hAnsi="Times"/>
          <w:sz w:val="24"/>
        </w:rPr>
        <w:tab/>
        <w:t xml:space="preserve">Solorio S, et al. (2011) Association Between Telomere Length and C-Reactive Protein and the Development of Coronary Collateral Circulation in Patients with Coronary Artery Disease. </w:t>
      </w:r>
      <w:r w:rsidRPr="00873E6C">
        <w:rPr>
          <w:rFonts w:ascii="Times" w:hAnsi="Times"/>
          <w:i/>
          <w:iCs/>
          <w:sz w:val="24"/>
        </w:rPr>
        <w:t>Angiology</w:t>
      </w:r>
      <w:r w:rsidRPr="00873E6C">
        <w:rPr>
          <w:rFonts w:ascii="Times" w:hAnsi="Times"/>
          <w:sz w:val="24"/>
        </w:rPr>
        <w:t xml:space="preserve"> 62(6):467–472.</w:t>
      </w:r>
    </w:p>
    <w:p w:rsidR="00E63E12" w:rsidRPr="00873E6C" w:rsidRDefault="00E63E12" w:rsidP="00E63E12">
      <w:pPr>
        <w:pStyle w:val="Bibliography"/>
        <w:rPr>
          <w:rFonts w:ascii="Times" w:hAnsi="Times"/>
          <w:sz w:val="24"/>
        </w:rPr>
      </w:pPr>
      <w:r w:rsidRPr="00873E6C">
        <w:rPr>
          <w:rFonts w:ascii="Times" w:hAnsi="Times"/>
          <w:sz w:val="24"/>
        </w:rPr>
        <w:t xml:space="preserve">55. </w:t>
      </w:r>
      <w:r w:rsidRPr="00873E6C">
        <w:rPr>
          <w:rFonts w:ascii="Times" w:hAnsi="Times"/>
          <w:sz w:val="24"/>
        </w:rPr>
        <w:tab/>
        <w:t xml:space="preserve">Sanders JL, et al. (2012) Leukocyte telomere length is associated with noninvasively measured age-related disease: The Cardiovascular Health Study. </w:t>
      </w:r>
      <w:r w:rsidRPr="00873E6C">
        <w:rPr>
          <w:rFonts w:ascii="Times" w:hAnsi="Times"/>
          <w:i/>
          <w:iCs/>
          <w:sz w:val="24"/>
        </w:rPr>
        <w:t>J Gerontol Biol Sci Med Sci</w:t>
      </w:r>
      <w:r w:rsidRPr="00873E6C">
        <w:rPr>
          <w:rFonts w:ascii="Times" w:hAnsi="Times"/>
          <w:sz w:val="24"/>
        </w:rPr>
        <w:t xml:space="preserve"> 67(4):409–16.</w:t>
      </w:r>
    </w:p>
    <w:p w:rsidR="00E63E12" w:rsidRPr="00873E6C" w:rsidRDefault="00E63E12" w:rsidP="00E63E12">
      <w:pPr>
        <w:pStyle w:val="Bibliography"/>
        <w:rPr>
          <w:rFonts w:ascii="Times" w:hAnsi="Times"/>
          <w:sz w:val="24"/>
        </w:rPr>
      </w:pPr>
      <w:r w:rsidRPr="00873E6C">
        <w:rPr>
          <w:rFonts w:ascii="Times" w:hAnsi="Times"/>
          <w:sz w:val="24"/>
        </w:rPr>
        <w:t xml:space="preserve">56. </w:t>
      </w:r>
      <w:r w:rsidRPr="00873E6C">
        <w:rPr>
          <w:rFonts w:ascii="Times" w:hAnsi="Times"/>
          <w:sz w:val="24"/>
        </w:rPr>
        <w:tab/>
        <w:t xml:space="preserve">Kananen L, et al. (2015) Cytomegalovirus infection accelerates epigenetic aging. </w:t>
      </w:r>
      <w:r w:rsidRPr="00873E6C">
        <w:rPr>
          <w:rFonts w:ascii="Times" w:hAnsi="Times"/>
          <w:i/>
          <w:iCs/>
          <w:sz w:val="24"/>
        </w:rPr>
        <w:t>Exp Gerontol</w:t>
      </w:r>
      <w:r w:rsidRPr="00873E6C">
        <w:rPr>
          <w:rFonts w:ascii="Times" w:hAnsi="Times"/>
          <w:sz w:val="24"/>
        </w:rPr>
        <w:t xml:space="preserve"> 72:227–229.</w:t>
      </w:r>
    </w:p>
    <w:p w:rsidR="00E63E12" w:rsidRPr="00873E6C" w:rsidRDefault="00E63E12" w:rsidP="00E63E12">
      <w:pPr>
        <w:pStyle w:val="Bibliography"/>
        <w:rPr>
          <w:rFonts w:ascii="Times" w:hAnsi="Times"/>
          <w:sz w:val="24"/>
        </w:rPr>
      </w:pPr>
      <w:r w:rsidRPr="00873E6C">
        <w:rPr>
          <w:rFonts w:ascii="Times" w:hAnsi="Times"/>
          <w:sz w:val="24"/>
        </w:rPr>
        <w:t xml:space="preserve">57. </w:t>
      </w:r>
      <w:r w:rsidRPr="00873E6C">
        <w:rPr>
          <w:rFonts w:ascii="Times" w:hAnsi="Times"/>
          <w:sz w:val="24"/>
        </w:rPr>
        <w:tab/>
        <w:t xml:space="preserve">Levine ME, et al. (2016) Menopause accelerates biological aging. </w:t>
      </w:r>
      <w:r w:rsidRPr="00873E6C">
        <w:rPr>
          <w:rFonts w:ascii="Times" w:hAnsi="Times"/>
          <w:i/>
          <w:iCs/>
          <w:sz w:val="24"/>
        </w:rPr>
        <w:t>Proc Natl Acad Sci</w:t>
      </w:r>
      <w:r w:rsidRPr="00873E6C">
        <w:rPr>
          <w:rFonts w:ascii="Times" w:hAnsi="Times"/>
          <w:sz w:val="24"/>
        </w:rPr>
        <w:t>:201604558.</w:t>
      </w:r>
    </w:p>
    <w:p w:rsidR="00E63E12" w:rsidRPr="00873E6C" w:rsidRDefault="00E63E12" w:rsidP="00E63E12">
      <w:pPr>
        <w:pStyle w:val="Bibliography"/>
        <w:rPr>
          <w:rFonts w:ascii="Times" w:hAnsi="Times"/>
          <w:sz w:val="24"/>
        </w:rPr>
      </w:pPr>
      <w:r w:rsidRPr="00873E6C">
        <w:rPr>
          <w:rFonts w:ascii="Times" w:hAnsi="Times"/>
          <w:sz w:val="24"/>
        </w:rPr>
        <w:t xml:space="preserve">58. </w:t>
      </w:r>
      <w:r w:rsidRPr="00873E6C">
        <w:rPr>
          <w:rFonts w:ascii="Times" w:hAnsi="Times"/>
          <w:sz w:val="24"/>
        </w:rPr>
        <w:tab/>
        <w:t xml:space="preserve">Barha CK, et al. (2016) Number of Children and Telomere Length in Women: A Prospective, Longitudinal Evaluation. </w:t>
      </w:r>
      <w:r w:rsidRPr="00873E6C">
        <w:rPr>
          <w:rFonts w:ascii="Times" w:hAnsi="Times"/>
          <w:i/>
          <w:iCs/>
          <w:sz w:val="24"/>
        </w:rPr>
        <w:t>PLOS ONE</w:t>
      </w:r>
      <w:r w:rsidRPr="00873E6C">
        <w:rPr>
          <w:rFonts w:ascii="Times" w:hAnsi="Times"/>
          <w:sz w:val="24"/>
        </w:rPr>
        <w:t xml:space="preserve"> 11(1):e0146424.</w:t>
      </w:r>
    </w:p>
    <w:p w:rsidR="00E63E12" w:rsidRPr="00873E6C" w:rsidRDefault="00E63E12" w:rsidP="00E63E12">
      <w:pPr>
        <w:pStyle w:val="Bibliography"/>
        <w:rPr>
          <w:rFonts w:ascii="Times" w:hAnsi="Times"/>
          <w:sz w:val="24"/>
        </w:rPr>
      </w:pPr>
      <w:r w:rsidRPr="00873E6C">
        <w:rPr>
          <w:rFonts w:ascii="Times" w:hAnsi="Times"/>
          <w:sz w:val="24"/>
        </w:rPr>
        <w:t xml:space="preserve">59. </w:t>
      </w:r>
      <w:r w:rsidRPr="00873E6C">
        <w:rPr>
          <w:rFonts w:ascii="Times" w:hAnsi="Times"/>
          <w:sz w:val="24"/>
        </w:rPr>
        <w:tab/>
        <w:t xml:space="preserve">Lane-Cordova AD, et al. (2017) Gravidity is not associated with telomere length in a biracial cohort of middle-aged women: The Coronary Artery Risk Development in Young Adults (CARDIA) study. </w:t>
      </w:r>
      <w:r w:rsidRPr="00873E6C">
        <w:rPr>
          <w:rFonts w:ascii="Times" w:hAnsi="Times"/>
          <w:i/>
          <w:iCs/>
          <w:sz w:val="24"/>
        </w:rPr>
        <w:t>PLOS ONE</w:t>
      </w:r>
      <w:r w:rsidRPr="00873E6C">
        <w:rPr>
          <w:rFonts w:ascii="Times" w:hAnsi="Times"/>
          <w:sz w:val="24"/>
        </w:rPr>
        <w:t xml:space="preserve"> 12(10):e0186495.</w:t>
      </w:r>
    </w:p>
    <w:p w:rsidR="00E63E12" w:rsidRPr="00873E6C" w:rsidRDefault="00E63E12" w:rsidP="00E63E12">
      <w:pPr>
        <w:pStyle w:val="Bibliography"/>
        <w:rPr>
          <w:rFonts w:ascii="Times" w:hAnsi="Times"/>
          <w:sz w:val="24"/>
        </w:rPr>
      </w:pPr>
      <w:r w:rsidRPr="00873E6C">
        <w:rPr>
          <w:rFonts w:ascii="Times" w:hAnsi="Times"/>
          <w:sz w:val="24"/>
        </w:rPr>
        <w:t xml:space="preserve">60. </w:t>
      </w:r>
      <w:r w:rsidRPr="00873E6C">
        <w:rPr>
          <w:rFonts w:ascii="Times" w:hAnsi="Times"/>
          <w:sz w:val="24"/>
        </w:rPr>
        <w:tab/>
        <w:t xml:space="preserve">Eisenberg DT, Kuzawa CW, Hayes MG (2015) Improving qPCR telomere length assays: Controlling for well position effects increases statistical power. </w:t>
      </w:r>
      <w:r w:rsidRPr="00873E6C">
        <w:rPr>
          <w:rFonts w:ascii="Times" w:hAnsi="Times"/>
          <w:i/>
          <w:iCs/>
          <w:sz w:val="24"/>
        </w:rPr>
        <w:t>Am J Hum Biol</w:t>
      </w:r>
      <w:r w:rsidRPr="00873E6C">
        <w:rPr>
          <w:rFonts w:ascii="Times" w:hAnsi="Times"/>
          <w:sz w:val="24"/>
        </w:rPr>
        <w:t xml:space="preserve"> 27(4):570–5.</w:t>
      </w:r>
    </w:p>
    <w:p w:rsidR="00E63E12" w:rsidRPr="00873E6C" w:rsidRDefault="00E63E12" w:rsidP="00E63E12">
      <w:pPr>
        <w:pStyle w:val="Bibliography"/>
        <w:rPr>
          <w:rFonts w:ascii="Times" w:hAnsi="Times"/>
          <w:sz w:val="24"/>
        </w:rPr>
      </w:pPr>
      <w:r w:rsidRPr="00873E6C">
        <w:rPr>
          <w:rFonts w:ascii="Times" w:hAnsi="Times"/>
          <w:sz w:val="24"/>
        </w:rPr>
        <w:t xml:space="preserve">61. </w:t>
      </w:r>
      <w:r w:rsidRPr="00873E6C">
        <w:rPr>
          <w:rFonts w:ascii="Times" w:hAnsi="Times"/>
          <w:sz w:val="24"/>
        </w:rPr>
        <w:tab/>
        <w:t xml:space="preserve">Eisenberg DT, Hayes MG, Kuzawa CW (2012) Delayed paternal age of reproduction in humans is associated with longer telomeres across two generations of descendants. </w:t>
      </w:r>
      <w:r w:rsidRPr="00873E6C">
        <w:rPr>
          <w:rFonts w:ascii="Times" w:hAnsi="Times"/>
          <w:i/>
          <w:iCs/>
          <w:sz w:val="24"/>
        </w:rPr>
        <w:t>Proc Natl Acad Sci</w:t>
      </w:r>
      <w:r w:rsidRPr="00873E6C">
        <w:rPr>
          <w:rFonts w:ascii="Times" w:hAnsi="Times"/>
          <w:sz w:val="24"/>
        </w:rPr>
        <w:t xml:space="preserve"> 109(26):10251–6.</w:t>
      </w:r>
    </w:p>
    <w:p w:rsidR="00E63E12" w:rsidRPr="00873E6C" w:rsidRDefault="00E63E12" w:rsidP="00E63E12">
      <w:pPr>
        <w:pStyle w:val="Bibliography"/>
        <w:rPr>
          <w:rFonts w:ascii="Times" w:hAnsi="Times"/>
          <w:sz w:val="24"/>
        </w:rPr>
      </w:pPr>
      <w:r w:rsidRPr="00873E6C">
        <w:rPr>
          <w:rFonts w:ascii="Times" w:hAnsi="Times"/>
          <w:sz w:val="24"/>
        </w:rPr>
        <w:t xml:space="preserve">62. </w:t>
      </w:r>
      <w:r w:rsidRPr="00873E6C">
        <w:rPr>
          <w:rFonts w:ascii="Times" w:hAnsi="Times"/>
          <w:sz w:val="24"/>
        </w:rPr>
        <w:tab/>
        <w:t xml:space="preserve">Hansen MEB, et al. (2016) Shorter telomere length in Europeans than in Africans due to polygenetic adaptation. </w:t>
      </w:r>
      <w:r w:rsidRPr="00873E6C">
        <w:rPr>
          <w:rFonts w:ascii="Times" w:hAnsi="Times"/>
          <w:i/>
          <w:iCs/>
          <w:sz w:val="24"/>
        </w:rPr>
        <w:t>Hum Mol Genet</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63. </w:t>
      </w:r>
      <w:r w:rsidRPr="00873E6C">
        <w:rPr>
          <w:rFonts w:ascii="Times" w:hAnsi="Times"/>
          <w:sz w:val="24"/>
        </w:rPr>
        <w:tab/>
        <w:t xml:space="preserve">Yeap BB, et al. (2016) Epidemiological and Mendelian randomisation studies of dihydrotestosterone and estradiol, and leucocyte telomere length in men. </w:t>
      </w:r>
      <w:r w:rsidRPr="00873E6C">
        <w:rPr>
          <w:rFonts w:ascii="Times" w:hAnsi="Times"/>
          <w:i/>
          <w:iCs/>
          <w:sz w:val="24"/>
        </w:rPr>
        <w:t>J Clin Endocrinol Metab</w:t>
      </w:r>
      <w:r w:rsidRPr="00873E6C">
        <w:rPr>
          <w:rFonts w:ascii="Times" w:hAnsi="Times"/>
          <w:sz w:val="24"/>
        </w:rPr>
        <w:t>:jc.2015-4139.</w:t>
      </w:r>
    </w:p>
    <w:p w:rsidR="00E63E12" w:rsidRPr="00873E6C" w:rsidRDefault="00E63E12" w:rsidP="00E63E12">
      <w:pPr>
        <w:pStyle w:val="Bibliography"/>
        <w:rPr>
          <w:rFonts w:ascii="Times" w:hAnsi="Times"/>
          <w:sz w:val="24"/>
        </w:rPr>
      </w:pPr>
      <w:r w:rsidRPr="00873E6C">
        <w:rPr>
          <w:rFonts w:ascii="Times" w:hAnsi="Times"/>
          <w:sz w:val="24"/>
        </w:rPr>
        <w:t xml:space="preserve">64. </w:t>
      </w:r>
      <w:r w:rsidRPr="00873E6C">
        <w:rPr>
          <w:rFonts w:ascii="Times" w:hAnsi="Times"/>
          <w:sz w:val="24"/>
        </w:rPr>
        <w:tab/>
        <w:t xml:space="preserve">Adams Waldorf KM, et al. (2010) Dynamic Changes in Fetal Microchimerism in Maternal Peripheral Blood Mononuclear Cells, CD4+ and CD8+ cells in Normal Pregnancy. </w:t>
      </w:r>
      <w:r w:rsidRPr="00873E6C">
        <w:rPr>
          <w:rFonts w:ascii="Times" w:hAnsi="Times"/>
          <w:i/>
          <w:iCs/>
          <w:sz w:val="24"/>
        </w:rPr>
        <w:t>Placenta</w:t>
      </w:r>
      <w:r w:rsidRPr="00873E6C">
        <w:rPr>
          <w:rFonts w:ascii="Times" w:hAnsi="Times"/>
          <w:sz w:val="24"/>
        </w:rPr>
        <w:t xml:space="preserve"> 31(7):589–594.</w:t>
      </w:r>
    </w:p>
    <w:p w:rsidR="00E63E12" w:rsidRPr="00873E6C" w:rsidRDefault="00E63E12" w:rsidP="00E63E12">
      <w:pPr>
        <w:pStyle w:val="Bibliography"/>
        <w:rPr>
          <w:rFonts w:ascii="Times" w:hAnsi="Times"/>
          <w:sz w:val="24"/>
        </w:rPr>
      </w:pPr>
      <w:r w:rsidRPr="00873E6C">
        <w:rPr>
          <w:rFonts w:ascii="Times" w:hAnsi="Times"/>
          <w:sz w:val="24"/>
        </w:rPr>
        <w:t xml:space="preserve">65. </w:t>
      </w:r>
      <w:r w:rsidRPr="00873E6C">
        <w:rPr>
          <w:rFonts w:ascii="Times" w:hAnsi="Times"/>
          <w:sz w:val="24"/>
        </w:rPr>
        <w:tab/>
        <w:t xml:space="preserve">Lo YMD, et al. (1997) Presence of fetal DNA in maternal plasma and serum. </w:t>
      </w:r>
      <w:r w:rsidRPr="00873E6C">
        <w:rPr>
          <w:rFonts w:ascii="Times" w:hAnsi="Times"/>
          <w:i/>
          <w:iCs/>
          <w:sz w:val="24"/>
        </w:rPr>
        <w:t>The Lancet</w:t>
      </w:r>
      <w:r w:rsidRPr="00873E6C">
        <w:rPr>
          <w:rFonts w:ascii="Times" w:hAnsi="Times"/>
          <w:sz w:val="24"/>
        </w:rPr>
        <w:t xml:space="preserve"> 350(9076):485–487.</w:t>
      </w:r>
    </w:p>
    <w:p w:rsidR="00E63E12" w:rsidRPr="00873E6C" w:rsidRDefault="00E63E12" w:rsidP="00E63E12">
      <w:pPr>
        <w:pStyle w:val="Bibliography"/>
        <w:rPr>
          <w:rFonts w:ascii="Times" w:hAnsi="Times"/>
          <w:sz w:val="24"/>
        </w:rPr>
      </w:pPr>
      <w:r w:rsidRPr="00873E6C">
        <w:rPr>
          <w:rFonts w:ascii="Times" w:hAnsi="Times"/>
          <w:sz w:val="24"/>
        </w:rPr>
        <w:t xml:space="preserve">66. </w:t>
      </w:r>
      <w:r w:rsidRPr="00873E6C">
        <w:rPr>
          <w:rFonts w:ascii="Times" w:hAnsi="Times"/>
          <w:sz w:val="24"/>
        </w:rPr>
        <w:tab/>
        <w:t xml:space="preserve">Gurven M, et al. (2016) Health costs of reproduction are minimal despite high fertility, mortality and subsistence lifestyle. </w:t>
      </w:r>
      <w:r w:rsidRPr="00873E6C">
        <w:rPr>
          <w:rFonts w:ascii="Times" w:hAnsi="Times"/>
          <w:i/>
          <w:iCs/>
          <w:sz w:val="24"/>
        </w:rPr>
        <w:t>Sci Rep</w:t>
      </w:r>
      <w:r w:rsidRPr="00873E6C">
        <w:rPr>
          <w:rFonts w:ascii="Times" w:hAnsi="Times"/>
          <w:sz w:val="24"/>
        </w:rPr>
        <w:t xml:space="preserve"> 6:30056.</w:t>
      </w:r>
    </w:p>
    <w:p w:rsidR="00E63E12" w:rsidRPr="00873E6C" w:rsidRDefault="00E63E12" w:rsidP="00E63E12">
      <w:pPr>
        <w:pStyle w:val="Bibliography"/>
        <w:rPr>
          <w:rFonts w:ascii="Times" w:hAnsi="Times"/>
          <w:sz w:val="24"/>
        </w:rPr>
      </w:pPr>
      <w:r w:rsidRPr="00873E6C">
        <w:rPr>
          <w:rFonts w:ascii="Times" w:hAnsi="Times"/>
          <w:sz w:val="24"/>
        </w:rPr>
        <w:t xml:space="preserve">67. </w:t>
      </w:r>
      <w:r w:rsidRPr="00873E6C">
        <w:rPr>
          <w:rFonts w:ascii="Times" w:hAnsi="Times"/>
          <w:sz w:val="24"/>
        </w:rPr>
        <w:tab/>
        <w:t xml:space="preserve">O’Callaghan N, et al. (2008) Buccal cells: a non-invasive measurement of selenium, zinc and magnesium status, and telomere length. </w:t>
      </w:r>
      <w:r w:rsidRPr="00873E6C">
        <w:rPr>
          <w:rFonts w:ascii="Times" w:hAnsi="Times"/>
          <w:i/>
          <w:iCs/>
          <w:sz w:val="24"/>
        </w:rPr>
        <w:t>Asia Pac J Clin Nutr</w:t>
      </w:r>
      <w:r w:rsidRPr="00873E6C">
        <w:rPr>
          <w:rFonts w:ascii="Times" w:hAnsi="Times"/>
          <w:sz w:val="24"/>
        </w:rPr>
        <w:t xml:space="preserve"> 17:S19.</w:t>
      </w:r>
    </w:p>
    <w:p w:rsidR="00E63E12" w:rsidRPr="00873E6C" w:rsidRDefault="00E63E12" w:rsidP="00E63E12">
      <w:pPr>
        <w:pStyle w:val="Bibliography"/>
        <w:rPr>
          <w:rFonts w:ascii="Times" w:hAnsi="Times"/>
          <w:sz w:val="24"/>
        </w:rPr>
      </w:pPr>
      <w:r w:rsidRPr="00873E6C">
        <w:rPr>
          <w:rFonts w:ascii="Times" w:hAnsi="Times"/>
          <w:sz w:val="24"/>
        </w:rPr>
        <w:t xml:space="preserve">68. </w:t>
      </w:r>
      <w:r w:rsidRPr="00873E6C">
        <w:rPr>
          <w:rFonts w:ascii="Times" w:hAnsi="Times"/>
          <w:sz w:val="24"/>
        </w:rPr>
        <w:tab/>
        <w:t>Thomas P (2008) Changes in buccal cytome biomarkers in relation to ageing and Alzheimer’s disease.</w:t>
      </w:r>
    </w:p>
    <w:p w:rsidR="00E63E12" w:rsidRPr="00873E6C" w:rsidRDefault="00E63E12" w:rsidP="00E63E12">
      <w:pPr>
        <w:pStyle w:val="Bibliography"/>
        <w:rPr>
          <w:rFonts w:ascii="Times" w:hAnsi="Times"/>
          <w:sz w:val="24"/>
        </w:rPr>
      </w:pPr>
      <w:r w:rsidRPr="00873E6C">
        <w:rPr>
          <w:rFonts w:ascii="Times" w:hAnsi="Times"/>
          <w:sz w:val="24"/>
        </w:rPr>
        <w:t xml:space="preserve">69. </w:t>
      </w:r>
      <w:r w:rsidRPr="00873E6C">
        <w:rPr>
          <w:rFonts w:ascii="Times" w:hAnsi="Times"/>
          <w:sz w:val="24"/>
        </w:rPr>
        <w:tab/>
        <w:t xml:space="preserve">Goldman EA, et al. (2017) Evaluating minimally invasive sample collection methods for telomere length measurement. </w:t>
      </w:r>
      <w:r w:rsidRPr="00873E6C">
        <w:rPr>
          <w:rFonts w:ascii="Times" w:hAnsi="Times"/>
          <w:i/>
          <w:iCs/>
          <w:sz w:val="24"/>
        </w:rPr>
        <w:t>Am J Hum Biol</w:t>
      </w:r>
      <w:r w:rsidRPr="00873E6C">
        <w:rPr>
          <w:rFonts w:ascii="Times" w:hAnsi="Times"/>
          <w:sz w:val="24"/>
        </w:rPr>
        <w:t>:e23062–n/a.</w:t>
      </w:r>
    </w:p>
    <w:p w:rsidR="00E63E12" w:rsidRPr="00873E6C" w:rsidRDefault="00E63E12" w:rsidP="00E63E12">
      <w:pPr>
        <w:pStyle w:val="Bibliography"/>
        <w:rPr>
          <w:rFonts w:ascii="Times" w:hAnsi="Times"/>
          <w:sz w:val="24"/>
        </w:rPr>
      </w:pPr>
      <w:r w:rsidRPr="00873E6C">
        <w:rPr>
          <w:rFonts w:ascii="Times" w:hAnsi="Times"/>
          <w:sz w:val="24"/>
        </w:rPr>
        <w:t xml:space="preserve">70. </w:t>
      </w:r>
      <w:r w:rsidRPr="00873E6C">
        <w:rPr>
          <w:rFonts w:ascii="Times" w:hAnsi="Times"/>
          <w:sz w:val="24"/>
        </w:rPr>
        <w:tab/>
        <w:t xml:space="preserve">Benetos A, et al. (2013) Tracking and fixed ranking of leukocyte telomere length across the adult life course. </w:t>
      </w:r>
      <w:r w:rsidRPr="00873E6C">
        <w:rPr>
          <w:rFonts w:ascii="Times" w:hAnsi="Times"/>
          <w:i/>
          <w:iCs/>
          <w:sz w:val="24"/>
        </w:rPr>
        <w:t>Aging Cell</w:t>
      </w:r>
      <w:r w:rsidRPr="00873E6C">
        <w:rPr>
          <w:rFonts w:ascii="Times" w:hAnsi="Times"/>
          <w:sz w:val="24"/>
        </w:rPr>
        <w:t xml:space="preserve"> 12(4):615–21.</w:t>
      </w:r>
    </w:p>
    <w:p w:rsidR="00E63E12" w:rsidRPr="00873E6C" w:rsidRDefault="00E63E12" w:rsidP="00E63E12">
      <w:pPr>
        <w:pStyle w:val="Bibliography"/>
        <w:rPr>
          <w:rFonts w:ascii="Times" w:hAnsi="Times"/>
          <w:sz w:val="24"/>
        </w:rPr>
      </w:pPr>
      <w:r w:rsidRPr="00873E6C">
        <w:rPr>
          <w:rFonts w:ascii="Times" w:hAnsi="Times"/>
          <w:sz w:val="24"/>
        </w:rPr>
        <w:t xml:space="preserve">71. </w:t>
      </w:r>
      <w:r w:rsidRPr="00873E6C">
        <w:rPr>
          <w:rFonts w:ascii="Times" w:hAnsi="Times"/>
          <w:sz w:val="24"/>
        </w:rPr>
        <w:tab/>
        <w:t xml:space="preserve">Frenck RW, Blackburn EH, Shannon KM (1998) The rate of telomere sequence loss in human leukocytes varies with age. </w:t>
      </w:r>
      <w:r w:rsidRPr="00873E6C">
        <w:rPr>
          <w:rFonts w:ascii="Times" w:hAnsi="Times"/>
          <w:i/>
          <w:iCs/>
          <w:sz w:val="24"/>
        </w:rPr>
        <w:t>Proc Natl Acad Sci</w:t>
      </w:r>
      <w:r w:rsidRPr="00873E6C">
        <w:rPr>
          <w:rFonts w:ascii="Times" w:hAnsi="Times"/>
          <w:sz w:val="24"/>
        </w:rPr>
        <w:t xml:space="preserve"> 95(10):5607–5610.</w:t>
      </w:r>
    </w:p>
    <w:p w:rsidR="00E63E12" w:rsidRPr="00873E6C" w:rsidRDefault="00E63E12" w:rsidP="00E63E12">
      <w:pPr>
        <w:pStyle w:val="Bibliography"/>
        <w:rPr>
          <w:rFonts w:ascii="Times" w:hAnsi="Times"/>
          <w:sz w:val="24"/>
        </w:rPr>
      </w:pPr>
      <w:r w:rsidRPr="00873E6C">
        <w:rPr>
          <w:rFonts w:ascii="Times" w:hAnsi="Times"/>
          <w:sz w:val="24"/>
        </w:rPr>
        <w:t xml:space="preserve">72. </w:t>
      </w:r>
      <w:r w:rsidRPr="00873E6C">
        <w:rPr>
          <w:rFonts w:ascii="Times" w:hAnsi="Times"/>
          <w:sz w:val="24"/>
        </w:rPr>
        <w:tab/>
        <w:t xml:space="preserve">Hill K, Kaplan  and H (1999) Life History Traits in Humans: Theory and Empirical Studies. </w:t>
      </w:r>
      <w:r w:rsidRPr="00873E6C">
        <w:rPr>
          <w:rFonts w:ascii="Times" w:hAnsi="Times"/>
          <w:i/>
          <w:iCs/>
          <w:sz w:val="24"/>
        </w:rPr>
        <w:t>Annu Rev Anthropol</w:t>
      </w:r>
      <w:r w:rsidRPr="00873E6C">
        <w:rPr>
          <w:rFonts w:ascii="Times" w:hAnsi="Times"/>
          <w:sz w:val="24"/>
        </w:rPr>
        <w:t xml:space="preserve"> 28(1):397–430.</w:t>
      </w:r>
    </w:p>
    <w:p w:rsidR="00E63E12" w:rsidRPr="00873E6C" w:rsidRDefault="00E63E12" w:rsidP="00E63E12">
      <w:pPr>
        <w:pStyle w:val="Bibliography"/>
        <w:rPr>
          <w:rFonts w:ascii="Times" w:hAnsi="Times"/>
          <w:sz w:val="24"/>
        </w:rPr>
      </w:pPr>
      <w:r w:rsidRPr="00873E6C">
        <w:rPr>
          <w:rFonts w:ascii="Times" w:hAnsi="Times"/>
          <w:sz w:val="24"/>
        </w:rPr>
        <w:t xml:space="preserve">73. </w:t>
      </w:r>
      <w:r w:rsidRPr="00873E6C">
        <w:rPr>
          <w:rFonts w:ascii="Times" w:hAnsi="Times"/>
          <w:sz w:val="24"/>
        </w:rPr>
        <w:tab/>
        <w:t xml:space="preserve">Belsky DW, et al. (2018) Eleven Telomere, Epigenetic Clock, and Biomarker-Composite Quantifications of Biological Aging: Do They Measure the Same Thing? </w:t>
      </w:r>
      <w:r w:rsidRPr="00873E6C">
        <w:rPr>
          <w:rFonts w:ascii="Times" w:hAnsi="Times"/>
          <w:i/>
          <w:iCs/>
          <w:sz w:val="24"/>
        </w:rPr>
        <w:t>Am J Epidemiol</w:t>
      </w:r>
      <w:r w:rsidRPr="00873E6C">
        <w:rPr>
          <w:rFonts w:ascii="Times" w:hAnsi="Times"/>
          <w:sz w:val="24"/>
        </w:rPr>
        <w:t>. doi:10.1093/aje/kwx346.</w:t>
      </w:r>
    </w:p>
    <w:p w:rsidR="00E63E12" w:rsidRPr="00873E6C" w:rsidRDefault="00E63E12" w:rsidP="00E63E12">
      <w:pPr>
        <w:pStyle w:val="Bibliography"/>
        <w:rPr>
          <w:rFonts w:ascii="Times" w:hAnsi="Times"/>
          <w:sz w:val="24"/>
        </w:rPr>
      </w:pPr>
      <w:r w:rsidRPr="00873E6C">
        <w:rPr>
          <w:rFonts w:ascii="Times" w:hAnsi="Times"/>
          <w:sz w:val="24"/>
        </w:rPr>
        <w:t xml:space="preserve">74. </w:t>
      </w:r>
      <w:r w:rsidRPr="00873E6C">
        <w:rPr>
          <w:rFonts w:ascii="Times" w:hAnsi="Times"/>
          <w:sz w:val="24"/>
        </w:rPr>
        <w:tab/>
        <w:t xml:space="preserve">Kuzawa CW, Adair LS, Borja J, Mcdade TW (2013) C-reactive protein by pregnancy and lactational status among Filipino young adult women. </w:t>
      </w:r>
      <w:r w:rsidRPr="00873E6C">
        <w:rPr>
          <w:rFonts w:ascii="Times" w:hAnsi="Times"/>
          <w:i/>
          <w:iCs/>
          <w:sz w:val="24"/>
        </w:rPr>
        <w:t>Am J Hum Biol</w:t>
      </w:r>
      <w:r w:rsidRPr="00873E6C">
        <w:rPr>
          <w:rFonts w:ascii="Times" w:hAnsi="Times"/>
          <w:sz w:val="24"/>
        </w:rPr>
        <w:t xml:space="preserve"> 25(1):131–134.</w:t>
      </w:r>
    </w:p>
    <w:p w:rsidR="00E63E12" w:rsidRPr="00873E6C" w:rsidRDefault="00E63E12" w:rsidP="00E63E12">
      <w:pPr>
        <w:pStyle w:val="Bibliography"/>
        <w:rPr>
          <w:rFonts w:ascii="Times" w:hAnsi="Times"/>
          <w:sz w:val="24"/>
        </w:rPr>
      </w:pPr>
      <w:r w:rsidRPr="00873E6C">
        <w:rPr>
          <w:rFonts w:ascii="Times" w:hAnsi="Times"/>
          <w:sz w:val="24"/>
        </w:rPr>
        <w:t xml:space="preserve">75. </w:t>
      </w:r>
      <w:r w:rsidRPr="00873E6C">
        <w:rPr>
          <w:rFonts w:ascii="Times" w:hAnsi="Times"/>
          <w:sz w:val="24"/>
        </w:rPr>
        <w:tab/>
        <w:t xml:space="preserve">Ryan CP, Brownlie JC, Whyard S (2016) Hsp90 and physiological stress are linked to autonomous transposon mobility and heritable genetic change in nematodes. </w:t>
      </w:r>
      <w:r w:rsidRPr="00873E6C">
        <w:rPr>
          <w:rFonts w:ascii="Times" w:hAnsi="Times"/>
          <w:i/>
          <w:iCs/>
          <w:sz w:val="24"/>
        </w:rPr>
        <w:t>Genome Biol Evol</w:t>
      </w:r>
      <w:r w:rsidRPr="00873E6C">
        <w:rPr>
          <w:rFonts w:ascii="Times" w:hAnsi="Times"/>
          <w:sz w:val="24"/>
        </w:rPr>
        <w:t xml:space="preserve"> 8(12):3794–3805.</w:t>
      </w:r>
    </w:p>
    <w:p w:rsidR="00E63E12" w:rsidRPr="00873E6C" w:rsidRDefault="00E63E12" w:rsidP="00E63E12">
      <w:pPr>
        <w:pStyle w:val="Bibliography"/>
        <w:rPr>
          <w:rFonts w:ascii="Times" w:hAnsi="Times"/>
          <w:sz w:val="24"/>
        </w:rPr>
      </w:pPr>
      <w:r w:rsidRPr="00873E6C">
        <w:rPr>
          <w:rFonts w:ascii="Times" w:hAnsi="Times"/>
          <w:sz w:val="24"/>
        </w:rPr>
        <w:t xml:space="preserve">76. </w:t>
      </w:r>
      <w:r w:rsidRPr="00873E6C">
        <w:rPr>
          <w:rFonts w:ascii="Times" w:hAnsi="Times"/>
          <w:sz w:val="24"/>
        </w:rPr>
        <w:tab/>
        <w:t xml:space="preserve">Feder ME, Hofmann GE (1999) Heat-shock proteins, molecular chaperones, and the stress response: evolutionary and ecological physiology. </w:t>
      </w:r>
      <w:r w:rsidRPr="00873E6C">
        <w:rPr>
          <w:rFonts w:ascii="Times" w:hAnsi="Times"/>
          <w:i/>
          <w:iCs/>
          <w:sz w:val="24"/>
        </w:rPr>
        <w:t>Annu Rev Physiol</w:t>
      </w:r>
      <w:r w:rsidRPr="00873E6C">
        <w:rPr>
          <w:rFonts w:ascii="Times" w:hAnsi="Times"/>
          <w:sz w:val="24"/>
        </w:rPr>
        <w:t xml:space="preserve"> 61(1):243–282.</w:t>
      </w:r>
    </w:p>
    <w:p w:rsidR="00E63E12" w:rsidRPr="00873E6C" w:rsidRDefault="00E63E12" w:rsidP="00E63E12">
      <w:pPr>
        <w:pStyle w:val="Bibliography"/>
        <w:rPr>
          <w:rFonts w:ascii="Times" w:hAnsi="Times"/>
          <w:sz w:val="24"/>
        </w:rPr>
      </w:pPr>
      <w:r w:rsidRPr="00873E6C">
        <w:rPr>
          <w:rFonts w:ascii="Times" w:hAnsi="Times"/>
          <w:sz w:val="24"/>
        </w:rPr>
        <w:t xml:space="preserve">77. </w:t>
      </w:r>
      <w:r w:rsidRPr="00873E6C">
        <w:rPr>
          <w:rFonts w:ascii="Times" w:hAnsi="Times"/>
          <w:sz w:val="24"/>
        </w:rPr>
        <w:tab/>
        <w:t xml:space="preserve">Okada Y, Teramura K, Takahashi KH (2014) Heat shock proteins mediate trade-offs between early-life reproduction and late survival in Drosophila melanogaster. </w:t>
      </w:r>
      <w:r w:rsidRPr="00873E6C">
        <w:rPr>
          <w:rFonts w:ascii="Times" w:hAnsi="Times"/>
          <w:i/>
          <w:iCs/>
          <w:sz w:val="24"/>
        </w:rPr>
        <w:t>Physiol Entomol</w:t>
      </w:r>
      <w:r w:rsidRPr="00873E6C">
        <w:rPr>
          <w:rFonts w:ascii="Times" w:hAnsi="Times"/>
          <w:sz w:val="24"/>
        </w:rPr>
        <w:t xml:space="preserve"> 39(4):304–312.</w:t>
      </w:r>
    </w:p>
    <w:p w:rsidR="00E63E12" w:rsidRPr="00873E6C" w:rsidRDefault="00E63E12" w:rsidP="00E63E12">
      <w:pPr>
        <w:pStyle w:val="Bibliography"/>
        <w:rPr>
          <w:rFonts w:ascii="Times" w:hAnsi="Times"/>
          <w:sz w:val="24"/>
        </w:rPr>
      </w:pPr>
      <w:r w:rsidRPr="00873E6C">
        <w:rPr>
          <w:rFonts w:ascii="Times" w:hAnsi="Times"/>
          <w:sz w:val="24"/>
        </w:rPr>
        <w:t xml:space="preserve">78. </w:t>
      </w:r>
      <w:r w:rsidRPr="00873E6C">
        <w:rPr>
          <w:rFonts w:ascii="Times" w:hAnsi="Times"/>
          <w:sz w:val="24"/>
        </w:rPr>
        <w:tab/>
        <w:t xml:space="preserve">Marshall KE, Sinclair BJ (2010) Repeated stress exposure results in a survival-reproduction trade-off in Drosophila melanogaster. </w:t>
      </w:r>
      <w:r w:rsidRPr="00873E6C">
        <w:rPr>
          <w:rFonts w:ascii="Times" w:hAnsi="Times"/>
          <w:i/>
          <w:iCs/>
          <w:sz w:val="24"/>
        </w:rPr>
        <w:t>Proc R Soc B Biol Sci</w:t>
      </w:r>
      <w:r w:rsidRPr="00873E6C">
        <w:rPr>
          <w:rFonts w:ascii="Times" w:hAnsi="Times"/>
          <w:sz w:val="24"/>
        </w:rPr>
        <w:t xml:space="preserve"> 277(1683):963–969.</w:t>
      </w:r>
    </w:p>
    <w:p w:rsidR="00E63E12" w:rsidRPr="00873E6C" w:rsidRDefault="00E63E12" w:rsidP="00E63E12">
      <w:pPr>
        <w:pStyle w:val="Bibliography"/>
        <w:rPr>
          <w:rFonts w:ascii="Times" w:hAnsi="Times"/>
          <w:sz w:val="24"/>
        </w:rPr>
      </w:pPr>
      <w:r w:rsidRPr="00873E6C">
        <w:rPr>
          <w:rFonts w:ascii="Times" w:hAnsi="Times"/>
          <w:sz w:val="24"/>
        </w:rPr>
        <w:t xml:space="preserve">79. </w:t>
      </w:r>
      <w:r w:rsidRPr="00873E6C">
        <w:rPr>
          <w:rFonts w:ascii="Times" w:hAnsi="Times"/>
          <w:sz w:val="24"/>
        </w:rPr>
        <w:tab/>
        <w:t xml:space="preserve">Noordwijk AJ van, Jong G de (1986) Acquisition and Allocation of Resources: Their Influence on Variation in Life History Tactics. </w:t>
      </w:r>
      <w:r w:rsidRPr="00873E6C">
        <w:rPr>
          <w:rFonts w:ascii="Times" w:hAnsi="Times"/>
          <w:i/>
          <w:iCs/>
          <w:sz w:val="24"/>
        </w:rPr>
        <w:t>Am Nat</w:t>
      </w:r>
      <w:r w:rsidRPr="00873E6C">
        <w:rPr>
          <w:rFonts w:ascii="Times" w:hAnsi="Times"/>
          <w:sz w:val="24"/>
        </w:rPr>
        <w:t xml:space="preserve"> 128(1):137–142.</w:t>
      </w:r>
    </w:p>
    <w:p w:rsidR="00E63E12" w:rsidRPr="00873E6C" w:rsidRDefault="00E63E12" w:rsidP="00E63E12">
      <w:pPr>
        <w:pStyle w:val="Bibliography"/>
        <w:rPr>
          <w:rFonts w:ascii="Times" w:hAnsi="Times"/>
          <w:sz w:val="24"/>
        </w:rPr>
      </w:pPr>
      <w:r w:rsidRPr="00873E6C">
        <w:rPr>
          <w:rFonts w:ascii="Times" w:hAnsi="Times"/>
          <w:sz w:val="24"/>
        </w:rPr>
        <w:t xml:space="preserve">80. </w:t>
      </w:r>
      <w:r w:rsidRPr="00873E6C">
        <w:rPr>
          <w:rFonts w:ascii="Times" w:hAnsi="Times"/>
          <w:sz w:val="24"/>
        </w:rPr>
        <w:tab/>
        <w:t xml:space="preserve">Helle S (2017) Accounting for measurement error in human life history trade-offs using structural equation modeling. </w:t>
      </w:r>
      <w:r w:rsidRPr="00873E6C">
        <w:rPr>
          <w:rFonts w:ascii="Times" w:hAnsi="Times"/>
          <w:i/>
          <w:iCs/>
          <w:sz w:val="24"/>
        </w:rPr>
        <w:t>Am J Hum Biol</w:t>
      </w:r>
      <w:r w:rsidRPr="00873E6C">
        <w:rPr>
          <w:rFonts w:ascii="Times" w:hAnsi="Times"/>
          <w:sz w:val="24"/>
        </w:rPr>
        <w:t>:e23075.</w:t>
      </w:r>
    </w:p>
    <w:p w:rsidR="00E63E12" w:rsidRPr="00873E6C" w:rsidRDefault="00E63E12" w:rsidP="00E63E12">
      <w:pPr>
        <w:pStyle w:val="Bibliography"/>
        <w:rPr>
          <w:rFonts w:ascii="Times" w:hAnsi="Times"/>
          <w:sz w:val="24"/>
        </w:rPr>
      </w:pPr>
      <w:r w:rsidRPr="00873E6C">
        <w:rPr>
          <w:rFonts w:ascii="Times" w:hAnsi="Times"/>
          <w:sz w:val="24"/>
        </w:rPr>
        <w:t xml:space="preserve">81. </w:t>
      </w:r>
      <w:r w:rsidRPr="00873E6C">
        <w:rPr>
          <w:rFonts w:ascii="Times" w:hAnsi="Times"/>
          <w:sz w:val="24"/>
        </w:rPr>
        <w:tab/>
        <w:t xml:space="preserve">Adair LS, et al. (2011) Cohort Profile: The Cebu Longitudinal Health and Nutrition Survey. </w:t>
      </w:r>
      <w:r w:rsidRPr="00873E6C">
        <w:rPr>
          <w:rFonts w:ascii="Times" w:hAnsi="Times"/>
          <w:i/>
          <w:iCs/>
          <w:sz w:val="24"/>
        </w:rPr>
        <w:t>Int J Epidemiol</w:t>
      </w:r>
      <w:r w:rsidRPr="00873E6C">
        <w:rPr>
          <w:rFonts w:ascii="Times" w:hAnsi="Times"/>
          <w:sz w:val="24"/>
        </w:rPr>
        <w:t xml:space="preserve"> 40(3):619–625.</w:t>
      </w:r>
    </w:p>
    <w:p w:rsidR="00E63E12" w:rsidRPr="00873E6C" w:rsidRDefault="00E63E12" w:rsidP="00E63E12">
      <w:pPr>
        <w:pStyle w:val="Bibliography"/>
        <w:rPr>
          <w:rFonts w:ascii="Times" w:hAnsi="Times"/>
          <w:sz w:val="24"/>
        </w:rPr>
      </w:pPr>
      <w:r w:rsidRPr="00873E6C">
        <w:rPr>
          <w:rFonts w:ascii="Times" w:hAnsi="Times"/>
          <w:sz w:val="24"/>
        </w:rPr>
        <w:t xml:space="preserve">82. </w:t>
      </w:r>
      <w:r w:rsidRPr="00873E6C">
        <w:rPr>
          <w:rFonts w:ascii="Times" w:hAnsi="Times"/>
          <w:sz w:val="24"/>
        </w:rPr>
        <w:tab/>
        <w:t xml:space="preserve">Verhulst S, et al. (2015) Commentary: The reliability of telomere length measurements. </w:t>
      </w:r>
      <w:r w:rsidRPr="00873E6C">
        <w:rPr>
          <w:rFonts w:ascii="Times" w:hAnsi="Times"/>
          <w:i/>
          <w:iCs/>
          <w:sz w:val="24"/>
        </w:rPr>
        <w:t>Int J Epidemiol</w:t>
      </w:r>
      <w:r w:rsidRPr="00873E6C">
        <w:rPr>
          <w:rFonts w:ascii="Times" w:hAnsi="Times"/>
          <w:sz w:val="24"/>
        </w:rPr>
        <w:t xml:space="preserve"> 44(5):1683–6.</w:t>
      </w:r>
    </w:p>
    <w:p w:rsidR="00E63E12" w:rsidRPr="00873E6C" w:rsidRDefault="00E63E12" w:rsidP="00E63E12">
      <w:pPr>
        <w:pStyle w:val="Bibliography"/>
        <w:rPr>
          <w:rFonts w:ascii="Times" w:hAnsi="Times"/>
          <w:sz w:val="24"/>
        </w:rPr>
      </w:pPr>
      <w:r w:rsidRPr="00873E6C">
        <w:rPr>
          <w:rFonts w:ascii="Times" w:hAnsi="Times"/>
          <w:sz w:val="24"/>
        </w:rPr>
        <w:t xml:space="preserve">83. </w:t>
      </w:r>
      <w:r w:rsidRPr="00873E6C">
        <w:rPr>
          <w:rFonts w:ascii="Times" w:hAnsi="Times"/>
          <w:sz w:val="24"/>
        </w:rPr>
        <w:tab/>
        <w:t xml:space="preserve">Eisenberg DT (2016) Telomere length measurement validity: the coefficient of variation is invalid and cannot be used to compare quantitative polymerase chain reaction and Southern blot telomere length measurement techniques. </w:t>
      </w:r>
      <w:r w:rsidRPr="00873E6C">
        <w:rPr>
          <w:rFonts w:ascii="Times" w:hAnsi="Times"/>
          <w:i/>
          <w:iCs/>
          <w:sz w:val="24"/>
        </w:rPr>
        <w:t>Int J Epidemiol</w:t>
      </w:r>
      <w:r w:rsidRPr="00873E6C">
        <w:rPr>
          <w:rFonts w:ascii="Times" w:hAnsi="Times"/>
          <w:sz w:val="24"/>
        </w:rPr>
        <w:t xml:space="preserve"> 45(4):1295–1298.</w:t>
      </w:r>
    </w:p>
    <w:p w:rsidR="00E63E12" w:rsidRPr="00873E6C" w:rsidRDefault="00E63E12" w:rsidP="00E63E12">
      <w:pPr>
        <w:pStyle w:val="Bibliography"/>
        <w:rPr>
          <w:rFonts w:ascii="Times" w:hAnsi="Times"/>
          <w:sz w:val="24"/>
        </w:rPr>
      </w:pPr>
      <w:r w:rsidRPr="00873E6C">
        <w:rPr>
          <w:rFonts w:ascii="Times" w:hAnsi="Times"/>
          <w:sz w:val="24"/>
        </w:rPr>
        <w:t xml:space="preserve">84. </w:t>
      </w:r>
      <w:r w:rsidRPr="00873E6C">
        <w:rPr>
          <w:rFonts w:ascii="Times" w:hAnsi="Times"/>
          <w:sz w:val="24"/>
        </w:rPr>
        <w:tab/>
        <w:t xml:space="preserve">Eisenberg DTA, Borja JB, Hayes MG, Kuzawa CW (2017) Early life infection, but not breastfeeding, predicts adult blood telomere lengths in the Philippines. </w:t>
      </w:r>
      <w:r w:rsidRPr="00873E6C">
        <w:rPr>
          <w:rFonts w:ascii="Times" w:hAnsi="Times"/>
          <w:i/>
          <w:iCs/>
          <w:sz w:val="24"/>
        </w:rPr>
        <w:t>Am J Hum Biol</w:t>
      </w:r>
      <w:r w:rsidRPr="00873E6C">
        <w:rPr>
          <w:rFonts w:ascii="Times" w:hAnsi="Times"/>
          <w:sz w:val="24"/>
        </w:rPr>
        <w:t xml:space="preserve"> 29(4).</w:t>
      </w:r>
    </w:p>
    <w:p w:rsidR="00E63E12" w:rsidRPr="00873E6C" w:rsidRDefault="00E63E12" w:rsidP="00E63E12">
      <w:pPr>
        <w:pStyle w:val="Bibliography"/>
        <w:rPr>
          <w:rFonts w:ascii="Times" w:hAnsi="Times"/>
          <w:sz w:val="24"/>
        </w:rPr>
      </w:pPr>
      <w:r w:rsidRPr="00873E6C">
        <w:rPr>
          <w:rFonts w:ascii="Times" w:hAnsi="Times"/>
          <w:sz w:val="24"/>
        </w:rPr>
        <w:t xml:space="preserve">85. </w:t>
      </w:r>
      <w:r w:rsidRPr="00873E6C">
        <w:rPr>
          <w:rFonts w:ascii="Times" w:hAnsi="Times"/>
          <w:sz w:val="24"/>
        </w:rPr>
        <w:tab/>
        <w:t xml:space="preserve">Du P, Kibbe WA, Lin SM (2008) lumi: a pipeline for processing Illumina microarray. </w:t>
      </w:r>
      <w:r w:rsidRPr="00873E6C">
        <w:rPr>
          <w:rFonts w:ascii="Times" w:hAnsi="Times"/>
          <w:i/>
          <w:iCs/>
          <w:sz w:val="24"/>
        </w:rPr>
        <w:t>Bioinformatics</w:t>
      </w:r>
      <w:r w:rsidRPr="00873E6C">
        <w:rPr>
          <w:rFonts w:ascii="Times" w:hAnsi="Times"/>
          <w:sz w:val="24"/>
        </w:rPr>
        <w:t xml:space="preserve"> 24(13):1547–1548.</w:t>
      </w:r>
    </w:p>
    <w:p w:rsidR="00E63E12" w:rsidRPr="00873E6C" w:rsidRDefault="00E63E12" w:rsidP="00E63E12">
      <w:pPr>
        <w:pStyle w:val="Bibliography"/>
        <w:rPr>
          <w:rFonts w:ascii="Times" w:hAnsi="Times"/>
          <w:sz w:val="24"/>
        </w:rPr>
      </w:pPr>
      <w:r w:rsidRPr="00873E6C">
        <w:rPr>
          <w:rFonts w:ascii="Times" w:hAnsi="Times"/>
          <w:sz w:val="24"/>
        </w:rPr>
        <w:t xml:space="preserve">86. </w:t>
      </w:r>
      <w:r w:rsidRPr="00873E6C">
        <w:rPr>
          <w:rFonts w:ascii="Times" w:hAnsi="Times"/>
          <w:sz w:val="24"/>
        </w:rPr>
        <w:tab/>
        <w:t xml:space="preserve">Dahly DL, Adair LS (2007) Quantifying the urban environment: A scale measure of urbanicity outperforms the urban–rural dichotomy. </w:t>
      </w:r>
      <w:r w:rsidRPr="00873E6C">
        <w:rPr>
          <w:rFonts w:ascii="Times" w:hAnsi="Times"/>
          <w:i/>
          <w:iCs/>
          <w:sz w:val="24"/>
        </w:rPr>
        <w:t>Soc Sci Med</w:t>
      </w:r>
      <w:r w:rsidRPr="00873E6C">
        <w:rPr>
          <w:rFonts w:ascii="Times" w:hAnsi="Times"/>
          <w:sz w:val="24"/>
        </w:rPr>
        <w:t xml:space="preserve"> 64(7):1407–1419.</w:t>
      </w:r>
    </w:p>
    <w:p w:rsidR="00E63E12" w:rsidRPr="00873E6C" w:rsidRDefault="00E63E12" w:rsidP="00E63E12">
      <w:pPr>
        <w:pStyle w:val="Bibliography"/>
        <w:rPr>
          <w:rFonts w:ascii="Times" w:hAnsi="Times"/>
          <w:sz w:val="24"/>
        </w:rPr>
      </w:pPr>
      <w:r w:rsidRPr="00873E6C">
        <w:rPr>
          <w:rFonts w:ascii="Times" w:hAnsi="Times"/>
          <w:sz w:val="24"/>
        </w:rPr>
        <w:t xml:space="preserve">87. </w:t>
      </w:r>
      <w:r w:rsidRPr="00873E6C">
        <w:rPr>
          <w:rFonts w:ascii="Times" w:hAnsi="Times"/>
          <w:sz w:val="24"/>
        </w:rPr>
        <w:tab/>
        <w:t xml:space="preserve">Wu Y, et al. (2012) Genome-wide Association with C-Reactive Protein Levels in CLHNS: Evidence for the CRP and HNF1A Loci and their Interaction with Exposure to a Pathogenic Environment. </w:t>
      </w:r>
      <w:r w:rsidRPr="00873E6C">
        <w:rPr>
          <w:rFonts w:ascii="Times" w:hAnsi="Times"/>
          <w:i/>
          <w:iCs/>
          <w:sz w:val="24"/>
        </w:rPr>
        <w:t>Inflammation</w:t>
      </w:r>
      <w:r w:rsidRPr="00873E6C">
        <w:rPr>
          <w:rFonts w:ascii="Times" w:hAnsi="Times"/>
          <w:sz w:val="24"/>
        </w:rPr>
        <w:t xml:space="preserve"> 35(2):574–583.</w:t>
      </w:r>
    </w:p>
    <w:p w:rsidR="00E63E12" w:rsidRPr="00873E6C" w:rsidRDefault="00E63E12" w:rsidP="00E63E12">
      <w:pPr>
        <w:pStyle w:val="Bibliography"/>
        <w:rPr>
          <w:rFonts w:ascii="Times" w:hAnsi="Times"/>
          <w:sz w:val="24"/>
        </w:rPr>
      </w:pPr>
      <w:r w:rsidRPr="00873E6C">
        <w:rPr>
          <w:rFonts w:ascii="Times" w:hAnsi="Times"/>
          <w:sz w:val="24"/>
        </w:rPr>
        <w:t xml:space="preserve">88. </w:t>
      </w:r>
      <w:r w:rsidRPr="00873E6C">
        <w:rPr>
          <w:rFonts w:ascii="Times" w:hAnsi="Times"/>
          <w:sz w:val="24"/>
        </w:rPr>
        <w:tab/>
        <w:t xml:space="preserve">Croteau-Chonka DC, et al. (2011) Genome-wide association study of anthropometric traits and evidence of interactions with age and study year in Filipino women. </w:t>
      </w:r>
      <w:r w:rsidRPr="00873E6C">
        <w:rPr>
          <w:rFonts w:ascii="Times" w:hAnsi="Times"/>
          <w:i/>
          <w:iCs/>
          <w:sz w:val="24"/>
        </w:rPr>
        <w:t>Obes Silver Spring</w:t>
      </w:r>
      <w:r w:rsidRPr="00873E6C">
        <w:rPr>
          <w:rFonts w:ascii="Times" w:hAnsi="Times"/>
          <w:sz w:val="24"/>
        </w:rPr>
        <w:t xml:space="preserve"> 19(5):1019–27.</w:t>
      </w:r>
    </w:p>
    <w:p w:rsidR="00E63E12" w:rsidRPr="00873E6C" w:rsidRDefault="00E63E12" w:rsidP="00E63E12">
      <w:pPr>
        <w:pStyle w:val="Bibliography"/>
        <w:rPr>
          <w:rFonts w:ascii="Times" w:hAnsi="Times"/>
          <w:sz w:val="24"/>
        </w:rPr>
      </w:pPr>
      <w:r w:rsidRPr="00873E6C">
        <w:rPr>
          <w:rFonts w:ascii="Times" w:hAnsi="Times"/>
          <w:sz w:val="24"/>
        </w:rPr>
        <w:t xml:space="preserve">89. </w:t>
      </w:r>
      <w:r w:rsidRPr="00873E6C">
        <w:rPr>
          <w:rFonts w:ascii="Times" w:hAnsi="Times"/>
          <w:sz w:val="24"/>
        </w:rPr>
        <w:tab/>
        <w:t xml:space="preserve">Croteau-Chonka DC, et al. (2012) Population-specific coding variant underlies genome-wide association with adiponectin level. </w:t>
      </w:r>
      <w:r w:rsidRPr="00873E6C">
        <w:rPr>
          <w:rFonts w:ascii="Times" w:hAnsi="Times"/>
          <w:i/>
          <w:iCs/>
          <w:sz w:val="24"/>
        </w:rPr>
        <w:t>Hum Mol Genet</w:t>
      </w:r>
      <w:r w:rsidRPr="00873E6C">
        <w:rPr>
          <w:rFonts w:ascii="Times" w:hAnsi="Times"/>
          <w:sz w:val="24"/>
        </w:rPr>
        <w:t xml:space="preserve"> 21(2):463–71.</w:t>
      </w:r>
    </w:p>
    <w:p w:rsidR="00E63E12" w:rsidRPr="00873E6C" w:rsidRDefault="00E63E12" w:rsidP="00E63E12">
      <w:pPr>
        <w:pStyle w:val="Bibliography"/>
        <w:rPr>
          <w:rFonts w:ascii="Times" w:hAnsi="Times"/>
          <w:sz w:val="24"/>
        </w:rPr>
      </w:pPr>
      <w:r w:rsidRPr="00873E6C">
        <w:rPr>
          <w:rFonts w:ascii="Times" w:hAnsi="Times"/>
          <w:sz w:val="24"/>
        </w:rPr>
        <w:t xml:space="preserve">90. </w:t>
      </w:r>
      <w:r w:rsidRPr="00873E6C">
        <w:rPr>
          <w:rFonts w:ascii="Times" w:hAnsi="Times"/>
          <w:sz w:val="24"/>
        </w:rPr>
        <w:tab/>
        <w:t xml:space="preserve">Bethancourt HJ, et al. (2015) No Association between Blood Telomere Length and Longitudinally-Assessed Diet or Adiposity or Diet in a Young Adult Filipino Population. </w:t>
      </w:r>
      <w:r w:rsidRPr="00873E6C">
        <w:rPr>
          <w:rFonts w:ascii="Times" w:hAnsi="Times"/>
          <w:i/>
          <w:iCs/>
          <w:sz w:val="24"/>
        </w:rPr>
        <w:t>Eur J Nutr</w:t>
      </w:r>
      <w:r w:rsidRPr="00873E6C">
        <w:rPr>
          <w:rFonts w:ascii="Times" w:hAnsi="Times"/>
          <w:sz w:val="24"/>
        </w:rPr>
        <w:t>:1–14.</w:t>
      </w:r>
    </w:p>
    <w:p w:rsidR="00E63E12" w:rsidRPr="00873E6C" w:rsidRDefault="00E63E12" w:rsidP="00E63E12">
      <w:pPr>
        <w:pStyle w:val="Bibliography"/>
        <w:rPr>
          <w:rFonts w:ascii="Times" w:hAnsi="Times"/>
          <w:sz w:val="24"/>
        </w:rPr>
      </w:pPr>
      <w:r w:rsidRPr="00873E6C">
        <w:rPr>
          <w:rFonts w:ascii="Times" w:hAnsi="Times"/>
          <w:sz w:val="24"/>
        </w:rPr>
        <w:t xml:space="preserve">91. </w:t>
      </w:r>
      <w:r w:rsidRPr="00873E6C">
        <w:rPr>
          <w:rFonts w:ascii="Times" w:hAnsi="Times"/>
          <w:sz w:val="24"/>
        </w:rPr>
        <w:tab/>
        <w:t xml:space="preserve">Kleiber C, Zeileis A (2008) </w:t>
      </w:r>
      <w:r w:rsidRPr="00873E6C">
        <w:rPr>
          <w:rFonts w:ascii="Times" w:hAnsi="Times"/>
          <w:i/>
          <w:iCs/>
          <w:sz w:val="24"/>
        </w:rPr>
        <w:t>Applied econometrics with R</w:t>
      </w:r>
      <w:r w:rsidRPr="00873E6C">
        <w:rPr>
          <w:rFonts w:ascii="Times" w:hAnsi="Times"/>
          <w:sz w:val="24"/>
        </w:rPr>
        <w:t xml:space="preserve"> (Springer Verlag).</w:t>
      </w:r>
    </w:p>
    <w:p w:rsidR="00E63E12" w:rsidRPr="00873E6C" w:rsidRDefault="00E63E12" w:rsidP="00E63E12">
      <w:pPr>
        <w:pStyle w:val="Bibliography"/>
        <w:rPr>
          <w:rFonts w:ascii="Times" w:hAnsi="Times"/>
          <w:sz w:val="24"/>
        </w:rPr>
      </w:pPr>
      <w:r w:rsidRPr="00873E6C">
        <w:rPr>
          <w:rFonts w:ascii="Times" w:hAnsi="Times"/>
          <w:sz w:val="24"/>
        </w:rPr>
        <w:t xml:space="preserve">92. </w:t>
      </w:r>
      <w:r w:rsidRPr="00873E6C">
        <w:rPr>
          <w:rFonts w:ascii="Times" w:hAnsi="Times"/>
          <w:sz w:val="24"/>
        </w:rPr>
        <w:tab/>
        <w:t xml:space="preserve">R Core Development Team (2011) R: A language and environment for statistical computing, reference index version 2.12.2. </w:t>
      </w:r>
      <w:r w:rsidRPr="00873E6C">
        <w:rPr>
          <w:rFonts w:ascii="Times" w:hAnsi="Times"/>
          <w:i/>
          <w:iCs/>
          <w:sz w:val="24"/>
        </w:rPr>
        <w:t>R Found Stat Comput Vienna Austria</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93. </w:t>
      </w:r>
      <w:r w:rsidRPr="00873E6C">
        <w:rPr>
          <w:rFonts w:ascii="Times" w:hAnsi="Times"/>
          <w:sz w:val="24"/>
        </w:rPr>
        <w:tab/>
        <w:t>Wickham H, Chang W, Wickham MH (2013) Package ‘ggplot2.’</w:t>
      </w:r>
    </w:p>
    <w:p w:rsidR="00E63E12" w:rsidRPr="00873E6C" w:rsidRDefault="00E63E12" w:rsidP="00E63E12">
      <w:pPr>
        <w:pStyle w:val="Bibliography"/>
        <w:rPr>
          <w:rFonts w:ascii="Times" w:hAnsi="Times"/>
          <w:sz w:val="24"/>
        </w:rPr>
      </w:pPr>
      <w:r w:rsidRPr="00873E6C">
        <w:rPr>
          <w:rFonts w:ascii="Times" w:hAnsi="Times"/>
          <w:sz w:val="24"/>
        </w:rPr>
        <w:t xml:space="preserve">94. </w:t>
      </w:r>
      <w:r w:rsidRPr="00873E6C">
        <w:rPr>
          <w:rFonts w:ascii="Times" w:hAnsi="Times"/>
          <w:sz w:val="24"/>
        </w:rPr>
        <w:tab/>
        <w:t xml:space="preserve">Hlavac M (2014) stargazer: LaTeX code and ASCII text for well-formatted regression and summary statistics tables. </w:t>
      </w:r>
      <w:r w:rsidRPr="00873E6C">
        <w:rPr>
          <w:rFonts w:ascii="Times" w:hAnsi="Times"/>
          <w:i/>
          <w:iCs/>
          <w:sz w:val="24"/>
        </w:rPr>
        <w:t>Vienna Austria R Found Stat Comput</w:t>
      </w:r>
      <w:r w:rsidRPr="00873E6C">
        <w:rPr>
          <w:rFonts w:ascii="Times" w:hAnsi="Times"/>
          <w:sz w:val="24"/>
        </w:rPr>
        <w:t>.</w:t>
      </w:r>
    </w:p>
    <w:p w:rsidR="00E63E12" w:rsidRPr="00873E6C" w:rsidRDefault="00E11235" w:rsidP="00E63E12">
      <w:pPr>
        <w:rPr>
          <w:rFonts w:ascii="Times" w:hAnsi="Times" w:cs="Times New Roman"/>
          <w:b/>
          <w:sz w:val="24"/>
          <w:szCs w:val="24"/>
        </w:rPr>
      </w:pPr>
      <w:r w:rsidRPr="00873E6C">
        <w:rPr>
          <w:rFonts w:ascii="Times" w:hAnsi="Times" w:cs="Times New Roman"/>
          <w:b/>
          <w:sz w:val="24"/>
          <w:szCs w:val="24"/>
        </w:rPr>
        <w:fldChar w:fldCharType="end"/>
      </w:r>
    </w:p>
    <w:p w:rsidR="00E63E12" w:rsidRPr="00873E6C" w:rsidRDefault="00E63E12" w:rsidP="00E63E12">
      <w:pPr>
        <w:rPr>
          <w:rFonts w:ascii="Times" w:hAnsi="Times" w:cs="Times New Roman"/>
          <w:b/>
          <w:sz w:val="24"/>
          <w:szCs w:val="24"/>
        </w:rPr>
      </w:pPr>
      <w:r w:rsidRPr="00873E6C">
        <w:rPr>
          <w:rFonts w:ascii="Times" w:hAnsi="Times" w:cs="Times New Roman"/>
          <w:b/>
          <w:sz w:val="24"/>
          <w:szCs w:val="24"/>
        </w:rPr>
        <w:br w:type="page"/>
        <w:t>Supplementary Information</w:t>
      </w:r>
    </w:p>
    <w:p w:rsidR="00E63E12" w:rsidRPr="00873E6C" w:rsidRDefault="00E63E12" w:rsidP="00E63E12">
      <w:pPr>
        <w:rPr>
          <w:rFonts w:ascii="Times" w:hAnsi="Times" w:cs="Times New Roman"/>
          <w:sz w:val="24"/>
          <w:szCs w:val="24"/>
        </w:rPr>
      </w:pPr>
      <w:r w:rsidRPr="00873E6C">
        <w:rPr>
          <w:rFonts w:ascii="Times" w:hAnsi="Times" w:cs="Times New Roman"/>
          <w:b/>
          <w:sz w:val="24"/>
          <w:szCs w:val="24"/>
        </w:rPr>
        <w:t xml:space="preserve">Table S1. </w:t>
      </w:r>
      <w:proofErr w:type="gramStart"/>
      <w:r w:rsidRPr="00873E6C">
        <w:rPr>
          <w:rFonts w:ascii="Times" w:hAnsi="Times" w:cs="Times New Roman"/>
          <w:b/>
          <w:sz w:val="24"/>
          <w:szCs w:val="24"/>
        </w:rPr>
        <w:t>Comparison of TL across ethnicities.</w:t>
      </w:r>
      <w:proofErr w:type="gramEnd"/>
      <w:r w:rsidRPr="00873E6C">
        <w:rPr>
          <w:rFonts w:ascii="Times" w:hAnsi="Times" w:cs="Times New Roman"/>
          <w:b/>
          <w:sz w:val="24"/>
          <w:szCs w:val="24"/>
        </w:rPr>
        <w:t xml:space="preserve"> </w:t>
      </w:r>
      <w:proofErr w:type="spellStart"/>
      <w:proofErr w:type="gramStart"/>
      <w:r w:rsidRPr="00873E6C">
        <w:rPr>
          <w:rFonts w:ascii="Times" w:hAnsi="Times" w:cs="Times New Roman"/>
          <w:sz w:val="24"/>
          <w:szCs w:val="24"/>
        </w:rPr>
        <w:t>qPCR</w:t>
      </w:r>
      <w:proofErr w:type="spellEnd"/>
      <w:proofErr w:type="gramEnd"/>
      <w:r w:rsidRPr="00873E6C">
        <w:rPr>
          <w:rFonts w:ascii="Times" w:hAnsi="Times" w:cs="Times New Roman"/>
          <w:sz w:val="24"/>
          <w:szCs w:val="24"/>
        </w:rPr>
        <w:t xml:space="preserve"> measured TL does not permit comparisons across populations, but 190 samples from the population for which the samples from this paper come from have had southern blot TL measured (Eisenberg et al. 2015). The average age of this sample is 35.96 (± 15.83, range 21.02-68.33), with an average TL of </w:t>
      </w:r>
      <w:proofErr w:type="gramStart"/>
      <w:r w:rsidRPr="00873E6C">
        <w:rPr>
          <w:rFonts w:ascii="Times" w:hAnsi="Times" w:cs="Times New Roman"/>
          <w:sz w:val="24"/>
          <w:szCs w:val="24"/>
        </w:rPr>
        <w:t>7.86 kb</w:t>
      </w:r>
      <w:proofErr w:type="gramEnd"/>
      <w:r w:rsidRPr="00873E6C">
        <w:rPr>
          <w:rFonts w:ascii="Times" w:hAnsi="Times" w:cs="Times New Roman"/>
          <w:sz w:val="24"/>
          <w:szCs w:val="24"/>
        </w:rPr>
        <w:t xml:space="preserve"> (± 0.76), and an estimated age related decline in TL of 21.98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(95% CI 15.81-28.15). This age related decline is non-significantly less than that found in other populations (African=27.7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African Americans = 25.6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Europeans = 27.3 </w:t>
      </w:r>
      <w:proofErr w:type="spellStart"/>
      <w:r w:rsidRPr="00873E6C">
        <w:rPr>
          <w:rFonts w:ascii="Times" w:hAnsi="Times" w:cs="Times New Roman"/>
          <w:sz w:val="24"/>
          <w:szCs w:val="24"/>
        </w:rPr>
        <w:t>bp</w:t>
      </w:r>
      <w:proofErr w:type="spellEnd"/>
      <w:r w:rsidRPr="00873E6C">
        <w:rPr>
          <w:rFonts w:ascii="Times" w:hAnsi="Times" w:cs="Times New Roman"/>
          <w:sz w:val="24"/>
          <w:szCs w:val="24"/>
        </w:rPr>
        <w:t>/year) (Hansen et al. 2016). These three populations from Hansen et al. (2016) have an average age of 43.25. Adjusting the Cebu population TL for the 7.29 years younger they are by assuming the observed 21</w:t>
      </w:r>
      <w:proofErr w:type="gramStart"/>
      <w:r w:rsidRPr="00873E6C">
        <w:rPr>
          <w:rFonts w:ascii="Times" w:hAnsi="Times" w:cs="Times New Roman"/>
          <w:sz w:val="24"/>
          <w:szCs w:val="24"/>
        </w:rPr>
        <w:t xml:space="preserve">.98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w:t>
      </w:r>
      <w:proofErr w:type="gramEnd"/>
      <w:r w:rsidRPr="00873E6C">
        <w:rPr>
          <w:rFonts w:ascii="Times" w:hAnsi="Times" w:cs="Times New Roman"/>
          <w:sz w:val="24"/>
          <w:szCs w:val="24"/>
        </w:rPr>
        <w:t>year attrition rates yields an interpolated TL of 7.70 kb if the mean age was 43.25, the same as the samples in Hansen et al. (2016). This suggests that the TL in Cebu is longer than that of European and African Americans, but slightly shorter than that of Africans (Table S1).</w:t>
      </w:r>
    </w:p>
    <w:p w:rsidR="00E63E12" w:rsidRPr="00873E6C" w:rsidRDefault="00E63E12" w:rsidP="00E63E12">
      <w:pPr>
        <w:rPr>
          <w:rFonts w:ascii="Times" w:hAnsi="Times" w:cs="Times New Roman"/>
          <w:sz w:val="20"/>
          <w:szCs w:val="24"/>
        </w:rPr>
      </w:pP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2718"/>
        <w:gridCol w:w="2092"/>
        <w:gridCol w:w="2092"/>
        <w:gridCol w:w="2093"/>
      </w:tblGrid>
      <w:tr w:rsidR="00E63E12" w:rsidRPr="00873E6C">
        <w:tc>
          <w:tcPr>
            <w:tcW w:w="2718" w:type="dxa"/>
            <w:tcBorders>
              <w:top w:val="double" w:sz="4" w:space="0" w:color="auto"/>
              <w:bottom w:val="single" w:sz="4" w:space="0" w:color="auto"/>
            </w:tcBorders>
            <w:shd w:val="clear" w:color="auto" w:fill="auto"/>
          </w:tcPr>
          <w:p w:rsidR="00E63E12" w:rsidRPr="00873E6C" w:rsidRDefault="00E63E12" w:rsidP="00DE79F2">
            <w:pPr>
              <w:rPr>
                <w:rFonts w:ascii="Times" w:hAnsi="Times" w:cs="Times New Roman"/>
                <w:b/>
                <w:sz w:val="20"/>
                <w:szCs w:val="24"/>
              </w:rPr>
            </w:pPr>
            <w:r w:rsidRPr="00873E6C">
              <w:rPr>
                <w:rFonts w:ascii="Times" w:hAnsi="Times" w:cs="Times New Roman"/>
                <w:b/>
                <w:sz w:val="20"/>
                <w:szCs w:val="24"/>
              </w:rPr>
              <w:t>Ethnicity (N)</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 Female</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Age (years)</w:t>
            </w:r>
          </w:p>
        </w:tc>
        <w:tc>
          <w:tcPr>
            <w:tcW w:w="2093"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LTL (kb)</w:t>
            </w:r>
          </w:p>
        </w:tc>
      </w:tr>
      <w:tr w:rsidR="00E63E12" w:rsidRPr="00873E6C">
        <w:tc>
          <w:tcPr>
            <w:tcW w:w="2718" w:type="dxa"/>
            <w:tcBorders>
              <w:top w:val="single" w:sz="4" w:space="0" w:color="auto"/>
            </w:tcBorders>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Europeans (90)*</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63.3</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43.9 (18-78)</w:t>
            </w:r>
          </w:p>
        </w:tc>
        <w:tc>
          <w:tcPr>
            <w:tcW w:w="2093"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7.21 (5.39-9.42)</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 Americans (97)*</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67.1</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42.9 (21-79)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7.45 (5.55-9.16)</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Africans (100)*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68.0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43.0 (18-79)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7.85 (5.64-10.13)</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Cebu, Philippines (190)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50.3</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43.3~</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7.70 (6.10-9.21)</w:t>
            </w:r>
          </w:p>
        </w:tc>
      </w:tr>
    </w:tbl>
    <w:p w:rsidR="00E63E12" w:rsidRPr="00873E6C" w:rsidRDefault="00E63E12" w:rsidP="00E63E12">
      <w:pPr>
        <w:spacing w:after="0"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from</w:t>
      </w:r>
      <w:proofErr w:type="gramEnd"/>
      <w:r w:rsidRPr="00873E6C">
        <w:rPr>
          <w:rFonts w:ascii="Times" w:hAnsi="Times" w:cs="Times New Roman"/>
          <w:sz w:val="20"/>
          <w:szCs w:val="24"/>
        </w:rPr>
        <w:t xml:space="preserve"> </w:t>
      </w:r>
      <w:r w:rsidRPr="00873E6C">
        <w:rPr>
          <w:rFonts w:ascii="Times" w:hAnsi="Times"/>
          <w:sz w:val="20"/>
          <w:szCs w:val="20"/>
        </w:rPr>
        <w:t xml:space="preserve">Hansen MEB, et al. (2016) Shorter telomere length in Europeans than in Africans due to polygenetic adaptation. </w:t>
      </w:r>
      <w:proofErr w:type="gramStart"/>
      <w:r w:rsidRPr="00873E6C">
        <w:rPr>
          <w:rFonts w:ascii="Times" w:hAnsi="Times"/>
          <w:i/>
          <w:sz w:val="20"/>
          <w:szCs w:val="20"/>
        </w:rPr>
        <w:t>Human Molecular Genetics</w:t>
      </w:r>
      <w:r w:rsidRPr="00873E6C">
        <w:rPr>
          <w:rFonts w:ascii="Times" w:hAnsi="Times"/>
          <w:sz w:val="20"/>
          <w:szCs w:val="20"/>
        </w:rPr>
        <w:t>.</w:t>
      </w:r>
      <w:proofErr w:type="gramEnd"/>
    </w:p>
    <w:p w:rsidR="00E63E12" w:rsidRPr="00873E6C" w:rsidRDefault="00E63E12" w:rsidP="00E63E12">
      <w:pPr>
        <w:spacing w:after="0" w:line="240" w:lineRule="auto"/>
        <w:rPr>
          <w:rFonts w:ascii="Times" w:hAnsi="Times"/>
          <w:sz w:val="20"/>
          <w:szCs w:val="20"/>
        </w:rPr>
      </w:pPr>
      <w:r w:rsidRPr="00873E6C">
        <w:rPr>
          <w:rFonts w:ascii="Times" w:hAnsi="Times"/>
          <w:sz w:val="20"/>
          <w:szCs w:val="20"/>
        </w:rPr>
        <w:t>†</w:t>
      </w:r>
      <w:proofErr w:type="gramStart"/>
      <w:r w:rsidRPr="00873E6C">
        <w:rPr>
          <w:rFonts w:ascii="Times" w:hAnsi="Times"/>
          <w:sz w:val="20"/>
          <w:szCs w:val="20"/>
        </w:rPr>
        <w:t>from</w:t>
      </w:r>
      <w:proofErr w:type="gramEnd"/>
      <w:r w:rsidRPr="00873E6C">
        <w:rPr>
          <w:rFonts w:ascii="Times" w:hAnsi="Times"/>
          <w:sz w:val="20"/>
          <w:szCs w:val="20"/>
        </w:rPr>
        <w:t xml:space="preserve"> Eisenberg DT, </w:t>
      </w:r>
      <w:proofErr w:type="spellStart"/>
      <w:r w:rsidRPr="00873E6C">
        <w:rPr>
          <w:rFonts w:ascii="Times" w:hAnsi="Times"/>
          <w:sz w:val="20"/>
          <w:szCs w:val="20"/>
        </w:rPr>
        <w:t>Kuzawa</w:t>
      </w:r>
      <w:proofErr w:type="spellEnd"/>
      <w:r w:rsidRPr="00873E6C">
        <w:rPr>
          <w:rFonts w:ascii="Times" w:hAnsi="Times"/>
          <w:sz w:val="20"/>
          <w:szCs w:val="20"/>
        </w:rPr>
        <w:t xml:space="preserve"> CW, Hayes MG (2015) Improving </w:t>
      </w:r>
      <w:proofErr w:type="spellStart"/>
      <w:r w:rsidRPr="00873E6C">
        <w:rPr>
          <w:rFonts w:ascii="Times" w:hAnsi="Times"/>
          <w:sz w:val="20"/>
          <w:szCs w:val="20"/>
        </w:rPr>
        <w:t>qPCR</w:t>
      </w:r>
      <w:proofErr w:type="spellEnd"/>
      <w:r w:rsidRPr="00873E6C">
        <w:rPr>
          <w:rFonts w:ascii="Times" w:hAnsi="Times"/>
          <w:sz w:val="20"/>
          <w:szCs w:val="20"/>
        </w:rPr>
        <w:t xml:space="preserve"> telomere length assays: Controlling for well position effects increases statistical power. </w:t>
      </w:r>
      <w:r w:rsidRPr="00873E6C">
        <w:rPr>
          <w:rFonts w:ascii="Times" w:hAnsi="Times"/>
          <w:i/>
          <w:sz w:val="20"/>
          <w:szCs w:val="20"/>
        </w:rPr>
        <w:t xml:space="preserve">Am J Hum </w:t>
      </w:r>
      <w:proofErr w:type="spellStart"/>
      <w:r w:rsidRPr="00873E6C">
        <w:rPr>
          <w:rFonts w:ascii="Times" w:hAnsi="Times"/>
          <w:i/>
          <w:sz w:val="20"/>
          <w:szCs w:val="20"/>
        </w:rPr>
        <w:t>Biol</w:t>
      </w:r>
      <w:proofErr w:type="spellEnd"/>
      <w:r w:rsidRPr="00873E6C">
        <w:rPr>
          <w:rFonts w:ascii="Times" w:hAnsi="Times"/>
          <w:sz w:val="20"/>
          <w:szCs w:val="20"/>
        </w:rPr>
        <w:t xml:space="preserve"> 27(4)</w:t>
      </w:r>
      <w:proofErr w:type="gramStart"/>
      <w:r w:rsidRPr="00873E6C">
        <w:rPr>
          <w:rFonts w:ascii="Times" w:hAnsi="Times"/>
          <w:sz w:val="20"/>
          <w:szCs w:val="20"/>
        </w:rPr>
        <w:t>:570</w:t>
      </w:r>
      <w:proofErr w:type="gramEnd"/>
      <w:r w:rsidRPr="00873E6C">
        <w:rPr>
          <w:rFonts w:ascii="Times" w:hAnsi="Times"/>
          <w:sz w:val="20"/>
          <w:szCs w:val="20"/>
        </w:rPr>
        <w:t xml:space="preserve">–5. </w:t>
      </w:r>
    </w:p>
    <w:p w:rsidR="00E63E12" w:rsidRPr="00873E6C" w:rsidRDefault="00E63E12" w:rsidP="00E63E12">
      <w:pPr>
        <w:spacing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interpolated</w:t>
      </w:r>
      <w:proofErr w:type="gramEnd"/>
      <w:r w:rsidRPr="00873E6C">
        <w:rPr>
          <w:rFonts w:ascii="Times" w:hAnsi="Times" w:cs="Times New Roman"/>
          <w:sz w:val="20"/>
          <w:szCs w:val="24"/>
        </w:rPr>
        <w:t xml:space="preserve"> to match mean age of other populations - see above text</w:t>
      </w:r>
    </w:p>
    <w:p w:rsidR="00E63E12" w:rsidRPr="00873E6C" w:rsidRDefault="00E63E12" w:rsidP="00E63E12">
      <w:pPr>
        <w:spacing w:after="0"/>
        <w:rPr>
          <w:rFonts w:ascii="Times" w:hAnsi="Times" w:cs="Times New Roman"/>
          <w:b/>
          <w:sz w:val="24"/>
          <w:szCs w:val="24"/>
        </w:rPr>
      </w:pPr>
      <w:r w:rsidRPr="00873E6C">
        <w:rPr>
          <w:rFonts w:ascii="Times" w:hAnsi="Times" w:cs="Times New Roman"/>
          <w:b/>
          <w:sz w:val="24"/>
          <w:szCs w:val="24"/>
        </w:rPr>
        <w:br w:type="page"/>
        <w:t>Table S2. Full model estimates for parity and telomere length and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among young women in the Philippines.</w:t>
      </w:r>
    </w:p>
    <w:tbl>
      <w:tblPr>
        <w:tblW w:w="9810" w:type="dxa"/>
        <w:tblCellSpacing w:w="15" w:type="dxa"/>
        <w:tblLayout w:type="fixed"/>
        <w:tblCellMar>
          <w:top w:w="15" w:type="dxa"/>
          <w:left w:w="15" w:type="dxa"/>
          <w:bottom w:w="15" w:type="dxa"/>
          <w:right w:w="15" w:type="dxa"/>
        </w:tblCellMar>
        <w:tblLook w:val="0000"/>
      </w:tblPr>
      <w:tblGrid>
        <w:gridCol w:w="2475"/>
        <w:gridCol w:w="916"/>
        <w:gridCol w:w="917"/>
        <w:gridCol w:w="917"/>
        <w:gridCol w:w="917"/>
        <w:gridCol w:w="917"/>
        <w:gridCol w:w="917"/>
        <w:gridCol w:w="917"/>
        <w:gridCol w:w="917"/>
      </w:tblGrid>
      <w:tr w:rsidR="00E63E12" w:rsidRPr="00873E6C">
        <w:trPr>
          <w:trHeight w:hRule="exact" w:val="288"/>
          <w:tblHeader/>
          <w:tblCellSpacing w:w="15" w:type="dxa"/>
        </w:trPr>
        <w:tc>
          <w:tcPr>
            <w:tcW w:w="2430" w:type="dxa"/>
            <w:tcBorders>
              <w:top w:val="double" w:sz="4" w:space="0" w:color="auto"/>
            </w:tcBorders>
            <w:shd w:val="clear" w:color="auto" w:fill="auto"/>
            <w:vAlign w:val="center"/>
          </w:tcPr>
          <w:p w:rsidR="00E63E12" w:rsidRPr="00873E6C" w:rsidRDefault="00E63E12" w:rsidP="00EF6829">
            <w:pPr>
              <w:rPr>
                <w:rFonts w:ascii="Times" w:hAnsi="Times"/>
                <w:sz w:val="20"/>
                <w:szCs w:val="20"/>
              </w:rPr>
            </w:pPr>
          </w:p>
        </w:tc>
        <w:tc>
          <w:tcPr>
            <w:tcW w:w="3637"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r w:rsidRPr="00873E6C">
              <w:rPr>
                <w:rFonts w:ascii="Times" w:hAnsi="Times"/>
                <w:b/>
                <w:sz w:val="20"/>
                <w:szCs w:val="20"/>
              </w:rPr>
              <w:t>Telomere Length~</w:t>
            </w:r>
          </w:p>
        </w:tc>
        <w:tc>
          <w:tcPr>
            <w:tcW w:w="3623"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proofErr w:type="spellStart"/>
            <w:r w:rsidRPr="00873E6C">
              <w:rPr>
                <w:rFonts w:ascii="Times" w:hAnsi="Times"/>
                <w:b/>
                <w:sz w:val="20"/>
                <w:szCs w:val="20"/>
              </w:rPr>
              <w:t>DNAmAge</w:t>
            </w:r>
            <w:proofErr w:type="spellEnd"/>
            <w:r w:rsidRPr="00873E6C">
              <w:rPr>
                <w:rFonts w:ascii="Times" w:hAnsi="Times"/>
                <w:b/>
                <w:sz w:val="20"/>
                <w:szCs w:val="20"/>
              </w:rPr>
              <w:t>~</w:t>
            </w:r>
          </w:p>
        </w:tc>
      </w:tr>
      <w:tr w:rsidR="00E63E12" w:rsidRPr="00873E6C">
        <w:trPr>
          <w:trHeight w:hRule="exact" w:val="259"/>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(6)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(7)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Age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0.667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0.629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0.293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0.363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0.011</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0.007</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-11.623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PC2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-0.155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-0.144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5.098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4.679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4.207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0.494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0.540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PC3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8.510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9.075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8.853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0.955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0.992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0.972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PC4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11.991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11.495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11.551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0.917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0.949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0.078</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PC5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-0.244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-14.441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PC6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-0.304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-3.125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-3.748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0.637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0.574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PC7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-0.529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18.513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19.744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20.019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0.005</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PC8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3.987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3.796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3.691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0.061</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0.534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0.552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PC9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-0.457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-0.476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-1.730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-1.521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-1.534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PC10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0.559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-2.701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-1.672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0.690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0.769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0.804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-0.190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-0.271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0.395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0.146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0.123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0.075</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Urbanicity</w:t>
            </w:r>
            <w:proofErr w:type="spellEnd"/>
            <w:r w:rsidRPr="00873E6C">
              <w:rPr>
                <w:rFonts w:ascii="Times" w:hAnsi="Times"/>
                <w:b/>
                <w:sz w:val="18"/>
                <w:szCs w:val="20"/>
              </w:rPr>
              <w:t xml:space="preserve">-score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0.260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Currently Pregnancy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-1.223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0.018</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0.019</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0.354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0.365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Intercept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1.303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14.818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10.319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11.177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11.422 </w:t>
            </w:r>
          </w:p>
        </w:tc>
      </w:tr>
      <w:tr w:rsidR="00E63E12" w:rsidRPr="00873E6C">
        <w:trPr>
          <w:trHeight w:hRule="exact" w:val="432"/>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0.138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0.318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0.276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0.266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Observations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0.075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Adjusted 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0.052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Residual Std. Error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0.161 (</w:t>
            </w:r>
            <w:proofErr w:type="spellStart"/>
            <w:r w:rsidRPr="00873E6C">
              <w:rPr>
                <w:rFonts w:ascii="Times" w:hAnsi="Times"/>
                <w:sz w:val="18"/>
                <w:szCs w:val="20"/>
              </w:rPr>
              <w:t>df</w:t>
            </w:r>
            <w:proofErr w:type="spellEnd"/>
            <w:r w:rsidRPr="00873E6C">
              <w:rPr>
                <w:rFonts w:ascii="Times" w:hAnsi="Times"/>
                <w:sz w:val="18"/>
                <w:szCs w:val="20"/>
              </w:rPr>
              <w:t xml:space="preserve"> = 821)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3.165 (</w:t>
            </w:r>
            <w:proofErr w:type="spellStart"/>
            <w:r w:rsidRPr="00873E6C">
              <w:rPr>
                <w:rFonts w:ascii="Times" w:hAnsi="Times"/>
                <w:sz w:val="18"/>
                <w:szCs w:val="20"/>
              </w:rPr>
              <w:t>df</w:t>
            </w:r>
            <w:proofErr w:type="spellEnd"/>
            <w:r w:rsidRPr="00873E6C">
              <w:rPr>
                <w:rFonts w:ascii="Times" w:hAnsi="Times"/>
                <w:sz w:val="18"/>
                <w:szCs w:val="20"/>
              </w:rPr>
              <w:t xml:space="preserve"> = 394)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3.117 (</w:t>
            </w:r>
            <w:proofErr w:type="spellStart"/>
            <w:r w:rsidRPr="00873E6C">
              <w:rPr>
                <w:rFonts w:ascii="Times" w:hAnsi="Times"/>
                <w:sz w:val="18"/>
                <w:szCs w:val="20"/>
              </w:rPr>
              <w:t>df</w:t>
            </w:r>
            <w:proofErr w:type="spellEnd"/>
            <w:r w:rsidRPr="00873E6C">
              <w:rPr>
                <w:rFonts w:ascii="Times" w:hAnsi="Times"/>
                <w:sz w:val="18"/>
                <w:szCs w:val="20"/>
              </w:rPr>
              <w:t xml:space="preserve"> = 382)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380) </w:t>
            </w:r>
          </w:p>
        </w:tc>
      </w:tr>
      <w:tr w:rsidR="00E63E12" w:rsidRPr="00873E6C">
        <w:trPr>
          <w:trHeight w:hRule="exact" w:val="432"/>
          <w:tblCellSpacing w:w="15" w:type="dxa"/>
        </w:trPr>
        <w:tc>
          <w:tcPr>
            <w:tcW w:w="2430" w:type="dxa"/>
            <w:tcBorders>
              <w:bottom w:val="double" w:sz="4" w:space="0" w:color="auto"/>
            </w:tcBorders>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F Statistic </w:t>
            </w:r>
          </w:p>
        </w:tc>
        <w:tc>
          <w:tcPr>
            <w:tcW w:w="886"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7.089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821)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5.007</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809)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4.892</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808)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4.639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807)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3.220</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394)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2.214</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382)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2.475</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381) </w:t>
            </w:r>
          </w:p>
        </w:tc>
        <w:tc>
          <w:tcPr>
            <w:tcW w:w="872"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2.371</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380) </w:t>
            </w:r>
          </w:p>
        </w:tc>
      </w:tr>
    </w:tbl>
    <w:p w:rsidR="00E63E12" w:rsidRPr="00873E6C" w:rsidRDefault="00E63E12" w:rsidP="00E63E12">
      <w:pPr>
        <w:spacing w:after="0"/>
        <w:rPr>
          <w:rFonts w:ascii="Times" w:hAnsi="Times" w:cs="Times New Roman"/>
          <w:sz w:val="24"/>
          <w:szCs w:val="24"/>
        </w:rPr>
      </w:pPr>
      <w:r w:rsidRPr="00873E6C">
        <w:rPr>
          <w:rFonts w:ascii="Times" w:hAnsi="Times"/>
        </w:rPr>
        <w:br w:type="page"/>
      </w:r>
      <w:r w:rsidRPr="00873E6C">
        <w:rPr>
          <w:rFonts w:ascii="Times" w:hAnsi="Times" w:cs="Times New Roman"/>
          <w:b/>
          <w:sz w:val="24"/>
          <w:szCs w:val="24"/>
        </w:rPr>
        <w:t xml:space="preserve">Table S3. </w:t>
      </w:r>
      <w:proofErr w:type="gramStart"/>
      <w:r w:rsidRPr="00873E6C">
        <w:rPr>
          <w:rFonts w:ascii="Times" w:hAnsi="Times" w:cs="Times New Roman"/>
          <w:b/>
          <w:sz w:val="24"/>
          <w:szCs w:val="24"/>
        </w:rPr>
        <w:t>Predictive effect of Telomere Length (TL) or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on parity over the subsequent 4 years in young women in the Philippines.</w:t>
      </w:r>
      <w:proofErr w:type="gramEnd"/>
      <w:r w:rsidRPr="00873E6C">
        <w:rPr>
          <w:rFonts w:ascii="Times" w:hAnsi="Times" w:cs="Times New Roman"/>
          <w:b/>
          <w:sz w:val="24"/>
          <w:szCs w:val="24"/>
        </w:rPr>
        <w:t xml:space="preserve"> </w:t>
      </w:r>
      <w:r w:rsidRPr="00873E6C">
        <w:rPr>
          <w:rFonts w:ascii="Times" w:hAnsi="Times" w:cs="Times New Roman"/>
          <w:sz w:val="24"/>
          <w:szCs w:val="24"/>
        </w:rPr>
        <w:t xml:space="preserve">Models derived from Poisson generalized linear regression meeting assumptions of </w:t>
      </w:r>
      <w:proofErr w:type="spellStart"/>
      <w:r w:rsidRPr="00873E6C">
        <w:rPr>
          <w:rFonts w:ascii="Times" w:hAnsi="Times" w:cs="Times New Roman"/>
          <w:sz w:val="24"/>
          <w:szCs w:val="24"/>
        </w:rPr>
        <w:t>equidispersion</w:t>
      </w:r>
      <w:proofErr w:type="spellEnd"/>
      <w:r w:rsidRPr="00873E6C">
        <w:rPr>
          <w:rFonts w:ascii="Times" w:hAnsi="Times" w:cs="Times New Roman"/>
          <w:sz w:val="24"/>
          <w:szCs w:val="24"/>
        </w:rPr>
        <w:t xml:space="preserve">. </w:t>
      </w:r>
    </w:p>
    <w:tbl>
      <w:tblPr>
        <w:tblW w:w="0" w:type="auto"/>
        <w:tblCellSpacing w:w="15" w:type="dxa"/>
        <w:tblLayout w:type="fixed"/>
        <w:tblCellMar>
          <w:top w:w="15" w:type="dxa"/>
          <w:left w:w="15" w:type="dxa"/>
          <w:bottom w:w="15" w:type="dxa"/>
          <w:right w:w="15" w:type="dxa"/>
        </w:tblCellMar>
        <w:tblLook w:val="0000"/>
      </w:tblPr>
      <w:tblGrid>
        <w:gridCol w:w="3615"/>
        <w:gridCol w:w="1226"/>
        <w:gridCol w:w="1227"/>
        <w:gridCol w:w="1227"/>
        <w:gridCol w:w="1227"/>
      </w:tblGrid>
      <w:tr w:rsidR="00E63E12" w:rsidRPr="00873E6C">
        <w:trPr>
          <w:trHeight w:hRule="exact" w:val="266"/>
          <w:tblCellSpacing w:w="15" w:type="dxa"/>
        </w:trPr>
        <w:tc>
          <w:tcPr>
            <w:tcW w:w="3570" w:type="dxa"/>
            <w:tcBorders>
              <w:top w:val="double" w:sz="4" w:space="0" w:color="auto"/>
            </w:tcBorders>
            <w:shd w:val="clear" w:color="auto" w:fill="auto"/>
            <w:vAlign w:val="center"/>
          </w:tcPr>
          <w:p w:rsidR="00E63E12" w:rsidRPr="00873E6C" w:rsidRDefault="00E63E12" w:rsidP="00FF5E24">
            <w:pPr>
              <w:rPr>
                <w:rFonts w:ascii="Times" w:hAnsi="Times"/>
                <w:sz w:val="20"/>
                <w:szCs w:val="20"/>
              </w:rPr>
            </w:pPr>
          </w:p>
        </w:tc>
        <w:tc>
          <w:tcPr>
            <w:tcW w:w="4862" w:type="dxa"/>
            <w:gridSpan w:val="4"/>
            <w:tcBorders>
              <w:top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Parity 2005-2009</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2423"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Age Adjusted TL~</w:t>
            </w:r>
          </w:p>
        </w:tc>
        <w:tc>
          <w:tcPr>
            <w:tcW w:w="2409"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 xml:space="preserve">Age Adjusted </w:t>
            </w:r>
            <w:proofErr w:type="spellStart"/>
            <w:r w:rsidRPr="00873E6C">
              <w:rPr>
                <w:rFonts w:ascii="Times" w:hAnsi="Times"/>
                <w:b/>
                <w:sz w:val="20"/>
                <w:szCs w:val="20"/>
              </w:rPr>
              <w:t>DNAmAge</w:t>
            </w:r>
            <w:proofErr w:type="spellEnd"/>
            <w:r w:rsidRPr="00873E6C">
              <w:rPr>
                <w:rFonts w:ascii="Times" w:hAnsi="Times"/>
                <w:sz w:val="20"/>
                <w:szCs w:val="20"/>
              </w:rPr>
              <w:t>~</w:t>
            </w:r>
          </w:p>
        </w:tc>
      </w:tr>
      <w:tr w:rsidR="00E63E12" w:rsidRPr="00873E6C">
        <w:trPr>
          <w:trHeight w:hRule="exact" w:val="266"/>
          <w:tblCellSpacing w:w="15" w:type="dxa"/>
        </w:trPr>
        <w:tc>
          <w:tcPr>
            <w:tcW w:w="3570" w:type="dxa"/>
            <w:tcBorders>
              <w:bottom w:val="single" w:sz="4" w:space="0" w:color="auto"/>
            </w:tcBorders>
            <w:shd w:val="clear" w:color="auto" w:fill="auto"/>
            <w:vAlign w:val="center"/>
          </w:tcPr>
          <w:p w:rsidR="00E63E12" w:rsidRPr="00873E6C" w:rsidRDefault="00E63E12" w:rsidP="00FF5E24">
            <w:pPr>
              <w:rPr>
                <w:rFonts w:ascii="Times" w:hAnsi="Times"/>
                <w:sz w:val="20"/>
                <w:szCs w:val="20"/>
              </w:rPr>
            </w:pPr>
          </w:p>
        </w:tc>
        <w:tc>
          <w:tcPr>
            <w:tcW w:w="1196"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(2)</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w:t>
            </w:r>
          </w:p>
        </w:tc>
        <w:tc>
          <w:tcPr>
            <w:tcW w:w="1182"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Measurement time </w:t>
            </w:r>
            <w:proofErr w:type="spellStart"/>
            <w:r w:rsidRPr="00873E6C">
              <w:rPr>
                <w:rFonts w:ascii="Times" w:hAnsi="Times"/>
                <w:sz w:val="20"/>
                <w:szCs w:val="20"/>
              </w:rPr>
              <w:t>bt</w:t>
            </w:r>
            <w:proofErr w:type="spellEnd"/>
            <w:r w:rsidRPr="00873E6C">
              <w:rPr>
                <w:rFonts w:ascii="Times" w:hAnsi="Times"/>
                <w:sz w:val="20"/>
                <w:szCs w:val="20"/>
              </w:rPr>
              <w:t>. 2005-2009 (Days)</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0.004</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0.009</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0.058</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0.068</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Parity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0.252</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0.123</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0.000</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0.016</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Age Adjusted Telomere Length in 2005</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0.059</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0.148</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0.835</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0.601</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Age Adjusted </w:t>
            </w:r>
            <w:proofErr w:type="spellStart"/>
            <w:r w:rsidRPr="00873E6C">
              <w:rPr>
                <w:rFonts w:ascii="Times" w:hAnsi="Times"/>
                <w:sz w:val="20"/>
                <w:szCs w:val="20"/>
              </w:rPr>
              <w:t>DNAmAge</w:t>
            </w:r>
            <w:proofErr w:type="spellEnd"/>
            <w:r w:rsidRPr="00873E6C">
              <w:rPr>
                <w:rFonts w:ascii="Times" w:hAnsi="Times"/>
                <w:sz w:val="20"/>
                <w:szCs w:val="20"/>
              </w:rPr>
              <w:t xml:space="preserve">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-0.011</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0.483</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0.325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Intercept</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4.457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3.777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3.460</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3.265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0.006</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0.022</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0.062</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0.082</w:t>
            </w:r>
            <w:r w:rsidRPr="00873E6C">
              <w:rPr>
                <w:rFonts w:ascii="Times" w:hAnsi="Times"/>
                <w:sz w:val="20"/>
                <w:szCs w:val="20"/>
                <w:vertAlign w:val="superscript"/>
              </w:rPr>
              <w:t>+</w:t>
            </w:r>
          </w:p>
        </w:tc>
      </w:tr>
      <w:tr w:rsidR="00E63E12" w:rsidRPr="00873E6C">
        <w:trPr>
          <w:trHeight w:hRule="exact" w:val="266"/>
          <w:tblCellSpacing w:w="15" w:type="dxa"/>
        </w:trPr>
        <w:tc>
          <w:tcPr>
            <w:tcW w:w="3570" w:type="dxa"/>
            <w:tcBorders>
              <w:top w:val="single" w:sz="4" w:space="0" w:color="auto"/>
            </w:tcBorders>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Observations</w:t>
            </w:r>
          </w:p>
        </w:tc>
        <w:tc>
          <w:tcPr>
            <w:tcW w:w="1196"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c>
          <w:tcPr>
            <w:tcW w:w="1182"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Log Likelihood</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-836.740</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-818.205</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-485.276</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-482.433</w:t>
            </w:r>
          </w:p>
        </w:tc>
      </w:tr>
      <w:tr w:rsidR="00E63E12" w:rsidRPr="00873E6C">
        <w:trPr>
          <w:trHeight w:hRule="exact" w:val="266"/>
          <w:tblCellSpacing w:w="15" w:type="dxa"/>
        </w:trPr>
        <w:tc>
          <w:tcPr>
            <w:tcW w:w="3570" w:type="dxa"/>
            <w:tcBorders>
              <w:bottom w:val="double" w:sz="4" w:space="0" w:color="auto"/>
            </w:tcBorders>
            <w:shd w:val="clear" w:color="auto" w:fill="auto"/>
            <w:vAlign w:val="center"/>
          </w:tcPr>
          <w:p w:rsidR="00E63E12" w:rsidRPr="00873E6C" w:rsidRDefault="00E63E12" w:rsidP="00FF5E24">
            <w:pPr>
              <w:rPr>
                <w:rFonts w:ascii="Times" w:hAnsi="Times"/>
                <w:sz w:val="20"/>
                <w:szCs w:val="20"/>
              </w:rPr>
            </w:pPr>
            <w:proofErr w:type="spellStart"/>
            <w:r w:rsidRPr="00873E6C">
              <w:rPr>
                <w:rFonts w:ascii="Times" w:hAnsi="Times"/>
                <w:sz w:val="20"/>
                <w:szCs w:val="20"/>
              </w:rPr>
              <w:t>Akaike</w:t>
            </w:r>
            <w:proofErr w:type="spellEnd"/>
            <w:r w:rsidRPr="00873E6C">
              <w:rPr>
                <w:rFonts w:ascii="Times" w:hAnsi="Times"/>
                <w:sz w:val="20"/>
                <w:szCs w:val="20"/>
              </w:rPr>
              <w:t xml:space="preserve"> Inf. Crit.</w:t>
            </w:r>
          </w:p>
        </w:tc>
        <w:tc>
          <w:tcPr>
            <w:tcW w:w="1196"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1,679.481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1,644.411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976.552</w:t>
            </w:r>
          </w:p>
        </w:tc>
        <w:tc>
          <w:tcPr>
            <w:tcW w:w="1182"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972.866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i/>
                <w:sz w:val="20"/>
                <w:szCs w:val="20"/>
              </w:rPr>
              <w:t>Note:</w:t>
            </w:r>
          </w:p>
        </w:tc>
        <w:tc>
          <w:tcPr>
            <w:tcW w:w="4862" w:type="dxa"/>
            <w:gridSpan w:val="4"/>
            <w:shd w:val="clear" w:color="auto" w:fill="auto"/>
            <w:vAlign w:val="center"/>
          </w:tcPr>
          <w:p w:rsidR="00E63E12" w:rsidRPr="00873E6C" w:rsidRDefault="00E63E12" w:rsidP="00FF5E24">
            <w:pPr>
              <w:jc w:val="right"/>
              <w:rPr>
                <w:rFonts w:ascii="Times" w:hAnsi="Times"/>
                <w:sz w:val="20"/>
                <w:szCs w:val="20"/>
              </w:rPr>
            </w:pPr>
            <w:r w:rsidRPr="00873E6C">
              <w:rPr>
                <w:rFonts w:ascii="Times" w:hAnsi="Times"/>
                <w:sz w:val="20"/>
                <w:szCs w:val="20"/>
              </w:rPr>
              <w:t>+</w:t>
            </w:r>
            <w:proofErr w:type="gramStart"/>
            <w:r w:rsidRPr="00873E6C">
              <w:rPr>
                <w:rFonts w:ascii="Times" w:hAnsi="Times"/>
                <w:sz w:val="20"/>
                <w:szCs w:val="20"/>
              </w:rPr>
              <w:t>p</w:t>
            </w:r>
            <w:proofErr w:type="gramEnd"/>
            <w:r w:rsidRPr="00873E6C">
              <w:rPr>
                <w:rFonts w:ascii="Times" w:hAnsi="Times"/>
                <w:sz w:val="20"/>
                <w:szCs w:val="20"/>
              </w:rPr>
              <w:t>&lt;0.1;*p&lt;0.05;**p&lt;0.01;***p&lt;0.001</w:t>
            </w:r>
          </w:p>
        </w:tc>
      </w:tr>
    </w:tbl>
    <w:p w:rsidR="00E63E12" w:rsidRPr="00873E6C" w:rsidRDefault="00E63E12" w:rsidP="00E63E12">
      <w:pPr>
        <w:rPr>
          <w:rFonts w:ascii="Times" w:hAnsi="Times" w:cs="Times New Roman"/>
          <w:b/>
          <w:sz w:val="24"/>
          <w:szCs w:val="24"/>
        </w:rPr>
      </w:pPr>
    </w:p>
    <w:p w:rsidR="00983176" w:rsidRPr="00873E6C" w:rsidRDefault="00983176" w:rsidP="00B34F0E">
      <w:pPr>
        <w:rPr>
          <w:rFonts w:ascii="Times" w:hAnsi="Times" w:cs="Times New Roman"/>
          <w:b/>
          <w:sz w:val="24"/>
          <w:szCs w:val="24"/>
        </w:rPr>
      </w:pPr>
    </w:p>
    <w:sectPr w:rsidR="00983176" w:rsidRPr="00873E6C" w:rsidSect="008B2188">
      <w:footerReference w:type="default" r:id="rId10"/>
      <w:pgSz w:w="12240" w:h="15840"/>
      <w:pgMar w:top="1440" w:right="1440" w:bottom="1440" w:left="1440" w:gutter="0"/>
      <w:lnNumType w:countBy="1"/>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21F2A0" w15:done="0"/>
  <w15:commentEx w15:paraId="61C4B9E6" w15:done="0"/>
  <w15:commentEx w15:paraId="0C65AAB6" w15:done="0"/>
  <w15:commentEx w15:paraId="07FBAABA" w15:done="0"/>
  <w15:commentEx w15:paraId="7DDC6EDE" w15:done="0"/>
  <w15:commentEx w15:paraId="16F4C1AE" w15:done="0"/>
  <w15:commentEx w15:paraId="1E837D99" w15:done="0"/>
  <w15:commentEx w15:paraId="77A67AC2" w15:done="0"/>
  <w15:commentEx w15:paraId="65FD8CD3" w15:done="0"/>
  <w15:commentEx w15:paraId="677229BE"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20880" w:rsidRDefault="00A20880" w:rsidP="005859FC">
      <w:pPr>
        <w:spacing w:after="0" w:line="240" w:lineRule="auto"/>
      </w:pPr>
      <w:r>
        <w:separator/>
      </w:r>
    </w:p>
  </w:endnote>
  <w:endnote w:type="continuationSeparator" w:id="1">
    <w:p w:rsidR="00A20880" w:rsidRDefault="00A20880" w:rsidP="00585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Calibri Light">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70754055"/>
      <w:docPartObj>
        <w:docPartGallery w:val="Page Numbers (Bottom of Page)"/>
        <w:docPartUnique/>
      </w:docPartObj>
    </w:sdtPr>
    <w:sdtEndPr>
      <w:rPr>
        <w:noProof/>
      </w:rPr>
    </w:sdtEndPr>
    <w:sdtContent>
      <w:p w:rsidR="00A20880" w:rsidRDefault="00E11235">
        <w:pPr>
          <w:pStyle w:val="Footer"/>
          <w:jc w:val="right"/>
        </w:pPr>
        <w:fldSimple w:instr=" PAGE   \* MERGEFORMAT ">
          <w:r w:rsidR="009D296A">
            <w:rPr>
              <w:noProof/>
            </w:rPr>
            <w:t>5</w:t>
          </w:r>
        </w:fldSimple>
      </w:p>
    </w:sdtContent>
  </w:sdt>
  <w:p w:rsidR="00A20880" w:rsidRDefault="00A20880">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20880" w:rsidRDefault="00A20880" w:rsidP="005859FC">
      <w:pPr>
        <w:spacing w:after="0" w:line="240" w:lineRule="auto"/>
      </w:pPr>
      <w:r>
        <w:separator/>
      </w:r>
    </w:p>
  </w:footnote>
  <w:footnote w:type="continuationSeparator" w:id="1">
    <w:p w:rsidR="00A20880" w:rsidRDefault="00A20880" w:rsidP="005859FC">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86549F"/>
    <w:multiLevelType w:val="hybridMultilevel"/>
    <w:tmpl w:val="08A85FAC"/>
    <w:lvl w:ilvl="0" w:tplc="6DFA918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E4D"/>
    <w:multiLevelType w:val="hybridMultilevel"/>
    <w:tmpl w:val="B72A4D44"/>
    <w:lvl w:ilvl="0" w:tplc="D42AC6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55698"/>
    <w:multiLevelType w:val="hybridMultilevel"/>
    <w:tmpl w:val="9B4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25F91"/>
    <w:multiLevelType w:val="hybridMultilevel"/>
    <w:tmpl w:val="C05AE886"/>
    <w:lvl w:ilvl="0" w:tplc="81B2ED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36066"/>
    <w:multiLevelType w:val="hybridMultilevel"/>
    <w:tmpl w:val="377CE4A2"/>
    <w:lvl w:ilvl="0" w:tplc="81C4A5B2">
      <w:start w:val="2"/>
      <w:numFmt w:val="bullet"/>
      <w:lvlText w:val="-"/>
      <w:lvlJc w:val="left"/>
      <w:pPr>
        <w:ind w:left="720" w:hanging="360"/>
      </w:pPr>
      <w:rPr>
        <w:rFonts w:ascii="Calibri" w:eastAsiaTheme="minorHAnsi" w:hAnsi="Calibri" w:cs="Segoe U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McDade">
    <w15:presenceInfo w15:providerId="AD" w15:userId="S-1-5-21-1314685492-1227910640-2161445334-160797"/>
  </w15:person>
  <w15:person w15:author="M Geoffrey Hayes">
    <w15:presenceInfo w15:providerId="AD" w15:userId="S-1-5-21-2086500257-1188392490-3880406080-278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20vase9a095zevxvwpterq2t02v22e520p&quot;&gt;Behavior Genetics EndNote&lt;record-ids&gt;&lt;item&gt;1138&lt;/item&gt;&lt;item&gt;3248&lt;/item&gt;&lt;item&gt;3276&lt;/item&gt;&lt;item&gt;3337&lt;/item&gt;&lt;item&gt;3338&lt;/item&gt;&lt;item&gt;3594&lt;/item&gt;&lt;item&gt;3629&lt;/item&gt;&lt;item&gt;3636&lt;/item&gt;&lt;item&gt;3643&lt;/item&gt;&lt;item&gt;3693&lt;/item&gt;&lt;item&gt;3716&lt;/item&gt;&lt;item&gt;3728&lt;/item&gt;&lt;item&gt;3790&lt;/item&gt;&lt;item&gt;3792&lt;/item&gt;&lt;item&gt;3793&lt;/item&gt;&lt;item&gt;3796&lt;/item&gt;&lt;item&gt;3919&lt;/item&gt;&lt;item&gt;3979&lt;/item&gt;&lt;item&gt;4036&lt;/item&gt;&lt;item&gt;4121&lt;/item&gt;&lt;item&gt;4231&lt;/item&gt;&lt;item&gt;4244&lt;/item&gt;&lt;item&gt;4402&lt;/item&gt;&lt;item&gt;4424&lt;/item&gt;&lt;item&gt;4937&lt;/item&gt;&lt;item&gt;4983&lt;/item&gt;&lt;item&gt;4987&lt;/item&gt;&lt;item&gt;5047&lt;/item&gt;&lt;item&gt;5089&lt;/item&gt;&lt;item&gt;5303&lt;/item&gt;&lt;item&gt;5379&lt;/item&gt;&lt;item&gt;5858&lt;/item&gt;&lt;item&gt;6129&lt;/item&gt;&lt;item&gt;6223&lt;/item&gt;&lt;item&gt;6434&lt;/item&gt;&lt;item&gt;6481&lt;/item&gt;&lt;item&gt;6561&lt;/item&gt;&lt;item&gt;6563&lt;/item&gt;&lt;item&gt;6710&lt;/item&gt;&lt;item&gt;6856&lt;/item&gt;&lt;item&gt;6862&lt;/item&gt;&lt;item&gt;6905&lt;/item&gt;&lt;item&gt;7168&lt;/item&gt;&lt;item&gt;7314&lt;/item&gt;&lt;item&gt;7452&lt;/item&gt;&lt;item&gt;7561&lt;/item&gt;&lt;item&gt;7564&lt;/item&gt;&lt;item&gt;7566&lt;/item&gt;&lt;item&gt;7580&lt;/item&gt;&lt;item&gt;7665&lt;/item&gt;&lt;item&gt;7669&lt;/item&gt;&lt;item&gt;7673&lt;/item&gt;&lt;item&gt;7835&lt;/item&gt;&lt;item&gt;7866&lt;/item&gt;&lt;item&gt;7867&lt;/item&gt;&lt;item&gt;7869&lt;/item&gt;&lt;item&gt;7870&lt;/item&gt;&lt;item&gt;7962&lt;/item&gt;&lt;item&gt;8295&lt;/item&gt;&lt;item&gt;8451&lt;/item&gt;&lt;item&gt;8459&lt;/item&gt;&lt;item&gt;8468&lt;/item&gt;&lt;item&gt;8474&lt;/item&gt;&lt;item&gt;8482&lt;/item&gt;&lt;item&gt;8483&lt;/item&gt;&lt;item&gt;8525&lt;/item&gt;&lt;item&gt;8752&lt;/item&gt;&lt;item&gt;9092&lt;/item&gt;&lt;item&gt;9151&lt;/item&gt;&lt;item&gt;9230&lt;/item&gt;&lt;item&gt;9519&lt;/item&gt;&lt;item&gt;9585&lt;/item&gt;&lt;item&gt;9659&lt;/item&gt;&lt;item&gt;9661&lt;/item&gt;&lt;item&gt;9766&lt;/item&gt;&lt;item&gt;9831&lt;/item&gt;&lt;item&gt;9961&lt;/item&gt;&lt;item&gt;10192&lt;/item&gt;&lt;item&gt;10193&lt;/item&gt;&lt;item&gt;10194&lt;/item&gt;&lt;item&gt;10195&lt;/item&gt;&lt;item&gt;10196&lt;/item&gt;&lt;item&gt;10286&lt;/item&gt;&lt;item&gt;10366&lt;/item&gt;&lt;item&gt;10378&lt;/item&gt;&lt;item&gt;10379&lt;/item&gt;&lt;item&gt;10380&lt;/item&gt;&lt;item&gt;10381&lt;/item&gt;&lt;item&gt;10404&lt;/item&gt;&lt;item&gt;10405&lt;/item&gt;&lt;item&gt;10418&lt;/item&gt;&lt;item&gt;10419&lt;/item&gt;&lt;/record-ids&gt;&lt;/item&gt;&lt;/Libraries&gt;"/>
    <w:docVar w:name="varZoom" w:val="100"/>
  </w:docVars>
  <w:rsids>
    <w:rsidRoot w:val="005D492E"/>
    <w:rsid w:val="00007070"/>
    <w:rsid w:val="0000715D"/>
    <w:rsid w:val="0000757D"/>
    <w:rsid w:val="0001405D"/>
    <w:rsid w:val="00014DA7"/>
    <w:rsid w:val="00022C0E"/>
    <w:rsid w:val="00023976"/>
    <w:rsid w:val="00030359"/>
    <w:rsid w:val="000308BD"/>
    <w:rsid w:val="000321B3"/>
    <w:rsid w:val="00032CA8"/>
    <w:rsid w:val="0004267A"/>
    <w:rsid w:val="00042D68"/>
    <w:rsid w:val="00050BAF"/>
    <w:rsid w:val="0005206D"/>
    <w:rsid w:val="000522BB"/>
    <w:rsid w:val="00052371"/>
    <w:rsid w:val="0005374C"/>
    <w:rsid w:val="00055370"/>
    <w:rsid w:val="0005577E"/>
    <w:rsid w:val="000616E5"/>
    <w:rsid w:val="00063065"/>
    <w:rsid w:val="000652E8"/>
    <w:rsid w:val="0006608F"/>
    <w:rsid w:val="000663CE"/>
    <w:rsid w:val="00070B7C"/>
    <w:rsid w:val="0008612F"/>
    <w:rsid w:val="00095E35"/>
    <w:rsid w:val="0009680D"/>
    <w:rsid w:val="000A4032"/>
    <w:rsid w:val="000A7466"/>
    <w:rsid w:val="000A7711"/>
    <w:rsid w:val="000B055F"/>
    <w:rsid w:val="000B4CC4"/>
    <w:rsid w:val="000B78E6"/>
    <w:rsid w:val="000D4955"/>
    <w:rsid w:val="000E1142"/>
    <w:rsid w:val="000E2A88"/>
    <w:rsid w:val="000E2E42"/>
    <w:rsid w:val="000E30B6"/>
    <w:rsid w:val="000E3771"/>
    <w:rsid w:val="000E48F4"/>
    <w:rsid w:val="000E50DE"/>
    <w:rsid w:val="000E65D1"/>
    <w:rsid w:val="000E7A51"/>
    <w:rsid w:val="000F69D1"/>
    <w:rsid w:val="0010053A"/>
    <w:rsid w:val="001007C8"/>
    <w:rsid w:val="00100EE8"/>
    <w:rsid w:val="00101172"/>
    <w:rsid w:val="00101F8A"/>
    <w:rsid w:val="001025AF"/>
    <w:rsid w:val="00105870"/>
    <w:rsid w:val="00106637"/>
    <w:rsid w:val="00113515"/>
    <w:rsid w:val="001218FD"/>
    <w:rsid w:val="00122301"/>
    <w:rsid w:val="00132815"/>
    <w:rsid w:val="00134ABF"/>
    <w:rsid w:val="00136674"/>
    <w:rsid w:val="001376CE"/>
    <w:rsid w:val="00140296"/>
    <w:rsid w:val="00142BEC"/>
    <w:rsid w:val="001436BF"/>
    <w:rsid w:val="00146EA3"/>
    <w:rsid w:val="001511F6"/>
    <w:rsid w:val="00152D3D"/>
    <w:rsid w:val="00167332"/>
    <w:rsid w:val="001710CE"/>
    <w:rsid w:val="00175753"/>
    <w:rsid w:val="001760F1"/>
    <w:rsid w:val="00180F41"/>
    <w:rsid w:val="00185B36"/>
    <w:rsid w:val="0019133F"/>
    <w:rsid w:val="00194863"/>
    <w:rsid w:val="00194A52"/>
    <w:rsid w:val="001964BE"/>
    <w:rsid w:val="001A2E85"/>
    <w:rsid w:val="001B0002"/>
    <w:rsid w:val="001B791C"/>
    <w:rsid w:val="001C631A"/>
    <w:rsid w:val="001C7A64"/>
    <w:rsid w:val="001D11E4"/>
    <w:rsid w:val="001D65B8"/>
    <w:rsid w:val="001E31F2"/>
    <w:rsid w:val="001E51FD"/>
    <w:rsid w:val="001F2980"/>
    <w:rsid w:val="001F4B3A"/>
    <w:rsid w:val="00202592"/>
    <w:rsid w:val="00202AD8"/>
    <w:rsid w:val="00205AE9"/>
    <w:rsid w:val="002071E9"/>
    <w:rsid w:val="0020784D"/>
    <w:rsid w:val="00207905"/>
    <w:rsid w:val="00212245"/>
    <w:rsid w:val="002205D6"/>
    <w:rsid w:val="00221309"/>
    <w:rsid w:val="00222D66"/>
    <w:rsid w:val="00230DE6"/>
    <w:rsid w:val="00233597"/>
    <w:rsid w:val="0023650D"/>
    <w:rsid w:val="00237EE7"/>
    <w:rsid w:val="00244256"/>
    <w:rsid w:val="00250A4E"/>
    <w:rsid w:val="0025119C"/>
    <w:rsid w:val="00252E05"/>
    <w:rsid w:val="00253364"/>
    <w:rsid w:val="00253400"/>
    <w:rsid w:val="00254F62"/>
    <w:rsid w:val="00263340"/>
    <w:rsid w:val="0026603D"/>
    <w:rsid w:val="00272D04"/>
    <w:rsid w:val="0027378C"/>
    <w:rsid w:val="00274BA1"/>
    <w:rsid w:val="0028420F"/>
    <w:rsid w:val="0029144E"/>
    <w:rsid w:val="002A0D6C"/>
    <w:rsid w:val="002A4AC9"/>
    <w:rsid w:val="002A5A5E"/>
    <w:rsid w:val="002A5CA3"/>
    <w:rsid w:val="002B029B"/>
    <w:rsid w:val="002B029F"/>
    <w:rsid w:val="002B0F07"/>
    <w:rsid w:val="002B204D"/>
    <w:rsid w:val="002B76FA"/>
    <w:rsid w:val="002C0182"/>
    <w:rsid w:val="002C0FEB"/>
    <w:rsid w:val="002C4C50"/>
    <w:rsid w:val="002D58FD"/>
    <w:rsid w:val="002E1210"/>
    <w:rsid w:val="002E25E0"/>
    <w:rsid w:val="002E4932"/>
    <w:rsid w:val="002F00D1"/>
    <w:rsid w:val="002F192F"/>
    <w:rsid w:val="002F327D"/>
    <w:rsid w:val="002F4024"/>
    <w:rsid w:val="002F5106"/>
    <w:rsid w:val="002F7004"/>
    <w:rsid w:val="003021E8"/>
    <w:rsid w:val="00302D6B"/>
    <w:rsid w:val="003030A2"/>
    <w:rsid w:val="0031202C"/>
    <w:rsid w:val="003218AB"/>
    <w:rsid w:val="0032235F"/>
    <w:rsid w:val="003310CE"/>
    <w:rsid w:val="003328DC"/>
    <w:rsid w:val="00335023"/>
    <w:rsid w:val="0034070C"/>
    <w:rsid w:val="00343D0C"/>
    <w:rsid w:val="003447D3"/>
    <w:rsid w:val="00344EC6"/>
    <w:rsid w:val="00344F59"/>
    <w:rsid w:val="00345534"/>
    <w:rsid w:val="003456B4"/>
    <w:rsid w:val="00347480"/>
    <w:rsid w:val="003479EE"/>
    <w:rsid w:val="00351DE5"/>
    <w:rsid w:val="00370815"/>
    <w:rsid w:val="00370B3B"/>
    <w:rsid w:val="00372037"/>
    <w:rsid w:val="003728D5"/>
    <w:rsid w:val="0039090E"/>
    <w:rsid w:val="00393284"/>
    <w:rsid w:val="003A179D"/>
    <w:rsid w:val="003A6713"/>
    <w:rsid w:val="003A7E41"/>
    <w:rsid w:val="003B312B"/>
    <w:rsid w:val="003B58CF"/>
    <w:rsid w:val="003B5C0F"/>
    <w:rsid w:val="003C26CE"/>
    <w:rsid w:val="003D504F"/>
    <w:rsid w:val="003D5CC0"/>
    <w:rsid w:val="003E241F"/>
    <w:rsid w:val="003E354A"/>
    <w:rsid w:val="003E7EBF"/>
    <w:rsid w:val="003F0209"/>
    <w:rsid w:val="003F296D"/>
    <w:rsid w:val="003F4C90"/>
    <w:rsid w:val="003F6512"/>
    <w:rsid w:val="004005E8"/>
    <w:rsid w:val="00400945"/>
    <w:rsid w:val="0040275A"/>
    <w:rsid w:val="00405231"/>
    <w:rsid w:val="0040750C"/>
    <w:rsid w:val="004129D7"/>
    <w:rsid w:val="00413534"/>
    <w:rsid w:val="004226A8"/>
    <w:rsid w:val="00422798"/>
    <w:rsid w:val="004306D9"/>
    <w:rsid w:val="004324D8"/>
    <w:rsid w:val="004332C8"/>
    <w:rsid w:val="004357EF"/>
    <w:rsid w:val="0043612E"/>
    <w:rsid w:val="00436DEF"/>
    <w:rsid w:val="00442A27"/>
    <w:rsid w:val="00446107"/>
    <w:rsid w:val="004619C2"/>
    <w:rsid w:val="004620B8"/>
    <w:rsid w:val="00465540"/>
    <w:rsid w:val="00465E9C"/>
    <w:rsid w:val="00470655"/>
    <w:rsid w:val="00474B43"/>
    <w:rsid w:val="00474E44"/>
    <w:rsid w:val="004806A1"/>
    <w:rsid w:val="00481AC5"/>
    <w:rsid w:val="0048254B"/>
    <w:rsid w:val="00486BF4"/>
    <w:rsid w:val="00486FE8"/>
    <w:rsid w:val="0048758A"/>
    <w:rsid w:val="00493632"/>
    <w:rsid w:val="00493677"/>
    <w:rsid w:val="004966AD"/>
    <w:rsid w:val="004977BF"/>
    <w:rsid w:val="004A1DE1"/>
    <w:rsid w:val="004A2C39"/>
    <w:rsid w:val="004A7D77"/>
    <w:rsid w:val="004B0A33"/>
    <w:rsid w:val="004C0583"/>
    <w:rsid w:val="004C1386"/>
    <w:rsid w:val="004C5AFC"/>
    <w:rsid w:val="004C70FD"/>
    <w:rsid w:val="004D00B5"/>
    <w:rsid w:val="004D2E05"/>
    <w:rsid w:val="004D5110"/>
    <w:rsid w:val="004D7784"/>
    <w:rsid w:val="004E1F16"/>
    <w:rsid w:val="004E4EB5"/>
    <w:rsid w:val="004E7B2B"/>
    <w:rsid w:val="004E7D01"/>
    <w:rsid w:val="004F325C"/>
    <w:rsid w:val="005032C3"/>
    <w:rsid w:val="00503E64"/>
    <w:rsid w:val="00507392"/>
    <w:rsid w:val="00510A43"/>
    <w:rsid w:val="005129A6"/>
    <w:rsid w:val="00515005"/>
    <w:rsid w:val="00520691"/>
    <w:rsid w:val="005217C6"/>
    <w:rsid w:val="00522A1A"/>
    <w:rsid w:val="005246D5"/>
    <w:rsid w:val="005316DC"/>
    <w:rsid w:val="00531915"/>
    <w:rsid w:val="00531EA3"/>
    <w:rsid w:val="00543A73"/>
    <w:rsid w:val="0054548F"/>
    <w:rsid w:val="00547986"/>
    <w:rsid w:val="005517ED"/>
    <w:rsid w:val="00552E29"/>
    <w:rsid w:val="0055480B"/>
    <w:rsid w:val="00555399"/>
    <w:rsid w:val="00560AD6"/>
    <w:rsid w:val="00566BCF"/>
    <w:rsid w:val="0056733D"/>
    <w:rsid w:val="00570CD1"/>
    <w:rsid w:val="00571242"/>
    <w:rsid w:val="00573723"/>
    <w:rsid w:val="00573CED"/>
    <w:rsid w:val="00574620"/>
    <w:rsid w:val="00580EB7"/>
    <w:rsid w:val="00584F72"/>
    <w:rsid w:val="005859FC"/>
    <w:rsid w:val="00594068"/>
    <w:rsid w:val="005949CF"/>
    <w:rsid w:val="00594A86"/>
    <w:rsid w:val="005A0089"/>
    <w:rsid w:val="005A08EA"/>
    <w:rsid w:val="005A3719"/>
    <w:rsid w:val="005A3F4E"/>
    <w:rsid w:val="005A50A2"/>
    <w:rsid w:val="005A702E"/>
    <w:rsid w:val="005A76BE"/>
    <w:rsid w:val="005B2FEF"/>
    <w:rsid w:val="005B3A36"/>
    <w:rsid w:val="005B480D"/>
    <w:rsid w:val="005C313A"/>
    <w:rsid w:val="005C337F"/>
    <w:rsid w:val="005C7A63"/>
    <w:rsid w:val="005D22F7"/>
    <w:rsid w:val="005D27D6"/>
    <w:rsid w:val="005D492E"/>
    <w:rsid w:val="005D7D3B"/>
    <w:rsid w:val="005D7E1F"/>
    <w:rsid w:val="006015C3"/>
    <w:rsid w:val="00601C78"/>
    <w:rsid w:val="0060588F"/>
    <w:rsid w:val="00610476"/>
    <w:rsid w:val="0061102F"/>
    <w:rsid w:val="00617DF5"/>
    <w:rsid w:val="00620B91"/>
    <w:rsid w:val="00623106"/>
    <w:rsid w:val="00627731"/>
    <w:rsid w:val="0063032D"/>
    <w:rsid w:val="00631A48"/>
    <w:rsid w:val="00632EC9"/>
    <w:rsid w:val="006335EC"/>
    <w:rsid w:val="00634D1F"/>
    <w:rsid w:val="006365B3"/>
    <w:rsid w:val="00636D2E"/>
    <w:rsid w:val="006407D9"/>
    <w:rsid w:val="006424F7"/>
    <w:rsid w:val="00644811"/>
    <w:rsid w:val="00652C55"/>
    <w:rsid w:val="0066155F"/>
    <w:rsid w:val="00664019"/>
    <w:rsid w:val="0066575B"/>
    <w:rsid w:val="0066600D"/>
    <w:rsid w:val="0067027E"/>
    <w:rsid w:val="0067138C"/>
    <w:rsid w:val="0067350A"/>
    <w:rsid w:val="00677256"/>
    <w:rsid w:val="00681296"/>
    <w:rsid w:val="00691050"/>
    <w:rsid w:val="00693A10"/>
    <w:rsid w:val="00697AF5"/>
    <w:rsid w:val="006A0D7E"/>
    <w:rsid w:val="006A283F"/>
    <w:rsid w:val="006A5A93"/>
    <w:rsid w:val="006A6427"/>
    <w:rsid w:val="006A7257"/>
    <w:rsid w:val="006B1B3B"/>
    <w:rsid w:val="006B258F"/>
    <w:rsid w:val="006B53E8"/>
    <w:rsid w:val="006C1866"/>
    <w:rsid w:val="006C2D9F"/>
    <w:rsid w:val="006C71A9"/>
    <w:rsid w:val="006D0792"/>
    <w:rsid w:val="006E19F5"/>
    <w:rsid w:val="006E3EA1"/>
    <w:rsid w:val="006E5CC5"/>
    <w:rsid w:val="006E690E"/>
    <w:rsid w:val="006F1BE4"/>
    <w:rsid w:val="006F2C9E"/>
    <w:rsid w:val="006F34F7"/>
    <w:rsid w:val="006F358D"/>
    <w:rsid w:val="006F4B9E"/>
    <w:rsid w:val="006F6AA5"/>
    <w:rsid w:val="00703267"/>
    <w:rsid w:val="007053D4"/>
    <w:rsid w:val="007204D4"/>
    <w:rsid w:val="007207CA"/>
    <w:rsid w:val="00722EBF"/>
    <w:rsid w:val="00726C5A"/>
    <w:rsid w:val="007272CC"/>
    <w:rsid w:val="007307C6"/>
    <w:rsid w:val="00734432"/>
    <w:rsid w:val="00734C97"/>
    <w:rsid w:val="00745369"/>
    <w:rsid w:val="00746864"/>
    <w:rsid w:val="007537F9"/>
    <w:rsid w:val="00757D67"/>
    <w:rsid w:val="00762074"/>
    <w:rsid w:val="00771DB0"/>
    <w:rsid w:val="00773074"/>
    <w:rsid w:val="00773325"/>
    <w:rsid w:val="00777A4B"/>
    <w:rsid w:val="0078191D"/>
    <w:rsid w:val="00787169"/>
    <w:rsid w:val="00787DF4"/>
    <w:rsid w:val="00792FAC"/>
    <w:rsid w:val="00796BB7"/>
    <w:rsid w:val="00796E99"/>
    <w:rsid w:val="00796EB5"/>
    <w:rsid w:val="00797FFC"/>
    <w:rsid w:val="007B3CAA"/>
    <w:rsid w:val="007B7EB1"/>
    <w:rsid w:val="007C3797"/>
    <w:rsid w:val="007D1053"/>
    <w:rsid w:val="007D56C7"/>
    <w:rsid w:val="007D62E7"/>
    <w:rsid w:val="007E0307"/>
    <w:rsid w:val="007F3263"/>
    <w:rsid w:val="007F4E30"/>
    <w:rsid w:val="007F6987"/>
    <w:rsid w:val="008140B3"/>
    <w:rsid w:val="00815C70"/>
    <w:rsid w:val="0081730C"/>
    <w:rsid w:val="00822407"/>
    <w:rsid w:val="00823994"/>
    <w:rsid w:val="00823BDE"/>
    <w:rsid w:val="00825A16"/>
    <w:rsid w:val="00827DEA"/>
    <w:rsid w:val="00833B42"/>
    <w:rsid w:val="0083756B"/>
    <w:rsid w:val="00840434"/>
    <w:rsid w:val="00842E03"/>
    <w:rsid w:val="00846375"/>
    <w:rsid w:val="00847950"/>
    <w:rsid w:val="008479DF"/>
    <w:rsid w:val="00847CDB"/>
    <w:rsid w:val="00850386"/>
    <w:rsid w:val="008505CC"/>
    <w:rsid w:val="008511E4"/>
    <w:rsid w:val="00861010"/>
    <w:rsid w:val="0086261E"/>
    <w:rsid w:val="008631B0"/>
    <w:rsid w:val="00863D00"/>
    <w:rsid w:val="008641ED"/>
    <w:rsid w:val="00867C8D"/>
    <w:rsid w:val="008734EA"/>
    <w:rsid w:val="00873E6C"/>
    <w:rsid w:val="00874F50"/>
    <w:rsid w:val="00876104"/>
    <w:rsid w:val="008763C5"/>
    <w:rsid w:val="00880547"/>
    <w:rsid w:val="008832C0"/>
    <w:rsid w:val="00891B5B"/>
    <w:rsid w:val="008965DC"/>
    <w:rsid w:val="00897251"/>
    <w:rsid w:val="008A3FFE"/>
    <w:rsid w:val="008B2188"/>
    <w:rsid w:val="008B6F7E"/>
    <w:rsid w:val="008C098D"/>
    <w:rsid w:val="008C3969"/>
    <w:rsid w:val="008C50DE"/>
    <w:rsid w:val="008C63B2"/>
    <w:rsid w:val="008D28FB"/>
    <w:rsid w:val="008D3754"/>
    <w:rsid w:val="008D454D"/>
    <w:rsid w:val="008D642A"/>
    <w:rsid w:val="008E114E"/>
    <w:rsid w:val="008E16AF"/>
    <w:rsid w:val="008E1754"/>
    <w:rsid w:val="008E3400"/>
    <w:rsid w:val="008E40DA"/>
    <w:rsid w:val="008E7291"/>
    <w:rsid w:val="008E7CA5"/>
    <w:rsid w:val="008F041A"/>
    <w:rsid w:val="008F192D"/>
    <w:rsid w:val="008F1A3B"/>
    <w:rsid w:val="008F48E2"/>
    <w:rsid w:val="008F55B1"/>
    <w:rsid w:val="008F6905"/>
    <w:rsid w:val="008F7F4C"/>
    <w:rsid w:val="00900675"/>
    <w:rsid w:val="00906972"/>
    <w:rsid w:val="00910D87"/>
    <w:rsid w:val="009305EA"/>
    <w:rsid w:val="00930A7E"/>
    <w:rsid w:val="00931E47"/>
    <w:rsid w:val="00932229"/>
    <w:rsid w:val="00932629"/>
    <w:rsid w:val="009427B2"/>
    <w:rsid w:val="00945CF7"/>
    <w:rsid w:val="00952046"/>
    <w:rsid w:val="00953059"/>
    <w:rsid w:val="00953AB7"/>
    <w:rsid w:val="00962DA2"/>
    <w:rsid w:val="00963AB4"/>
    <w:rsid w:val="009672EF"/>
    <w:rsid w:val="00975EC8"/>
    <w:rsid w:val="00976559"/>
    <w:rsid w:val="00976585"/>
    <w:rsid w:val="0097706C"/>
    <w:rsid w:val="00983176"/>
    <w:rsid w:val="00983B89"/>
    <w:rsid w:val="00987BA5"/>
    <w:rsid w:val="00992BA9"/>
    <w:rsid w:val="009A56C6"/>
    <w:rsid w:val="009A75DC"/>
    <w:rsid w:val="009B23A7"/>
    <w:rsid w:val="009D02C9"/>
    <w:rsid w:val="009D2422"/>
    <w:rsid w:val="009D296A"/>
    <w:rsid w:val="009D2FC0"/>
    <w:rsid w:val="009D372B"/>
    <w:rsid w:val="009D5C92"/>
    <w:rsid w:val="009E211C"/>
    <w:rsid w:val="009E2D1B"/>
    <w:rsid w:val="009E4C99"/>
    <w:rsid w:val="009E5F80"/>
    <w:rsid w:val="009E67B8"/>
    <w:rsid w:val="009F1872"/>
    <w:rsid w:val="009F3D00"/>
    <w:rsid w:val="00A01707"/>
    <w:rsid w:val="00A02BF9"/>
    <w:rsid w:val="00A068BC"/>
    <w:rsid w:val="00A135B1"/>
    <w:rsid w:val="00A14E86"/>
    <w:rsid w:val="00A150BF"/>
    <w:rsid w:val="00A20880"/>
    <w:rsid w:val="00A208B7"/>
    <w:rsid w:val="00A31CEF"/>
    <w:rsid w:val="00A32F87"/>
    <w:rsid w:val="00A36D5C"/>
    <w:rsid w:val="00A44378"/>
    <w:rsid w:val="00A457BA"/>
    <w:rsid w:val="00A560E8"/>
    <w:rsid w:val="00A56232"/>
    <w:rsid w:val="00A61E1C"/>
    <w:rsid w:val="00A6272F"/>
    <w:rsid w:val="00A63B77"/>
    <w:rsid w:val="00A764CF"/>
    <w:rsid w:val="00A76AB3"/>
    <w:rsid w:val="00A86901"/>
    <w:rsid w:val="00A96BB0"/>
    <w:rsid w:val="00A97D8B"/>
    <w:rsid w:val="00AB0306"/>
    <w:rsid w:val="00AB410C"/>
    <w:rsid w:val="00AB68F1"/>
    <w:rsid w:val="00AC0037"/>
    <w:rsid w:val="00AC1103"/>
    <w:rsid w:val="00AC58F1"/>
    <w:rsid w:val="00AC6D69"/>
    <w:rsid w:val="00AD17DE"/>
    <w:rsid w:val="00AD2E8A"/>
    <w:rsid w:val="00AD379E"/>
    <w:rsid w:val="00AD6495"/>
    <w:rsid w:val="00AD74A3"/>
    <w:rsid w:val="00AD77BE"/>
    <w:rsid w:val="00AE0EF4"/>
    <w:rsid w:val="00AE1182"/>
    <w:rsid w:val="00AE1732"/>
    <w:rsid w:val="00AE3D67"/>
    <w:rsid w:val="00AF62E3"/>
    <w:rsid w:val="00AF6686"/>
    <w:rsid w:val="00B00F10"/>
    <w:rsid w:val="00B0366A"/>
    <w:rsid w:val="00B06C05"/>
    <w:rsid w:val="00B100BE"/>
    <w:rsid w:val="00B12B4A"/>
    <w:rsid w:val="00B14474"/>
    <w:rsid w:val="00B1602B"/>
    <w:rsid w:val="00B23B11"/>
    <w:rsid w:val="00B274E4"/>
    <w:rsid w:val="00B34F0E"/>
    <w:rsid w:val="00B4220B"/>
    <w:rsid w:val="00B4253B"/>
    <w:rsid w:val="00B44143"/>
    <w:rsid w:val="00B4487E"/>
    <w:rsid w:val="00B44F68"/>
    <w:rsid w:val="00B57376"/>
    <w:rsid w:val="00B70F4D"/>
    <w:rsid w:val="00B71FE0"/>
    <w:rsid w:val="00B75EED"/>
    <w:rsid w:val="00B76CB6"/>
    <w:rsid w:val="00B8163D"/>
    <w:rsid w:val="00B829D5"/>
    <w:rsid w:val="00B861CC"/>
    <w:rsid w:val="00B916F8"/>
    <w:rsid w:val="00BA1111"/>
    <w:rsid w:val="00BA1780"/>
    <w:rsid w:val="00BA1A63"/>
    <w:rsid w:val="00BA648F"/>
    <w:rsid w:val="00BB3D6C"/>
    <w:rsid w:val="00BB7F53"/>
    <w:rsid w:val="00BC00F2"/>
    <w:rsid w:val="00BC308A"/>
    <w:rsid w:val="00BC6EF2"/>
    <w:rsid w:val="00BD2050"/>
    <w:rsid w:val="00BD3B95"/>
    <w:rsid w:val="00BD7BA8"/>
    <w:rsid w:val="00BE2921"/>
    <w:rsid w:val="00BF3BFA"/>
    <w:rsid w:val="00C034B9"/>
    <w:rsid w:val="00C05F6D"/>
    <w:rsid w:val="00C07807"/>
    <w:rsid w:val="00C10C2B"/>
    <w:rsid w:val="00C12395"/>
    <w:rsid w:val="00C13F81"/>
    <w:rsid w:val="00C209AD"/>
    <w:rsid w:val="00C212FB"/>
    <w:rsid w:val="00C2180B"/>
    <w:rsid w:val="00C260BF"/>
    <w:rsid w:val="00C3218D"/>
    <w:rsid w:val="00C3379E"/>
    <w:rsid w:val="00C34EF7"/>
    <w:rsid w:val="00C35EBD"/>
    <w:rsid w:val="00C37B11"/>
    <w:rsid w:val="00C40607"/>
    <w:rsid w:val="00C44150"/>
    <w:rsid w:val="00C4678D"/>
    <w:rsid w:val="00C50A8F"/>
    <w:rsid w:val="00C50B18"/>
    <w:rsid w:val="00C523BC"/>
    <w:rsid w:val="00C52D99"/>
    <w:rsid w:val="00C605DD"/>
    <w:rsid w:val="00C61227"/>
    <w:rsid w:val="00C70099"/>
    <w:rsid w:val="00C72F19"/>
    <w:rsid w:val="00C77368"/>
    <w:rsid w:val="00C7746F"/>
    <w:rsid w:val="00C8220F"/>
    <w:rsid w:val="00C839C4"/>
    <w:rsid w:val="00C84432"/>
    <w:rsid w:val="00C84CD0"/>
    <w:rsid w:val="00C93218"/>
    <w:rsid w:val="00CA26A0"/>
    <w:rsid w:val="00CA29E4"/>
    <w:rsid w:val="00CA6E0D"/>
    <w:rsid w:val="00CB1BFA"/>
    <w:rsid w:val="00CB75F4"/>
    <w:rsid w:val="00CC291F"/>
    <w:rsid w:val="00CC2C97"/>
    <w:rsid w:val="00CC2EC6"/>
    <w:rsid w:val="00CC337A"/>
    <w:rsid w:val="00CD0171"/>
    <w:rsid w:val="00CD6B51"/>
    <w:rsid w:val="00CE2516"/>
    <w:rsid w:val="00CE7C28"/>
    <w:rsid w:val="00CF2CA1"/>
    <w:rsid w:val="00CF311E"/>
    <w:rsid w:val="00CF3872"/>
    <w:rsid w:val="00CF4F21"/>
    <w:rsid w:val="00CF5476"/>
    <w:rsid w:val="00CF7A7F"/>
    <w:rsid w:val="00D045A8"/>
    <w:rsid w:val="00D05692"/>
    <w:rsid w:val="00D06352"/>
    <w:rsid w:val="00D10AFE"/>
    <w:rsid w:val="00D13173"/>
    <w:rsid w:val="00D161C2"/>
    <w:rsid w:val="00D200B0"/>
    <w:rsid w:val="00D212DF"/>
    <w:rsid w:val="00D221CC"/>
    <w:rsid w:val="00D242AE"/>
    <w:rsid w:val="00D31D5A"/>
    <w:rsid w:val="00D364CE"/>
    <w:rsid w:val="00D37603"/>
    <w:rsid w:val="00D421B8"/>
    <w:rsid w:val="00D42FE9"/>
    <w:rsid w:val="00D44B2B"/>
    <w:rsid w:val="00D50DB2"/>
    <w:rsid w:val="00D55088"/>
    <w:rsid w:val="00D579DC"/>
    <w:rsid w:val="00D6452D"/>
    <w:rsid w:val="00D65887"/>
    <w:rsid w:val="00D658DA"/>
    <w:rsid w:val="00D71031"/>
    <w:rsid w:val="00D72CED"/>
    <w:rsid w:val="00D743B1"/>
    <w:rsid w:val="00D7457B"/>
    <w:rsid w:val="00D76BFC"/>
    <w:rsid w:val="00D801AD"/>
    <w:rsid w:val="00D821DD"/>
    <w:rsid w:val="00D857C6"/>
    <w:rsid w:val="00D86A05"/>
    <w:rsid w:val="00D87294"/>
    <w:rsid w:val="00D912CE"/>
    <w:rsid w:val="00D913BE"/>
    <w:rsid w:val="00D91B7A"/>
    <w:rsid w:val="00D93AE5"/>
    <w:rsid w:val="00D93BFB"/>
    <w:rsid w:val="00D9698F"/>
    <w:rsid w:val="00DA0029"/>
    <w:rsid w:val="00DA097A"/>
    <w:rsid w:val="00DA138D"/>
    <w:rsid w:val="00DA69C8"/>
    <w:rsid w:val="00DB0FE4"/>
    <w:rsid w:val="00DB10C6"/>
    <w:rsid w:val="00DC2655"/>
    <w:rsid w:val="00DC540D"/>
    <w:rsid w:val="00DC5AB1"/>
    <w:rsid w:val="00DC5DCC"/>
    <w:rsid w:val="00DC6A24"/>
    <w:rsid w:val="00DD1FBD"/>
    <w:rsid w:val="00DD7110"/>
    <w:rsid w:val="00DE28C5"/>
    <w:rsid w:val="00DE44C6"/>
    <w:rsid w:val="00DE546B"/>
    <w:rsid w:val="00DE70DA"/>
    <w:rsid w:val="00DE79F2"/>
    <w:rsid w:val="00DF2DC1"/>
    <w:rsid w:val="00DF5F46"/>
    <w:rsid w:val="00DF693B"/>
    <w:rsid w:val="00DF7C98"/>
    <w:rsid w:val="00E075AE"/>
    <w:rsid w:val="00E1003A"/>
    <w:rsid w:val="00E11235"/>
    <w:rsid w:val="00E11DD0"/>
    <w:rsid w:val="00E1237F"/>
    <w:rsid w:val="00E230B7"/>
    <w:rsid w:val="00E2428F"/>
    <w:rsid w:val="00E2548B"/>
    <w:rsid w:val="00E27ECD"/>
    <w:rsid w:val="00E319E6"/>
    <w:rsid w:val="00E3573A"/>
    <w:rsid w:val="00E40B89"/>
    <w:rsid w:val="00E45083"/>
    <w:rsid w:val="00E5343A"/>
    <w:rsid w:val="00E553E9"/>
    <w:rsid w:val="00E559D3"/>
    <w:rsid w:val="00E56391"/>
    <w:rsid w:val="00E578EE"/>
    <w:rsid w:val="00E63E12"/>
    <w:rsid w:val="00E67CEE"/>
    <w:rsid w:val="00E70565"/>
    <w:rsid w:val="00E81610"/>
    <w:rsid w:val="00E81A24"/>
    <w:rsid w:val="00E8659F"/>
    <w:rsid w:val="00E86EB7"/>
    <w:rsid w:val="00E94876"/>
    <w:rsid w:val="00E948CB"/>
    <w:rsid w:val="00E95B98"/>
    <w:rsid w:val="00E97946"/>
    <w:rsid w:val="00EA2A34"/>
    <w:rsid w:val="00EA4A04"/>
    <w:rsid w:val="00EB2BD6"/>
    <w:rsid w:val="00EB55FD"/>
    <w:rsid w:val="00EB79FE"/>
    <w:rsid w:val="00EC452F"/>
    <w:rsid w:val="00EC4EF9"/>
    <w:rsid w:val="00EC503E"/>
    <w:rsid w:val="00ED516E"/>
    <w:rsid w:val="00EE0FDA"/>
    <w:rsid w:val="00EF6266"/>
    <w:rsid w:val="00EF6829"/>
    <w:rsid w:val="00F00809"/>
    <w:rsid w:val="00F0086C"/>
    <w:rsid w:val="00F063DA"/>
    <w:rsid w:val="00F155AC"/>
    <w:rsid w:val="00F24DE6"/>
    <w:rsid w:val="00F25762"/>
    <w:rsid w:val="00F25B4D"/>
    <w:rsid w:val="00F35DEB"/>
    <w:rsid w:val="00F37703"/>
    <w:rsid w:val="00F407A1"/>
    <w:rsid w:val="00F4368F"/>
    <w:rsid w:val="00F44B33"/>
    <w:rsid w:val="00F56D8D"/>
    <w:rsid w:val="00F570C3"/>
    <w:rsid w:val="00F57178"/>
    <w:rsid w:val="00F57E3A"/>
    <w:rsid w:val="00F60E81"/>
    <w:rsid w:val="00F71A4B"/>
    <w:rsid w:val="00F71C3D"/>
    <w:rsid w:val="00F81FC7"/>
    <w:rsid w:val="00F905AD"/>
    <w:rsid w:val="00F90F1D"/>
    <w:rsid w:val="00F9466A"/>
    <w:rsid w:val="00FA7023"/>
    <w:rsid w:val="00FB4261"/>
    <w:rsid w:val="00FC6A91"/>
    <w:rsid w:val="00FD7065"/>
    <w:rsid w:val="00FD7D78"/>
    <w:rsid w:val="00FE6280"/>
    <w:rsid w:val="00FF520F"/>
    <w:rsid w:val="00FF5E24"/>
  </w:rsids>
  <m:mathPr>
    <m:mathFont m:val="Helvetica Neu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annotation text" w:uiPriority="99"/>
    <w:lsdException w:name="header" w:uiPriority="99"/>
    <w:lsdException w:name="footer" w:uiPriority="99"/>
    <w:lsdException w:name="annotation reference" w:uiPriority="99"/>
    <w:lsdException w:name="Hyperlink" w:uiPriority="99"/>
    <w:lsdException w:name="annotation subject" w:uiPriority="99"/>
    <w:lsdException w:name="Balloon Text" w:uiPriority="99"/>
    <w:lsdException w:name="Table Grid" w:uiPriority="59"/>
    <w:lsdException w:name="Revision" w:uiPriority="99"/>
    <w:lsdException w:name="List Paragraph" w:uiPriority="34" w:qFormat="1"/>
  </w:latentStyles>
  <w:style w:type="paragraph" w:default="1" w:styleId="Normal">
    <w:name w:val="Normal"/>
    <w:qFormat/>
    <w:rsid w:val="00DD7110"/>
  </w:style>
  <w:style w:type="paragraph" w:styleId="Heading1">
    <w:name w:val="heading 1"/>
    <w:basedOn w:val="Normal"/>
    <w:next w:val="Normal"/>
    <w:link w:val="Heading1Char"/>
    <w:uiPriority w:val="9"/>
    <w:qFormat/>
    <w:rsid w:val="005D4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4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492E"/>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D492E"/>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D492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492E"/>
    <w:pPr>
      <w:ind w:left="720"/>
      <w:contextualSpacing/>
    </w:pPr>
  </w:style>
  <w:style w:type="character" w:customStyle="1" w:styleId="Heading4Char">
    <w:name w:val="Heading 4 Char"/>
    <w:basedOn w:val="DefaultParagraphFont"/>
    <w:link w:val="Heading4"/>
    <w:uiPriority w:val="9"/>
    <w:rsid w:val="005D492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5D492E"/>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5D4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492E"/>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unhideWhenUsed/>
    <w:rsid w:val="005D492E"/>
    <w:pPr>
      <w:spacing w:after="200" w:line="240" w:lineRule="auto"/>
    </w:pPr>
    <w:rPr>
      <w:sz w:val="20"/>
      <w:szCs w:val="20"/>
    </w:rPr>
  </w:style>
  <w:style w:type="character" w:customStyle="1" w:styleId="CommentTextChar">
    <w:name w:val="Comment Text Char"/>
    <w:basedOn w:val="DefaultParagraphFont"/>
    <w:link w:val="CommentText"/>
    <w:uiPriority w:val="99"/>
    <w:rsid w:val="005D492E"/>
    <w:rPr>
      <w:sz w:val="20"/>
      <w:szCs w:val="20"/>
    </w:rPr>
  </w:style>
  <w:style w:type="character" w:styleId="CommentReference">
    <w:name w:val="annotation reference"/>
    <w:basedOn w:val="DefaultParagraphFont"/>
    <w:uiPriority w:val="99"/>
    <w:semiHidden/>
    <w:unhideWhenUsed/>
    <w:rsid w:val="005D492E"/>
    <w:rPr>
      <w:sz w:val="16"/>
      <w:szCs w:val="16"/>
    </w:rPr>
  </w:style>
  <w:style w:type="paragraph" w:styleId="BalloonText">
    <w:name w:val="Balloon Text"/>
    <w:basedOn w:val="Normal"/>
    <w:link w:val="BalloonTextChar"/>
    <w:uiPriority w:val="99"/>
    <w:semiHidden/>
    <w:unhideWhenUsed/>
    <w:rsid w:val="005D4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2E"/>
    <w:rPr>
      <w:rFonts w:ascii="Segoe UI" w:hAnsi="Segoe UI" w:cs="Segoe UI"/>
      <w:sz w:val="18"/>
      <w:szCs w:val="18"/>
    </w:rPr>
  </w:style>
  <w:style w:type="character" w:customStyle="1" w:styleId="Heading6Char">
    <w:name w:val="Heading 6 Char"/>
    <w:basedOn w:val="DefaultParagraphFont"/>
    <w:link w:val="Heading6"/>
    <w:uiPriority w:val="9"/>
    <w:semiHidden/>
    <w:rsid w:val="005D492E"/>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D4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92E"/>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E5CC5"/>
    <w:pPr>
      <w:spacing w:after="0" w:line="240" w:lineRule="auto"/>
    </w:pPr>
  </w:style>
  <w:style w:type="paragraph" w:styleId="CommentSubject">
    <w:name w:val="annotation subject"/>
    <w:basedOn w:val="CommentText"/>
    <w:next w:val="CommentText"/>
    <w:link w:val="CommentSubjectChar"/>
    <w:uiPriority w:val="99"/>
    <w:semiHidden/>
    <w:unhideWhenUsed/>
    <w:rsid w:val="00571242"/>
    <w:pPr>
      <w:spacing w:after="160"/>
    </w:pPr>
    <w:rPr>
      <w:b/>
      <w:bCs/>
    </w:rPr>
  </w:style>
  <w:style w:type="character" w:customStyle="1" w:styleId="CommentSubjectChar">
    <w:name w:val="Comment Subject Char"/>
    <w:basedOn w:val="CommentTextChar"/>
    <w:link w:val="CommentSubject"/>
    <w:uiPriority w:val="99"/>
    <w:semiHidden/>
    <w:rsid w:val="00571242"/>
    <w:rPr>
      <w:b/>
      <w:bCs/>
      <w:sz w:val="20"/>
      <w:szCs w:val="20"/>
    </w:rPr>
  </w:style>
  <w:style w:type="paragraph" w:styleId="Header">
    <w:name w:val="header"/>
    <w:basedOn w:val="Normal"/>
    <w:link w:val="HeaderChar"/>
    <w:uiPriority w:val="99"/>
    <w:unhideWhenUsed/>
    <w:rsid w:val="00585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FC"/>
  </w:style>
  <w:style w:type="paragraph" w:styleId="Footer">
    <w:name w:val="footer"/>
    <w:basedOn w:val="Normal"/>
    <w:link w:val="FooterChar"/>
    <w:uiPriority w:val="99"/>
    <w:unhideWhenUsed/>
    <w:rsid w:val="00585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FC"/>
  </w:style>
  <w:style w:type="character" w:styleId="Hyperlink">
    <w:name w:val="Hyperlink"/>
    <w:basedOn w:val="DefaultParagraphFont"/>
    <w:uiPriority w:val="99"/>
    <w:unhideWhenUsed/>
    <w:rsid w:val="006A0D7E"/>
    <w:rPr>
      <w:color w:val="0563C1" w:themeColor="hyperlink"/>
      <w:u w:val="single"/>
    </w:rPr>
  </w:style>
  <w:style w:type="character" w:customStyle="1" w:styleId="apple-converted-space">
    <w:name w:val="apple-converted-space"/>
    <w:basedOn w:val="DefaultParagraphFont"/>
    <w:rsid w:val="00AB68F1"/>
  </w:style>
  <w:style w:type="paragraph" w:styleId="Bibliography">
    <w:name w:val="Bibliography"/>
    <w:basedOn w:val="Normal"/>
    <w:next w:val="Normal"/>
    <w:unhideWhenUsed/>
    <w:rsid w:val="00792FAC"/>
    <w:pPr>
      <w:tabs>
        <w:tab w:val="left" w:pos="500"/>
      </w:tabs>
      <w:spacing w:after="240" w:line="240" w:lineRule="auto"/>
      <w:ind w:left="504" w:hanging="504"/>
    </w:pPr>
  </w:style>
  <w:style w:type="character" w:styleId="LineNumber">
    <w:name w:val="line number"/>
    <w:basedOn w:val="DefaultParagraphFont"/>
    <w:rsid w:val="008B2188"/>
  </w:style>
</w:styles>
</file>

<file path=word/webSettings.xml><?xml version="1.0" encoding="utf-8"?>
<w:webSettings xmlns:r="http://schemas.openxmlformats.org/officeDocument/2006/relationships" xmlns:w="http://schemas.openxmlformats.org/wordprocessingml/2006/main">
  <w:divs>
    <w:div w:id="5643030">
      <w:bodyDiv w:val="1"/>
      <w:marLeft w:val="0"/>
      <w:marRight w:val="0"/>
      <w:marTop w:val="0"/>
      <w:marBottom w:val="0"/>
      <w:divBdr>
        <w:top w:val="none" w:sz="0" w:space="0" w:color="auto"/>
        <w:left w:val="none" w:sz="0" w:space="0" w:color="auto"/>
        <w:bottom w:val="none" w:sz="0" w:space="0" w:color="auto"/>
        <w:right w:val="none" w:sz="0" w:space="0" w:color="auto"/>
      </w:divBdr>
      <w:divsChild>
        <w:div w:id="585379523">
          <w:marLeft w:val="0"/>
          <w:marRight w:val="0"/>
          <w:marTop w:val="0"/>
          <w:marBottom w:val="0"/>
          <w:divBdr>
            <w:top w:val="none" w:sz="0" w:space="0" w:color="auto"/>
            <w:left w:val="none" w:sz="0" w:space="0" w:color="auto"/>
            <w:bottom w:val="none" w:sz="0" w:space="0" w:color="auto"/>
            <w:right w:val="none" w:sz="0" w:space="0" w:color="auto"/>
          </w:divBdr>
          <w:divsChild>
            <w:div w:id="6372067">
              <w:marLeft w:val="0"/>
              <w:marRight w:val="0"/>
              <w:marTop w:val="0"/>
              <w:marBottom w:val="0"/>
              <w:divBdr>
                <w:top w:val="none" w:sz="0" w:space="0" w:color="auto"/>
                <w:left w:val="none" w:sz="0" w:space="0" w:color="auto"/>
                <w:bottom w:val="none" w:sz="0" w:space="0" w:color="auto"/>
                <w:right w:val="none" w:sz="0" w:space="0" w:color="auto"/>
              </w:divBdr>
              <w:divsChild>
                <w:div w:id="1410344772">
                  <w:marLeft w:val="0"/>
                  <w:marRight w:val="0"/>
                  <w:marTop w:val="0"/>
                  <w:marBottom w:val="0"/>
                  <w:divBdr>
                    <w:top w:val="none" w:sz="0" w:space="0" w:color="auto"/>
                    <w:left w:val="none" w:sz="0" w:space="0" w:color="auto"/>
                    <w:bottom w:val="none" w:sz="0" w:space="0" w:color="auto"/>
                    <w:right w:val="none" w:sz="0" w:space="0" w:color="auto"/>
                  </w:divBdr>
                  <w:divsChild>
                    <w:div w:id="9146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2650">
      <w:bodyDiv w:val="1"/>
      <w:marLeft w:val="0"/>
      <w:marRight w:val="0"/>
      <w:marTop w:val="0"/>
      <w:marBottom w:val="0"/>
      <w:divBdr>
        <w:top w:val="none" w:sz="0" w:space="0" w:color="auto"/>
        <w:left w:val="none" w:sz="0" w:space="0" w:color="auto"/>
        <w:bottom w:val="none" w:sz="0" w:space="0" w:color="auto"/>
        <w:right w:val="none" w:sz="0" w:space="0" w:color="auto"/>
      </w:divBdr>
      <w:divsChild>
        <w:div w:id="1549148549">
          <w:marLeft w:val="0"/>
          <w:marRight w:val="0"/>
          <w:marTop w:val="0"/>
          <w:marBottom w:val="0"/>
          <w:divBdr>
            <w:top w:val="none" w:sz="0" w:space="0" w:color="auto"/>
            <w:left w:val="none" w:sz="0" w:space="0" w:color="auto"/>
            <w:bottom w:val="none" w:sz="0" w:space="0" w:color="auto"/>
            <w:right w:val="none" w:sz="0" w:space="0" w:color="auto"/>
          </w:divBdr>
          <w:divsChild>
            <w:div w:id="1664628555">
              <w:marLeft w:val="0"/>
              <w:marRight w:val="0"/>
              <w:marTop w:val="0"/>
              <w:marBottom w:val="0"/>
              <w:divBdr>
                <w:top w:val="none" w:sz="0" w:space="0" w:color="auto"/>
                <w:left w:val="none" w:sz="0" w:space="0" w:color="auto"/>
                <w:bottom w:val="none" w:sz="0" w:space="0" w:color="auto"/>
                <w:right w:val="none" w:sz="0" w:space="0" w:color="auto"/>
              </w:divBdr>
              <w:divsChild>
                <w:div w:id="993722587">
                  <w:marLeft w:val="0"/>
                  <w:marRight w:val="0"/>
                  <w:marTop w:val="0"/>
                  <w:marBottom w:val="0"/>
                  <w:divBdr>
                    <w:top w:val="none" w:sz="0" w:space="0" w:color="auto"/>
                    <w:left w:val="none" w:sz="0" w:space="0" w:color="auto"/>
                    <w:bottom w:val="none" w:sz="0" w:space="0" w:color="auto"/>
                    <w:right w:val="none" w:sz="0" w:space="0" w:color="auto"/>
                  </w:divBdr>
                  <w:divsChild>
                    <w:div w:id="874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7627">
      <w:bodyDiv w:val="1"/>
      <w:marLeft w:val="0"/>
      <w:marRight w:val="0"/>
      <w:marTop w:val="0"/>
      <w:marBottom w:val="0"/>
      <w:divBdr>
        <w:top w:val="none" w:sz="0" w:space="0" w:color="auto"/>
        <w:left w:val="none" w:sz="0" w:space="0" w:color="auto"/>
        <w:bottom w:val="none" w:sz="0" w:space="0" w:color="auto"/>
        <w:right w:val="none" w:sz="0" w:space="0" w:color="auto"/>
      </w:divBdr>
    </w:div>
    <w:div w:id="220946170">
      <w:bodyDiv w:val="1"/>
      <w:marLeft w:val="0"/>
      <w:marRight w:val="0"/>
      <w:marTop w:val="0"/>
      <w:marBottom w:val="0"/>
      <w:divBdr>
        <w:top w:val="none" w:sz="0" w:space="0" w:color="auto"/>
        <w:left w:val="none" w:sz="0" w:space="0" w:color="auto"/>
        <w:bottom w:val="none" w:sz="0" w:space="0" w:color="auto"/>
        <w:right w:val="none" w:sz="0" w:space="0" w:color="auto"/>
      </w:divBdr>
      <w:divsChild>
        <w:div w:id="275673123">
          <w:marLeft w:val="480"/>
          <w:marRight w:val="0"/>
          <w:marTop w:val="0"/>
          <w:marBottom w:val="0"/>
          <w:divBdr>
            <w:top w:val="none" w:sz="0" w:space="0" w:color="auto"/>
            <w:left w:val="none" w:sz="0" w:space="0" w:color="auto"/>
            <w:bottom w:val="none" w:sz="0" w:space="0" w:color="auto"/>
            <w:right w:val="none" w:sz="0" w:space="0" w:color="auto"/>
          </w:divBdr>
          <w:divsChild>
            <w:div w:id="18598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833">
      <w:bodyDiv w:val="1"/>
      <w:marLeft w:val="0"/>
      <w:marRight w:val="0"/>
      <w:marTop w:val="0"/>
      <w:marBottom w:val="0"/>
      <w:divBdr>
        <w:top w:val="none" w:sz="0" w:space="0" w:color="auto"/>
        <w:left w:val="none" w:sz="0" w:space="0" w:color="auto"/>
        <w:bottom w:val="none" w:sz="0" w:space="0" w:color="auto"/>
        <w:right w:val="none" w:sz="0" w:space="0" w:color="auto"/>
      </w:divBdr>
      <w:divsChild>
        <w:div w:id="1449003749">
          <w:marLeft w:val="0"/>
          <w:marRight w:val="0"/>
          <w:marTop w:val="0"/>
          <w:marBottom w:val="0"/>
          <w:divBdr>
            <w:top w:val="none" w:sz="0" w:space="0" w:color="auto"/>
            <w:left w:val="none" w:sz="0" w:space="0" w:color="auto"/>
            <w:bottom w:val="none" w:sz="0" w:space="0" w:color="auto"/>
            <w:right w:val="none" w:sz="0" w:space="0" w:color="auto"/>
          </w:divBdr>
        </w:div>
      </w:divsChild>
    </w:div>
    <w:div w:id="237205886">
      <w:bodyDiv w:val="1"/>
      <w:marLeft w:val="0"/>
      <w:marRight w:val="0"/>
      <w:marTop w:val="0"/>
      <w:marBottom w:val="0"/>
      <w:divBdr>
        <w:top w:val="none" w:sz="0" w:space="0" w:color="auto"/>
        <w:left w:val="none" w:sz="0" w:space="0" w:color="auto"/>
        <w:bottom w:val="none" w:sz="0" w:space="0" w:color="auto"/>
        <w:right w:val="none" w:sz="0" w:space="0" w:color="auto"/>
      </w:divBdr>
      <w:divsChild>
        <w:div w:id="264581834">
          <w:marLeft w:val="0"/>
          <w:marRight w:val="0"/>
          <w:marTop w:val="0"/>
          <w:marBottom w:val="0"/>
          <w:divBdr>
            <w:top w:val="none" w:sz="0" w:space="0" w:color="auto"/>
            <w:left w:val="none" w:sz="0" w:space="0" w:color="auto"/>
            <w:bottom w:val="none" w:sz="0" w:space="0" w:color="auto"/>
            <w:right w:val="none" w:sz="0" w:space="0" w:color="auto"/>
          </w:divBdr>
          <w:divsChild>
            <w:div w:id="95515810">
              <w:marLeft w:val="0"/>
              <w:marRight w:val="0"/>
              <w:marTop w:val="0"/>
              <w:marBottom w:val="0"/>
              <w:divBdr>
                <w:top w:val="none" w:sz="0" w:space="0" w:color="auto"/>
                <w:left w:val="none" w:sz="0" w:space="0" w:color="auto"/>
                <w:bottom w:val="none" w:sz="0" w:space="0" w:color="auto"/>
                <w:right w:val="none" w:sz="0" w:space="0" w:color="auto"/>
              </w:divBdr>
              <w:divsChild>
                <w:div w:id="1199858868">
                  <w:marLeft w:val="0"/>
                  <w:marRight w:val="0"/>
                  <w:marTop w:val="0"/>
                  <w:marBottom w:val="0"/>
                  <w:divBdr>
                    <w:top w:val="none" w:sz="0" w:space="0" w:color="auto"/>
                    <w:left w:val="none" w:sz="0" w:space="0" w:color="auto"/>
                    <w:bottom w:val="none" w:sz="0" w:space="0" w:color="auto"/>
                    <w:right w:val="none" w:sz="0" w:space="0" w:color="auto"/>
                  </w:divBdr>
                  <w:divsChild>
                    <w:div w:id="1550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58007">
      <w:bodyDiv w:val="1"/>
      <w:marLeft w:val="0"/>
      <w:marRight w:val="0"/>
      <w:marTop w:val="0"/>
      <w:marBottom w:val="0"/>
      <w:divBdr>
        <w:top w:val="none" w:sz="0" w:space="0" w:color="auto"/>
        <w:left w:val="none" w:sz="0" w:space="0" w:color="auto"/>
        <w:bottom w:val="none" w:sz="0" w:space="0" w:color="auto"/>
        <w:right w:val="none" w:sz="0" w:space="0" w:color="auto"/>
      </w:divBdr>
    </w:div>
    <w:div w:id="511576483">
      <w:bodyDiv w:val="1"/>
      <w:marLeft w:val="0"/>
      <w:marRight w:val="0"/>
      <w:marTop w:val="0"/>
      <w:marBottom w:val="0"/>
      <w:divBdr>
        <w:top w:val="none" w:sz="0" w:space="0" w:color="auto"/>
        <w:left w:val="none" w:sz="0" w:space="0" w:color="auto"/>
        <w:bottom w:val="none" w:sz="0" w:space="0" w:color="auto"/>
        <w:right w:val="none" w:sz="0" w:space="0" w:color="auto"/>
      </w:divBdr>
      <w:divsChild>
        <w:div w:id="289291049">
          <w:marLeft w:val="0"/>
          <w:marRight w:val="0"/>
          <w:marTop w:val="0"/>
          <w:marBottom w:val="0"/>
          <w:divBdr>
            <w:top w:val="none" w:sz="0" w:space="0" w:color="auto"/>
            <w:left w:val="none" w:sz="0" w:space="0" w:color="auto"/>
            <w:bottom w:val="none" w:sz="0" w:space="0" w:color="auto"/>
            <w:right w:val="none" w:sz="0" w:space="0" w:color="auto"/>
          </w:divBdr>
          <w:divsChild>
            <w:div w:id="1686639187">
              <w:marLeft w:val="0"/>
              <w:marRight w:val="0"/>
              <w:marTop w:val="0"/>
              <w:marBottom w:val="0"/>
              <w:divBdr>
                <w:top w:val="none" w:sz="0" w:space="0" w:color="auto"/>
                <w:left w:val="none" w:sz="0" w:space="0" w:color="auto"/>
                <w:bottom w:val="none" w:sz="0" w:space="0" w:color="auto"/>
                <w:right w:val="none" w:sz="0" w:space="0" w:color="auto"/>
              </w:divBdr>
              <w:divsChild>
                <w:div w:id="15780505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458969">
      <w:bodyDiv w:val="1"/>
      <w:marLeft w:val="0"/>
      <w:marRight w:val="0"/>
      <w:marTop w:val="0"/>
      <w:marBottom w:val="0"/>
      <w:divBdr>
        <w:top w:val="none" w:sz="0" w:space="0" w:color="auto"/>
        <w:left w:val="none" w:sz="0" w:space="0" w:color="auto"/>
        <w:bottom w:val="none" w:sz="0" w:space="0" w:color="auto"/>
        <w:right w:val="none" w:sz="0" w:space="0" w:color="auto"/>
      </w:divBdr>
    </w:div>
    <w:div w:id="669067979">
      <w:bodyDiv w:val="1"/>
      <w:marLeft w:val="0"/>
      <w:marRight w:val="0"/>
      <w:marTop w:val="0"/>
      <w:marBottom w:val="0"/>
      <w:divBdr>
        <w:top w:val="none" w:sz="0" w:space="0" w:color="auto"/>
        <w:left w:val="none" w:sz="0" w:space="0" w:color="auto"/>
        <w:bottom w:val="none" w:sz="0" w:space="0" w:color="auto"/>
        <w:right w:val="none" w:sz="0" w:space="0" w:color="auto"/>
      </w:divBdr>
      <w:divsChild>
        <w:div w:id="609703649">
          <w:marLeft w:val="0"/>
          <w:marRight w:val="0"/>
          <w:marTop w:val="0"/>
          <w:marBottom w:val="0"/>
          <w:divBdr>
            <w:top w:val="none" w:sz="0" w:space="0" w:color="auto"/>
            <w:left w:val="none" w:sz="0" w:space="0" w:color="auto"/>
            <w:bottom w:val="none" w:sz="0" w:space="0" w:color="auto"/>
            <w:right w:val="none" w:sz="0" w:space="0" w:color="auto"/>
          </w:divBdr>
          <w:divsChild>
            <w:div w:id="1535649809">
              <w:marLeft w:val="0"/>
              <w:marRight w:val="0"/>
              <w:marTop w:val="0"/>
              <w:marBottom w:val="0"/>
              <w:divBdr>
                <w:top w:val="none" w:sz="0" w:space="0" w:color="auto"/>
                <w:left w:val="none" w:sz="0" w:space="0" w:color="auto"/>
                <w:bottom w:val="none" w:sz="0" w:space="0" w:color="auto"/>
                <w:right w:val="none" w:sz="0" w:space="0" w:color="auto"/>
              </w:divBdr>
              <w:divsChild>
                <w:div w:id="15656079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2288354">
      <w:bodyDiv w:val="1"/>
      <w:marLeft w:val="0"/>
      <w:marRight w:val="0"/>
      <w:marTop w:val="0"/>
      <w:marBottom w:val="0"/>
      <w:divBdr>
        <w:top w:val="none" w:sz="0" w:space="0" w:color="auto"/>
        <w:left w:val="none" w:sz="0" w:space="0" w:color="auto"/>
        <w:bottom w:val="none" w:sz="0" w:space="0" w:color="auto"/>
        <w:right w:val="none" w:sz="0" w:space="0" w:color="auto"/>
      </w:divBdr>
      <w:divsChild>
        <w:div w:id="1894000370">
          <w:marLeft w:val="0"/>
          <w:marRight w:val="0"/>
          <w:marTop w:val="0"/>
          <w:marBottom w:val="0"/>
          <w:divBdr>
            <w:top w:val="none" w:sz="0" w:space="0" w:color="auto"/>
            <w:left w:val="none" w:sz="0" w:space="0" w:color="auto"/>
            <w:bottom w:val="none" w:sz="0" w:space="0" w:color="auto"/>
            <w:right w:val="none" w:sz="0" w:space="0" w:color="auto"/>
          </w:divBdr>
          <w:divsChild>
            <w:div w:id="845050974">
              <w:marLeft w:val="0"/>
              <w:marRight w:val="0"/>
              <w:marTop w:val="0"/>
              <w:marBottom w:val="0"/>
              <w:divBdr>
                <w:top w:val="none" w:sz="0" w:space="0" w:color="auto"/>
                <w:left w:val="none" w:sz="0" w:space="0" w:color="auto"/>
                <w:bottom w:val="none" w:sz="0" w:space="0" w:color="auto"/>
                <w:right w:val="none" w:sz="0" w:space="0" w:color="auto"/>
              </w:divBdr>
              <w:divsChild>
                <w:div w:id="1313564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5719225">
      <w:bodyDiv w:val="1"/>
      <w:marLeft w:val="0"/>
      <w:marRight w:val="0"/>
      <w:marTop w:val="0"/>
      <w:marBottom w:val="0"/>
      <w:divBdr>
        <w:top w:val="none" w:sz="0" w:space="0" w:color="auto"/>
        <w:left w:val="none" w:sz="0" w:space="0" w:color="auto"/>
        <w:bottom w:val="none" w:sz="0" w:space="0" w:color="auto"/>
        <w:right w:val="none" w:sz="0" w:space="0" w:color="auto"/>
      </w:divBdr>
    </w:div>
    <w:div w:id="1116364612">
      <w:bodyDiv w:val="1"/>
      <w:marLeft w:val="0"/>
      <w:marRight w:val="0"/>
      <w:marTop w:val="0"/>
      <w:marBottom w:val="0"/>
      <w:divBdr>
        <w:top w:val="none" w:sz="0" w:space="0" w:color="auto"/>
        <w:left w:val="none" w:sz="0" w:space="0" w:color="auto"/>
        <w:bottom w:val="none" w:sz="0" w:space="0" w:color="auto"/>
        <w:right w:val="none" w:sz="0" w:space="0" w:color="auto"/>
      </w:divBdr>
    </w:div>
    <w:div w:id="1194152294">
      <w:bodyDiv w:val="1"/>
      <w:marLeft w:val="0"/>
      <w:marRight w:val="0"/>
      <w:marTop w:val="0"/>
      <w:marBottom w:val="0"/>
      <w:divBdr>
        <w:top w:val="none" w:sz="0" w:space="0" w:color="auto"/>
        <w:left w:val="none" w:sz="0" w:space="0" w:color="auto"/>
        <w:bottom w:val="none" w:sz="0" w:space="0" w:color="auto"/>
        <w:right w:val="none" w:sz="0" w:space="0" w:color="auto"/>
      </w:divBdr>
      <w:divsChild>
        <w:div w:id="881206163">
          <w:marLeft w:val="0"/>
          <w:marRight w:val="0"/>
          <w:marTop w:val="0"/>
          <w:marBottom w:val="0"/>
          <w:divBdr>
            <w:top w:val="none" w:sz="0" w:space="0" w:color="auto"/>
            <w:left w:val="none" w:sz="0" w:space="0" w:color="auto"/>
            <w:bottom w:val="none" w:sz="0" w:space="0" w:color="auto"/>
            <w:right w:val="none" w:sz="0" w:space="0" w:color="auto"/>
          </w:divBdr>
          <w:divsChild>
            <w:div w:id="261646531">
              <w:marLeft w:val="0"/>
              <w:marRight w:val="0"/>
              <w:marTop w:val="0"/>
              <w:marBottom w:val="0"/>
              <w:divBdr>
                <w:top w:val="none" w:sz="0" w:space="0" w:color="auto"/>
                <w:left w:val="none" w:sz="0" w:space="0" w:color="auto"/>
                <w:bottom w:val="none" w:sz="0" w:space="0" w:color="auto"/>
                <w:right w:val="none" w:sz="0" w:space="0" w:color="auto"/>
              </w:divBdr>
              <w:divsChild>
                <w:div w:id="1161891338">
                  <w:marLeft w:val="0"/>
                  <w:marRight w:val="0"/>
                  <w:marTop w:val="0"/>
                  <w:marBottom w:val="0"/>
                  <w:divBdr>
                    <w:top w:val="none" w:sz="0" w:space="0" w:color="auto"/>
                    <w:left w:val="none" w:sz="0" w:space="0" w:color="auto"/>
                    <w:bottom w:val="none" w:sz="0" w:space="0" w:color="auto"/>
                    <w:right w:val="none" w:sz="0" w:space="0" w:color="auto"/>
                  </w:divBdr>
                  <w:divsChild>
                    <w:div w:id="3632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56681">
      <w:bodyDiv w:val="1"/>
      <w:marLeft w:val="0"/>
      <w:marRight w:val="0"/>
      <w:marTop w:val="0"/>
      <w:marBottom w:val="0"/>
      <w:divBdr>
        <w:top w:val="none" w:sz="0" w:space="0" w:color="auto"/>
        <w:left w:val="none" w:sz="0" w:space="0" w:color="auto"/>
        <w:bottom w:val="none" w:sz="0" w:space="0" w:color="auto"/>
        <w:right w:val="none" w:sz="0" w:space="0" w:color="auto"/>
      </w:divBdr>
      <w:divsChild>
        <w:div w:id="1814516797">
          <w:marLeft w:val="480"/>
          <w:marRight w:val="0"/>
          <w:marTop w:val="0"/>
          <w:marBottom w:val="0"/>
          <w:divBdr>
            <w:top w:val="none" w:sz="0" w:space="0" w:color="auto"/>
            <w:left w:val="none" w:sz="0" w:space="0" w:color="auto"/>
            <w:bottom w:val="none" w:sz="0" w:space="0" w:color="auto"/>
            <w:right w:val="none" w:sz="0" w:space="0" w:color="auto"/>
          </w:divBdr>
          <w:divsChild>
            <w:div w:id="7587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5154">
      <w:bodyDiv w:val="1"/>
      <w:marLeft w:val="0"/>
      <w:marRight w:val="0"/>
      <w:marTop w:val="0"/>
      <w:marBottom w:val="0"/>
      <w:divBdr>
        <w:top w:val="none" w:sz="0" w:space="0" w:color="auto"/>
        <w:left w:val="none" w:sz="0" w:space="0" w:color="auto"/>
        <w:bottom w:val="none" w:sz="0" w:space="0" w:color="auto"/>
        <w:right w:val="none" w:sz="0" w:space="0" w:color="auto"/>
      </w:divBdr>
      <w:divsChild>
        <w:div w:id="307629659">
          <w:marLeft w:val="0"/>
          <w:marRight w:val="0"/>
          <w:marTop w:val="0"/>
          <w:marBottom w:val="0"/>
          <w:divBdr>
            <w:top w:val="none" w:sz="0" w:space="0" w:color="auto"/>
            <w:left w:val="none" w:sz="0" w:space="0" w:color="auto"/>
            <w:bottom w:val="none" w:sz="0" w:space="0" w:color="auto"/>
            <w:right w:val="none" w:sz="0" w:space="0" w:color="auto"/>
          </w:divBdr>
          <w:divsChild>
            <w:div w:id="1422023850">
              <w:marLeft w:val="0"/>
              <w:marRight w:val="0"/>
              <w:marTop w:val="0"/>
              <w:marBottom w:val="0"/>
              <w:divBdr>
                <w:top w:val="none" w:sz="0" w:space="0" w:color="auto"/>
                <w:left w:val="none" w:sz="0" w:space="0" w:color="auto"/>
                <w:bottom w:val="none" w:sz="0" w:space="0" w:color="auto"/>
                <w:right w:val="none" w:sz="0" w:space="0" w:color="auto"/>
              </w:divBdr>
              <w:divsChild>
                <w:div w:id="1057977174">
                  <w:marLeft w:val="0"/>
                  <w:marRight w:val="0"/>
                  <w:marTop w:val="0"/>
                  <w:marBottom w:val="0"/>
                  <w:divBdr>
                    <w:top w:val="none" w:sz="0" w:space="0" w:color="auto"/>
                    <w:left w:val="none" w:sz="0" w:space="0" w:color="auto"/>
                    <w:bottom w:val="none" w:sz="0" w:space="0" w:color="auto"/>
                    <w:right w:val="none" w:sz="0" w:space="0" w:color="auto"/>
                  </w:divBdr>
                  <w:divsChild>
                    <w:div w:id="1724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2170">
      <w:bodyDiv w:val="1"/>
      <w:marLeft w:val="0"/>
      <w:marRight w:val="0"/>
      <w:marTop w:val="0"/>
      <w:marBottom w:val="0"/>
      <w:divBdr>
        <w:top w:val="none" w:sz="0" w:space="0" w:color="auto"/>
        <w:left w:val="none" w:sz="0" w:space="0" w:color="auto"/>
        <w:bottom w:val="none" w:sz="0" w:space="0" w:color="auto"/>
        <w:right w:val="none" w:sz="0" w:space="0" w:color="auto"/>
      </w:divBdr>
      <w:divsChild>
        <w:div w:id="1478454706">
          <w:marLeft w:val="480"/>
          <w:marRight w:val="0"/>
          <w:marTop w:val="0"/>
          <w:marBottom w:val="0"/>
          <w:divBdr>
            <w:top w:val="none" w:sz="0" w:space="0" w:color="auto"/>
            <w:left w:val="none" w:sz="0" w:space="0" w:color="auto"/>
            <w:bottom w:val="none" w:sz="0" w:space="0" w:color="auto"/>
            <w:right w:val="none" w:sz="0" w:space="0" w:color="auto"/>
          </w:divBdr>
          <w:divsChild>
            <w:div w:id="167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210">
      <w:bodyDiv w:val="1"/>
      <w:marLeft w:val="0"/>
      <w:marRight w:val="0"/>
      <w:marTop w:val="0"/>
      <w:marBottom w:val="0"/>
      <w:divBdr>
        <w:top w:val="none" w:sz="0" w:space="0" w:color="auto"/>
        <w:left w:val="none" w:sz="0" w:space="0" w:color="auto"/>
        <w:bottom w:val="none" w:sz="0" w:space="0" w:color="auto"/>
        <w:right w:val="none" w:sz="0" w:space="0" w:color="auto"/>
      </w:divBdr>
      <w:divsChild>
        <w:div w:id="607781657">
          <w:marLeft w:val="0"/>
          <w:marRight w:val="0"/>
          <w:marTop w:val="0"/>
          <w:marBottom w:val="0"/>
          <w:divBdr>
            <w:top w:val="none" w:sz="0" w:space="0" w:color="auto"/>
            <w:left w:val="none" w:sz="0" w:space="0" w:color="auto"/>
            <w:bottom w:val="none" w:sz="0" w:space="0" w:color="auto"/>
            <w:right w:val="none" w:sz="0" w:space="0" w:color="auto"/>
          </w:divBdr>
          <w:divsChild>
            <w:div w:id="82190442">
              <w:marLeft w:val="0"/>
              <w:marRight w:val="0"/>
              <w:marTop w:val="0"/>
              <w:marBottom w:val="0"/>
              <w:divBdr>
                <w:top w:val="none" w:sz="0" w:space="0" w:color="auto"/>
                <w:left w:val="none" w:sz="0" w:space="0" w:color="auto"/>
                <w:bottom w:val="none" w:sz="0" w:space="0" w:color="auto"/>
                <w:right w:val="none" w:sz="0" w:space="0" w:color="auto"/>
              </w:divBdr>
              <w:divsChild>
                <w:div w:id="823740211">
                  <w:marLeft w:val="0"/>
                  <w:marRight w:val="0"/>
                  <w:marTop w:val="0"/>
                  <w:marBottom w:val="0"/>
                  <w:divBdr>
                    <w:top w:val="none" w:sz="0" w:space="0" w:color="auto"/>
                    <w:left w:val="none" w:sz="0" w:space="0" w:color="auto"/>
                    <w:bottom w:val="none" w:sz="0" w:space="0" w:color="auto"/>
                    <w:right w:val="none" w:sz="0" w:space="0" w:color="auto"/>
                  </w:divBdr>
                  <w:divsChild>
                    <w:div w:id="15442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120">
      <w:bodyDiv w:val="1"/>
      <w:marLeft w:val="0"/>
      <w:marRight w:val="0"/>
      <w:marTop w:val="0"/>
      <w:marBottom w:val="0"/>
      <w:divBdr>
        <w:top w:val="none" w:sz="0" w:space="0" w:color="auto"/>
        <w:left w:val="none" w:sz="0" w:space="0" w:color="auto"/>
        <w:bottom w:val="none" w:sz="0" w:space="0" w:color="auto"/>
        <w:right w:val="none" w:sz="0" w:space="0" w:color="auto"/>
      </w:divBdr>
      <w:divsChild>
        <w:div w:id="453603462">
          <w:marLeft w:val="0"/>
          <w:marRight w:val="0"/>
          <w:marTop w:val="0"/>
          <w:marBottom w:val="0"/>
          <w:divBdr>
            <w:top w:val="none" w:sz="0" w:space="0" w:color="auto"/>
            <w:left w:val="none" w:sz="0" w:space="0" w:color="auto"/>
            <w:bottom w:val="none" w:sz="0" w:space="0" w:color="auto"/>
            <w:right w:val="none" w:sz="0" w:space="0" w:color="auto"/>
          </w:divBdr>
          <w:divsChild>
            <w:div w:id="188718296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sChild>
                    <w:div w:id="1654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24670">
      <w:bodyDiv w:val="1"/>
      <w:marLeft w:val="0"/>
      <w:marRight w:val="0"/>
      <w:marTop w:val="0"/>
      <w:marBottom w:val="0"/>
      <w:divBdr>
        <w:top w:val="none" w:sz="0" w:space="0" w:color="auto"/>
        <w:left w:val="none" w:sz="0" w:space="0" w:color="auto"/>
        <w:bottom w:val="none" w:sz="0" w:space="0" w:color="auto"/>
        <w:right w:val="none" w:sz="0" w:space="0" w:color="auto"/>
      </w:divBdr>
      <w:divsChild>
        <w:div w:id="141436096">
          <w:marLeft w:val="480"/>
          <w:marRight w:val="0"/>
          <w:marTop w:val="0"/>
          <w:marBottom w:val="0"/>
          <w:divBdr>
            <w:top w:val="none" w:sz="0" w:space="0" w:color="auto"/>
            <w:left w:val="none" w:sz="0" w:space="0" w:color="auto"/>
            <w:bottom w:val="none" w:sz="0" w:space="0" w:color="auto"/>
            <w:right w:val="none" w:sz="0" w:space="0" w:color="auto"/>
          </w:divBdr>
          <w:divsChild>
            <w:div w:id="20821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313">
      <w:bodyDiv w:val="1"/>
      <w:marLeft w:val="0"/>
      <w:marRight w:val="0"/>
      <w:marTop w:val="0"/>
      <w:marBottom w:val="0"/>
      <w:divBdr>
        <w:top w:val="none" w:sz="0" w:space="0" w:color="auto"/>
        <w:left w:val="none" w:sz="0" w:space="0" w:color="auto"/>
        <w:bottom w:val="none" w:sz="0" w:space="0" w:color="auto"/>
        <w:right w:val="none" w:sz="0" w:space="0" w:color="auto"/>
      </w:divBdr>
      <w:divsChild>
        <w:div w:id="1672637227">
          <w:marLeft w:val="480"/>
          <w:marRight w:val="0"/>
          <w:marTop w:val="0"/>
          <w:marBottom w:val="0"/>
          <w:divBdr>
            <w:top w:val="none" w:sz="0" w:space="0" w:color="auto"/>
            <w:left w:val="none" w:sz="0" w:space="0" w:color="auto"/>
            <w:bottom w:val="none" w:sz="0" w:space="0" w:color="auto"/>
            <w:right w:val="none" w:sz="0" w:space="0" w:color="auto"/>
          </w:divBdr>
          <w:divsChild>
            <w:div w:id="16578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181">
      <w:bodyDiv w:val="1"/>
      <w:marLeft w:val="0"/>
      <w:marRight w:val="0"/>
      <w:marTop w:val="0"/>
      <w:marBottom w:val="0"/>
      <w:divBdr>
        <w:top w:val="none" w:sz="0" w:space="0" w:color="auto"/>
        <w:left w:val="none" w:sz="0" w:space="0" w:color="auto"/>
        <w:bottom w:val="none" w:sz="0" w:space="0" w:color="auto"/>
        <w:right w:val="none" w:sz="0" w:space="0" w:color="auto"/>
      </w:divBdr>
      <w:divsChild>
        <w:div w:id="276497211">
          <w:marLeft w:val="480"/>
          <w:marRight w:val="0"/>
          <w:marTop w:val="0"/>
          <w:marBottom w:val="0"/>
          <w:divBdr>
            <w:top w:val="none" w:sz="0" w:space="0" w:color="auto"/>
            <w:left w:val="none" w:sz="0" w:space="0" w:color="auto"/>
            <w:bottom w:val="none" w:sz="0" w:space="0" w:color="auto"/>
            <w:right w:val="none" w:sz="0" w:space="0" w:color="auto"/>
          </w:divBdr>
          <w:divsChild>
            <w:div w:id="242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tae@dtae.net" TargetMode="External"/><Relationship Id="rId9" Type="http://schemas.openxmlformats.org/officeDocument/2006/relationships/hyperlink" Target="mailto:CPR@u.northwestern.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19994-210C-4551-96CD-F00BACAE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19</Pages>
  <Words>22604</Words>
  <Characters>128845</Characters>
  <Application>Microsoft Word 12.0.0</Application>
  <DocSecurity>0</DocSecurity>
  <Lines>1073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dc:creator>
  <cp:lastModifiedBy>CPR</cp:lastModifiedBy>
  <cp:revision>15</cp:revision>
  <cp:lastPrinted>2018-01-17T04:56:00Z</cp:lastPrinted>
  <dcterms:created xsi:type="dcterms:W3CDTF">2018-03-13T21:36:00Z</dcterms:created>
  <dcterms:modified xsi:type="dcterms:W3CDTF">2018-03-16T18:52:00Z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id="e8ja1PiI"/&gt;&lt;style id="http://www.zotero.org/styles/pnas" hasBibliography="1" bibliographyStyleHasBeenSet="1"/&gt;&lt;prefs&gt;&lt;pref name="fieldType" value="Field"/&gt;&lt;pref name="automaticJournalAbbreviation</vt:lpwstr>
  </property>
  <property fmtid="{D5CDD505-2E9C-101B-9397-08002B2CF9AE}" pid="3" name="ZOTERO_PREF_2">
    <vt:lpwstr>s" value="true"/&gt;&lt;pref name="noteType" value="0"/&gt;&lt;/prefs&gt;&lt;/data&gt;</vt:lpwstr>
  </property>
</Properties>
</file>