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sz w:val="50"/>
        </w:rPr>
        <w:t>IPO.one / IPo1 产品描述文档</w:t>
      </w:r>
    </w:p>
    <w:p>
      <w:pPr>
        <w:jc w:val="center"/>
      </w:pPr>
      <w:r>
        <w:rPr>
          <w:rFonts w:ascii="Noto Sans CJK SC" w:hAnsi="Noto Sans CJK SC" w:eastAsia="Noto Sans CJK SC"/>
          <w:color w:val="505050"/>
          <w:sz w:val="25"/>
        </w:rPr>
        <w:t>Business Plan + Technical PRD for a World-Class Product &amp; Engineering Team</w:t>
      </w:r>
    </w:p>
    <w:p>
      <w:r>
        <w:rPr>
          <w:rFonts w:ascii="Noto Sans CJK SC" w:hAnsi="Noto Sans CJK SC" w:eastAsia="Noto Sans CJK SC"/>
        </w:rPr>
        <w:t>版本：v1.0 | 日期：2026-07-01 | 语言：中文，技术接口与代码为英文 | 受众：核心创始团队、顶级工程团队、协议架构师、风控团队、BD/融资团队、合规顾问</w:t>
      </w:r>
    </w:p>
    <w:p>
      <w:r>
        <w:rPr>
          <w:rFonts w:ascii="Noto Sans CJK SC" w:hAnsi="Noto Sans CJK SC" w:eastAsia="Noto Sans CJK SC"/>
        </w:rPr>
        <w:t>定位：本文件是 IPO.one 的产品描述、商业计划与可执行 PRD 的合并版。它不只是 pitch narrative，也不是普通功能清单，而是将商业逻辑、协议对象、产品范围、工程架构、数据边界、安全约束、路线图和验收标准统一到同一份开发基准文档中。</w:t>
      </w:r>
    </w:p>
    <w:p>
      <w:pPr>
        <w:pStyle w:val="Heading2"/>
      </w:pPr>
      <w:r>
        <w:rPr>
          <w:rFonts w:ascii="Noto Sans CJK SC" w:hAnsi="Noto Sans CJK SC" w:eastAsia="Noto Sans CJK SC"/>
        </w:rPr>
        <w:t>文档控制与可靠性边界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top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项目</w:t>
            </w:r>
          </w:p>
        </w:tc>
        <w:tc>
          <w:tcPr>
            <w:tcW w:type="dxa" w:w="5213"/>
            <w:vAlign w:val="top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说明</w:t>
            </w:r>
          </w:p>
        </w:tc>
        <w:trPr>
          <w:tblHeader/>
        </w:trPr>
      </w:tr>
      <w:tr>
        <w:tc>
          <w:tcPr>
            <w:tcW w:type="dxa" w:w="521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Document Name</w:t>
            </w:r>
          </w:p>
        </w:tc>
        <w:tc>
          <w:tcPr>
            <w:tcW w:type="dxa" w:w="521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IPO.one / IPo1 Product Description + Business Plan + Technical PRD</w:t>
            </w:r>
          </w:p>
        </w:tc>
      </w:tr>
      <w:tr>
        <w:tc>
          <w:tcPr>
            <w:tcW w:type="dxa" w:w="521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Version</w:t>
            </w:r>
          </w:p>
        </w:tc>
        <w:tc>
          <w:tcPr>
            <w:tcW w:type="dxa" w:w="521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v1.0, prepared 2026-07-01</w:t>
            </w:r>
          </w:p>
        </w:tc>
      </w:tr>
      <w:tr>
        <w:tc>
          <w:tcPr>
            <w:tcW w:type="dxa" w:w="521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Primary Thesis</w:t>
            </w:r>
          </w:p>
        </w:tc>
        <w:tc>
          <w:tcPr>
            <w:tcW w:type="dxa" w:w="521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IPO.one 是人类与 AI Agent 经济的机器可读信用义务协议层。</w:t>
            </w:r>
          </w:p>
        </w:tc>
      </w:tr>
      <w:tr>
        <w:tc>
          <w:tcPr>
            <w:tcW w:type="dxa" w:w="521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Core Product Rule</w:t>
            </w:r>
          </w:p>
        </w:tc>
        <w:tc>
          <w:tcPr>
            <w:tcW w:type="dxa" w:w="521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Agent-first, Human-compatible from Day 1, Multi-chain-ready from Day 1.</w:t>
            </w:r>
          </w:p>
        </w:tc>
      </w:tr>
      <w:tr>
        <w:tc>
          <w:tcPr>
            <w:tcW w:type="dxa" w:w="521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Non-negotiable Boundary</w:t>
            </w:r>
          </w:p>
        </w:tc>
        <w:tc>
          <w:tcPr>
            <w:tcW w:type="dxa" w:w="521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IPO.one 不直接替代本地持牌放贷机构；不在早期做人类无用途现金贷；不在积累真实还款事件前销售黑盒信用分。</w:t>
            </w:r>
          </w:p>
        </w:tc>
      </w:tr>
      <w:tr>
        <w:tc>
          <w:tcPr>
            <w:tcW w:type="dxa" w:w="521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Engineering Rule</w:t>
            </w:r>
          </w:p>
        </w:tc>
        <w:tc>
          <w:tcPr>
            <w:tcW w:type="dxa" w:w="521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协议核心对象必须 versioned、chain-agnostic、event-sourced、adapter-based，避免因未来多链、人类信用、Originator、RWA 或机构资金扩展而推倒重建。</w:t>
            </w:r>
          </w:p>
        </w:tc>
      </w:tr>
      <w:tr>
        <w:tc>
          <w:tcPr>
            <w:tcW w:type="dxa" w:w="521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Legal Boundary</w:t>
            </w:r>
          </w:p>
        </w:tc>
        <w:tc>
          <w:tcPr>
            <w:tcW w:type="dxa" w:w="521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本文件不是法律、税务、会计、投资或牌照意见；真实上线前必须由目标市场本地律师、合规顾问和审计团队复核。</w:t>
            </w:r>
          </w:p>
        </w:tc>
      </w:tr>
    </w:tbl>
    <w:p/>
    <w:p>
      <w:r>
        <w:rPr>
          <w:rFonts w:ascii="Noto Sans CJK SC" w:hAnsi="Noto Sans CJK SC" w:eastAsia="Noto Sans CJK SC"/>
        </w:rPr>
        <w:t>真实性说明：本文件将已经核验的外部技术标准与项目内部战略约束分开处理。对市场规模、未来收入、融资路径等内容，本文件使用“方向性假设”和“可验证 KPI”表达，不把未经验证的预测写成事实。对工程设计，本文件优先采用已被验证的成熟模式，例如 W3C DID / VC、CAIP-2 / CAIP-10、EIP-155 / EIP-712、ERC-4626、OpenZeppelin 5.x、event-sourced indexer、per-chain exposure cap、first-loss tranche、stop-loss covenant 等。</w:t>
      </w:r>
    </w:p>
    <w:p>
      <w:pPr>
        <w:pStyle w:val="Heading2"/>
      </w:pPr>
      <w:r>
        <w:rPr>
          <w:rFonts w:ascii="Noto Sans CJK SC" w:hAnsi="Noto Sans CJK SC" w:eastAsia="Noto Sans CJK SC"/>
        </w:rPr>
        <w:t>目录</w:t>
      </w:r>
    </w:p>
    <w:p>
      <w:pPr>
        <w:pStyle w:val="ListBullet"/>
      </w:pPr>
      <w:r>
        <w:rPr>
          <w:rFonts w:ascii="Noto Sans CJK SC" w:hAnsi="Noto Sans CJK SC" w:eastAsia="Noto Sans CJK SC"/>
        </w:rPr>
        <w:t>Part I 商业化产品描述与商业计划书</w:t>
      </w:r>
    </w:p>
    <w:p>
      <w:pPr>
        <w:pStyle w:val="ListBullet"/>
      </w:pPr>
      <w:r>
        <w:rPr>
          <w:rFonts w:ascii="Noto Sans CJK SC" w:hAnsi="Noto Sans CJK SC" w:eastAsia="Noto Sans CJK SC"/>
        </w:rPr>
        <w:t>1. Executive Summary</w:t>
      </w:r>
    </w:p>
    <w:p>
      <w:pPr>
        <w:pStyle w:val="ListBullet"/>
      </w:pPr>
      <w:r>
        <w:rPr>
          <w:rFonts w:ascii="Noto Sans CJK SC" w:hAnsi="Noto Sans CJK SC" w:eastAsia="Noto Sans CJK SC"/>
        </w:rPr>
        <w:t>2. 产品定义与第一性原理</w:t>
      </w:r>
    </w:p>
    <w:p>
      <w:pPr>
        <w:pStyle w:val="ListBullet"/>
      </w:pPr>
      <w:r>
        <w:rPr>
          <w:rFonts w:ascii="Noto Sans CJK SC" w:hAnsi="Noto Sans CJK SC" w:eastAsia="Noto Sans CJK SC"/>
        </w:rPr>
        <w:t>3. Why Now</w:t>
      </w:r>
    </w:p>
    <w:p>
      <w:pPr>
        <w:pStyle w:val="ListBullet"/>
      </w:pPr>
      <w:r>
        <w:rPr>
          <w:rFonts w:ascii="Noto Sans CJK SC" w:hAnsi="Noto Sans CJK SC" w:eastAsia="Noto Sans CJK SC"/>
        </w:rPr>
        <w:t>4. 目标客户与应用场景</w:t>
      </w:r>
    </w:p>
    <w:p>
      <w:pPr>
        <w:pStyle w:val="ListBullet"/>
      </w:pPr>
      <w:r>
        <w:rPr>
          <w:rFonts w:ascii="Noto Sans CJK SC" w:hAnsi="Noto Sans CJK SC" w:eastAsia="Noto Sans CJK SC"/>
        </w:rPr>
        <w:t>5. 市场与竞争格局</w:t>
      </w:r>
    </w:p>
    <w:p>
      <w:pPr>
        <w:pStyle w:val="ListBullet"/>
      </w:pPr>
      <w:r>
        <w:rPr>
          <w:rFonts w:ascii="Noto Sans CJK SC" w:hAnsi="Noto Sans CJK SC" w:eastAsia="Noto Sans CJK SC"/>
        </w:rPr>
        <w:t>6. 商业模式</w:t>
      </w:r>
    </w:p>
    <w:p>
      <w:pPr>
        <w:pStyle w:val="ListBullet"/>
      </w:pPr>
      <w:r>
        <w:rPr>
          <w:rFonts w:ascii="Noto Sans CJK SC" w:hAnsi="Noto Sans CJK SC" w:eastAsia="Noto Sans CJK SC"/>
        </w:rPr>
        <w:t>7. 护城河</w:t>
      </w:r>
    </w:p>
    <w:p>
      <w:pPr>
        <w:pStyle w:val="ListBullet"/>
      </w:pPr>
      <w:r>
        <w:rPr>
          <w:rFonts w:ascii="Noto Sans CJK SC" w:hAnsi="Noto Sans CJK SC" w:eastAsia="Noto Sans CJK SC"/>
        </w:rPr>
        <w:t>8. Go-to-Market 与 Roadmap</w:t>
      </w:r>
    </w:p>
    <w:p>
      <w:pPr>
        <w:pStyle w:val="ListBullet"/>
      </w:pPr>
      <w:r>
        <w:rPr>
          <w:rFonts w:ascii="Noto Sans CJK SC" w:hAnsi="Noto Sans CJK SC" w:eastAsia="Noto Sans CJK SC"/>
        </w:rPr>
        <w:t>9. 风险纪律、合规边界与成功指标</w:t>
      </w:r>
    </w:p>
    <w:p>
      <w:pPr>
        <w:pStyle w:val="ListBullet"/>
      </w:pPr>
      <w:r>
        <w:rPr>
          <w:rFonts w:ascii="Noto Sans CJK SC" w:hAnsi="Noto Sans CJK SC" w:eastAsia="Noto Sans CJK SC"/>
        </w:rPr>
        <w:t>Part II Technical PRD</w:t>
      </w:r>
    </w:p>
    <w:p>
      <w:pPr>
        <w:pStyle w:val="ListBullet"/>
      </w:pPr>
      <w:r>
        <w:rPr>
          <w:rFonts w:ascii="Noto Sans CJK SC" w:hAnsi="Noto Sans CJK SC" w:eastAsia="Noto Sans CJK SC"/>
        </w:rPr>
        <w:t>10. PRD 总览与范围</w:t>
      </w:r>
    </w:p>
    <w:p>
      <w:pPr>
        <w:pStyle w:val="ListBullet"/>
      </w:pPr>
      <w:r>
        <w:rPr>
          <w:rFonts w:ascii="Noto Sans CJK SC" w:hAnsi="Noto Sans CJK SC" w:eastAsia="Noto Sans CJK SC"/>
        </w:rPr>
        <w:t>11. 架构决策 ADR</w:t>
      </w:r>
    </w:p>
    <w:p>
      <w:pPr>
        <w:pStyle w:val="ListBullet"/>
      </w:pPr>
      <w:r>
        <w:rPr>
          <w:rFonts w:ascii="Noto Sans CJK SC" w:hAnsi="Noto Sans CJK SC" w:eastAsia="Noto Sans CJK SC"/>
        </w:rPr>
        <w:t>12. 系统架构</w:t>
      </w:r>
    </w:p>
    <w:p>
      <w:pPr>
        <w:pStyle w:val="ListBullet"/>
      </w:pPr>
      <w:r>
        <w:rPr>
          <w:rFonts w:ascii="Noto Sans CJK SC" w:hAnsi="Noto Sans CJK SC" w:eastAsia="Noto Sans CJK SC"/>
        </w:rPr>
        <w:t>13. 协议对象与数据模型</w:t>
      </w:r>
    </w:p>
    <w:p>
      <w:pPr>
        <w:pStyle w:val="ListBullet"/>
      </w:pPr>
      <w:r>
        <w:rPr>
          <w:rFonts w:ascii="Noto Sans CJK SC" w:hAnsi="Noto Sans CJK SC" w:eastAsia="Noto Sans CJK SC"/>
        </w:rPr>
        <w:t>14. 人类兼容能力</w:t>
      </w:r>
    </w:p>
    <w:p>
      <w:pPr>
        <w:pStyle w:val="ListBullet"/>
      </w:pPr>
      <w:r>
        <w:rPr>
          <w:rFonts w:ascii="Noto Sans CJK SC" w:hAnsi="Noto Sans CJK SC" w:eastAsia="Noto Sans CJK SC"/>
        </w:rPr>
        <w:t>15. 多链兼容能力</w:t>
      </w:r>
    </w:p>
    <w:p>
      <w:pPr>
        <w:pStyle w:val="ListBullet"/>
      </w:pPr>
      <w:r>
        <w:rPr>
          <w:rFonts w:ascii="Noto Sans CJK SC" w:hAnsi="Noto Sans CJK SC" w:eastAsia="Noto Sans CJK SC"/>
        </w:rPr>
        <w:t>16. MVP / V0 详细 PRD</w:t>
      </w:r>
    </w:p>
    <w:p>
      <w:pPr>
        <w:pStyle w:val="ListBullet"/>
      </w:pPr>
      <w:r>
        <w:rPr>
          <w:rFonts w:ascii="Noto Sans CJK SC" w:hAnsi="Noto Sans CJK SC" w:eastAsia="Noto Sans CJK SC"/>
        </w:rPr>
        <w:t>17. V1-V5 版本 PRD</w:t>
      </w:r>
    </w:p>
    <w:p>
      <w:pPr>
        <w:pStyle w:val="ListBullet"/>
      </w:pPr>
      <w:r>
        <w:rPr>
          <w:rFonts w:ascii="Noto Sans CJK SC" w:hAnsi="Noto Sans CJK SC" w:eastAsia="Noto Sans CJK SC"/>
        </w:rPr>
        <w:t>18. 模块级 PRD 与验收标准</w:t>
      </w:r>
    </w:p>
    <w:p>
      <w:pPr>
        <w:pStyle w:val="ListBullet"/>
      </w:pPr>
      <w:r>
        <w:rPr>
          <w:rFonts w:ascii="Noto Sans CJK SC" w:hAnsi="Noto Sans CJK SC" w:eastAsia="Noto Sans CJK SC"/>
        </w:rPr>
        <w:t>19. 合约接口与数据接口</w:t>
      </w:r>
    </w:p>
    <w:p>
      <w:pPr>
        <w:pStyle w:val="ListBullet"/>
      </w:pPr>
      <w:r>
        <w:rPr>
          <w:rFonts w:ascii="Noto Sans CJK SC" w:hAnsi="Noto Sans CJK SC" w:eastAsia="Noto Sans CJK SC"/>
        </w:rPr>
        <w:t>20. 安全、风控、测试、运维</w:t>
      </w:r>
    </w:p>
    <w:p>
      <w:pPr>
        <w:pStyle w:val="ListBullet"/>
      </w:pPr>
      <w:r>
        <w:rPr>
          <w:rFonts w:ascii="Noto Sans CJK SC" w:hAnsi="Noto Sans CJK SC" w:eastAsia="Noto Sans CJK SC"/>
        </w:rPr>
        <w:t>21. 交付计划与工程组织</w:t>
      </w:r>
    </w:p>
    <w:p>
      <w:pPr>
        <w:pStyle w:val="ListBullet"/>
      </w:pPr>
      <w:r>
        <w:rPr>
          <w:rFonts w:ascii="Noto Sans CJK SC" w:hAnsi="Noto Sans CJK SC" w:eastAsia="Noto Sans CJK SC"/>
        </w:rPr>
        <w:t>22. 附录：参考资料与核验清单</w:t>
      </w:r>
    </w:p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Part I — 商业化产品描述与商业计划书</w:t>
      </w:r>
    </w:p>
    <w:p>
      <w:pPr>
        <w:jc w:val="center"/>
      </w:pPr>
      <w:r>
        <w:rPr>
          <w:rFonts w:ascii="Noto Sans CJK SC" w:hAnsi="Noto Sans CJK SC" w:eastAsia="Noto Sans CJK SC"/>
        </w:rPr>
        <w:drawing>
          <wp:inline xmlns:a="http://schemas.openxmlformats.org/drawingml/2006/main" xmlns:pic="http://schemas.openxmlformats.org/drawingml/2006/picture">
            <wp:extent cx="5120640" cy="5120640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ywhe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"/>
        <w:jc w:val="center"/>
      </w:pPr>
      <w:r>
        <w:rPr>
          <w:rFonts w:ascii="Noto Sans CJK SC" w:hAnsi="Noto Sans CJK SC" w:eastAsia="Noto Sans CJK SC"/>
          <w:color w:val="5A5A5A"/>
          <w:sz w:val="16"/>
        </w:rPr>
        <w:t>图 1：IPO.one 的长期商业飞轮：现金流路由 → 还款事件 → Obligation Graph → 风控 → 更便宜资本。</w:t>
      </w:r>
    </w:p>
    <w:p>
      <w:pPr>
        <w:pStyle w:val="Heading2"/>
      </w:pPr>
      <w:r>
        <w:rPr>
          <w:rFonts w:ascii="Noto Sans CJK SC" w:hAnsi="Noto Sans CJK SC" w:eastAsia="Noto Sans CJK SC"/>
        </w:rPr>
        <w:t>1. Executive Summary</w:t>
      </w:r>
    </w:p>
    <w:p>
      <w:r>
        <w:rPr>
          <w:rFonts w:ascii="Noto Sans CJK SC" w:hAnsi="Noto Sans CJK SC" w:eastAsia="Noto Sans CJK SC"/>
        </w:rPr>
        <w:t>IPO.one 的最终产品定义不是“借贷 App”，而是“人类与 AI Agent 经济的机器可读信用义务协议层”。当稳定币让价值传输变成可编程，当 x402 让 HTTP 级支付变成机器可读，市场仍然缺少一个同样机器可读的“信用义务层”：谁是主体、谁承担责任、资金能用于哪里、未来现金流从哪里还、是否按时履约、违约如何记录、还款历史如何跨平台迁移。IPO.one 的核心机会就在这里。</w:t>
      </w:r>
    </w:p>
    <w:p>
      <w:r>
        <w:rPr>
          <w:rFonts w:ascii="Noto Sans CJK SC" w:hAnsi="Noto Sans CJK SC" w:eastAsia="Noto Sans CJK SC"/>
        </w:rPr>
        <w:t>上一代 DeFi lending 的核心能力是 collateralized borrowing；下一代 PayFi / AgentFi / RWA credit 的核心能力将是 cashflow-constrained obligation。IPO.one 不是为了在早期最大化贷款余额，而是为了标准化信用世界的最小原语：Obligation。</w:t>
      </w:r>
    </w:p>
    <w:p>
      <w:r>
        <w:rPr>
          <w:rFonts w:ascii="Noto Sans CJK SC" w:hAnsi="Noto Sans CJK SC" w:eastAsia="Noto Sans CJK SC"/>
        </w:rPr>
        <w:t>产品战略采用三段式：第一阶段用 Agent Lockbox 证明机器信用可以被创建、使用、自动还款和证明；第二阶段通过 Originator Facility 将人类现金流与本地合规执行协议化；第三阶段通过 Credit Passport / Attestation Network 让还款历史、违约状态和信用证明跨链、跨平台、跨市场迁移。</w:t>
      </w:r>
    </w:p>
    <w:p>
      <w:pPr>
        <w:pStyle w:val="Heading3"/>
      </w:pPr>
      <w:r>
        <w:rPr>
          <w:rFonts w:ascii="Noto Sans CJK SC" w:hAnsi="Noto Sans CJK SC" w:eastAsia="Noto Sans CJK SC"/>
        </w:rPr>
        <w:t>核心结论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top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结论</w:t>
            </w:r>
          </w:p>
        </w:tc>
        <w:tc>
          <w:tcPr>
            <w:tcW w:type="dxa" w:w="3475"/>
            <w:vAlign w:val="top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含义</w:t>
            </w:r>
          </w:p>
        </w:tc>
        <w:tc>
          <w:tcPr>
            <w:tcW w:type="dxa" w:w="3475"/>
            <w:vAlign w:val="top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产品动作</w:t>
            </w:r>
          </w:p>
        </w:tc>
        <w:trPr>
          <w:tblHeader/>
        </w:trPr>
      </w:tr>
      <w:tr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信用的最小单位不是 Loan，而是 Obligation。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Loan 只是信用义务的一种。Agent API 后付费、设备分期、工资预支、库存预支都应使用同一套生命周期。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从 Day 1 建立 Subject、Principal、Authorization、SpendPolicy、CashflowRoute、Obligation、RepaymentEvent、DefaultEvent、Attestation。</w:t>
            </w:r>
          </w:p>
        </w:tc>
      </w:tr>
      <w:tr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MVP Agent-first。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Agent 的收入可被 Lockbox 程序化捕获，能用极小规模验证闭环。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先做有收入 Agent 的小额 working capital，不做人类真实现金贷。</w:t>
            </w:r>
          </w:p>
        </w:tc>
      </w:tr>
      <w:tr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Human-compatible from Day 1。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人类不是另一个产品，而是同一套 Obligation Protocol 的 Human execution adapter。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MVP 即预留 Human Subject、Consent、KYC/VC reference、Originator、Loan Tape、DPD/default 状态。</w:t>
            </w:r>
          </w:p>
        </w:tc>
      </w:tr>
      <w:tr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Multi-chain-ready from Day 1。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Base 可以是首发链之一，但不能成为架构边界。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使用 CAIP-2、CAIP-10、chain-agnostic obligation_id、per-chain cap、multi-chain indexer。</w:t>
            </w:r>
          </w:p>
        </w:tc>
      </w:tr>
      <w:tr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早期不卖黑盒信用分。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没有真实还款事件前，信用分不可被市场信任。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先卖 Repayment Proof、Obligation Status、Attestation API、Cashflow Route Proof。</w:t>
            </w:r>
          </w:p>
        </w:tc>
      </w:tr>
      <w:tr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不直接替代持牌放贷机构。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人类信用的执行依赖本地 KYC、合同、催收、消费者保护和牌照。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使用 Originator Facility + first-loss + daily loan tape + stop-loss + audit。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2. 产品定义与第一性原理</w:t>
      </w:r>
    </w:p>
    <w:p>
      <w:r>
        <w:rPr>
          <w:rFonts w:ascii="Noto Sans CJK SC" w:hAnsi="Noto Sans CJK SC" w:eastAsia="Noto Sans CJK SC"/>
        </w:rPr>
        <w:t>IPO.one = Identity + Payment + Obligation。Identity 解决“谁是主体”；Payment 解决“钱如何流动”；Obligation 解决“未来承诺是什么、如何履约、如何证明”。这也是 IPO.one 名字中 I-P-O 三层含义最自然、最有延展性的产品解释。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>I = Identity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  Human DID | Agent DID | Org DID | Originator ID | Wallet Account | Principal Binding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>P = Payment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  Stablecoin rails | x402 | Lockbox | Payroll route | Merchant cashflow | Originator settlement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>O = Obligation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  Amount | Term | Fee | Spend Policy | Cashflow Route | Repayment Event | Default Event | Attestation</w:t>
      </w:r>
    </w:p>
    <w:p>
      <w:pPr>
        <w:pStyle w:val="Heading3"/>
      </w:pPr>
      <w:r>
        <w:rPr>
          <w:rFonts w:ascii="Noto Sans CJK SC" w:hAnsi="Noto Sans CJK SC" w:eastAsia="Noto Sans CJK SC"/>
        </w:rPr>
        <w:t>第一性原理</w:t>
      </w:r>
    </w:p>
    <w:p>
      <w:pPr>
        <w:pStyle w:val="ListNumber"/>
      </w:pPr>
      <w:r>
        <w:rPr>
          <w:rFonts w:ascii="Noto Sans CJK SC" w:hAnsi="Noto Sans CJK SC" w:eastAsia="Noto Sans CJK SC"/>
        </w:rPr>
        <w:t>信用的本质不是贷款，而是“当前获得价值，未来在约定条件下偿还、交付或结算”的义务。</w:t>
      </w:r>
    </w:p>
    <w:p>
      <w:pPr>
        <w:pStyle w:val="ListNumber"/>
      </w:pPr>
      <w:r>
        <w:rPr>
          <w:rFonts w:ascii="Noto Sans CJK SC" w:hAnsi="Noto Sans CJK SC" w:eastAsia="Noto Sans CJK SC"/>
        </w:rPr>
        <w:t>信用风险的核心不是链上合约风险，而是现金流可捕获性、身份/责任可追踪性、用途可控性、执行可落地性。</w:t>
      </w:r>
    </w:p>
    <w:p>
      <w:pPr>
        <w:pStyle w:val="ListNumber"/>
      </w:pPr>
      <w:r>
        <w:rPr>
          <w:rFonts w:ascii="Noto Sans CJK SC" w:hAnsi="Noto Sans CJK SC" w:eastAsia="Noto Sans CJK SC"/>
        </w:rPr>
        <w:t>早期产品要优先选择现金流闭环强、合规摩擦低、可用智能合约强制执行的场景。</w:t>
      </w:r>
    </w:p>
    <w:p>
      <w:pPr>
        <w:pStyle w:val="ListNumber"/>
      </w:pPr>
      <w:r>
        <w:rPr>
          <w:rFonts w:ascii="Noto Sans CJK SC" w:hAnsi="Noto Sans CJK SC" w:eastAsia="Noto Sans CJK SC"/>
        </w:rPr>
        <w:t>人类信用必须通过本地持牌 Originator 或合规伙伴执行，不应由协议直接承担 KYC、法币放款、催收与消费者保护责任。</w:t>
      </w:r>
    </w:p>
    <w:p>
      <w:pPr>
        <w:pStyle w:val="ListNumber"/>
      </w:pPr>
      <w:r>
        <w:rPr>
          <w:rFonts w:ascii="Noto Sans CJK SC" w:hAnsi="Noto Sans CJK SC" w:eastAsia="Noto Sans CJK SC"/>
        </w:rPr>
        <w:t>多链信用的核心不是桥接资产，而是跨链唯一主体、跨链唯一 obligation、跨链事件归一化、跨链重复授信防护。</w:t>
      </w:r>
    </w:p>
    <w:p>
      <w:pPr>
        <w:pStyle w:val="ListNumber"/>
      </w:pPr>
      <w:r>
        <w:rPr>
          <w:rFonts w:ascii="Noto Sans CJK SC" w:hAnsi="Noto Sans CJK SC" w:eastAsia="Noto Sans CJK SC"/>
        </w:rPr>
        <w:t>长期护城河不是 TVL，而是 Obligation Graph、Cashflow Routing、Attester Registry、Risk + Capital Routing。</w:t>
      </w:r>
    </w:p>
    <w:p>
      <w:pPr>
        <w:pStyle w:val="Heading2"/>
      </w:pPr>
      <w:r>
        <w:rPr>
          <w:rFonts w:ascii="Noto Sans CJK SC" w:hAnsi="Noto Sans CJK SC" w:eastAsia="Noto Sans CJK SC"/>
        </w:rPr>
        <w:t>3. Why Now</w:t>
      </w:r>
    </w:p>
    <w:p>
      <w:r>
        <w:rPr>
          <w:rFonts w:ascii="Noto Sans CJK SC" w:hAnsi="Noto Sans CJK SC" w:eastAsia="Noto Sans CJK SC"/>
        </w:rPr>
        <w:t>IPO.one 的时间窗口来自三条趋势叠加：稳定币规模化、机器可读支付兴起、AI Agent 与新型数字劳动者成为经济主体。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top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趋势</w:t>
            </w:r>
          </w:p>
        </w:tc>
        <w:tc>
          <w:tcPr>
            <w:tcW w:type="dxa" w:w="3475"/>
            <w:vAlign w:val="top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已核验事实 / 可观察变化</w:t>
            </w:r>
          </w:p>
        </w:tc>
        <w:tc>
          <w:tcPr>
            <w:tcW w:type="dxa" w:w="3475"/>
            <w:vAlign w:val="top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对 IPO.one 的意义</w:t>
            </w:r>
          </w:p>
        </w:tc>
        <w:trPr>
          <w:tblHeader/>
        </w:trPr>
      </w:tr>
      <w:tr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稳定币成为全球支付与链上结算底层资产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DeFiLlama 稳定币页面在 2026-07-01 抓取时显示 Total Stablecoins Market Cap 约 $311.485B，USDT 约 $184.398B、USDC 约 $73.449B。该数值为动态市场数据，需要在对外材料中实时刷新。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信用协议可以使用稳定币作为全球可编程结算层，但必须限定合规资产白名单、链上风险限额和跨链资金归集规则。</w:t>
            </w:r>
          </w:p>
        </w:tc>
      </w:tr>
      <w:tr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x402 让 HTTP 支付可被人和机器原生使用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Coinbase x402 官方文档将其定义为 open payment protocol，允许 human developers 和 AI agents 通过 HTTP 402 / stablecoin payment 访问 API 和数字服务，并明确支持多网络、CAIP-2、EVM/Solana、USDC/EURC/EIP-3009/Permit2。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Agent 可以按请求付费、按收入还款；IPO.one 可在 x402 支付前加一层 credit line、spend policy 与 lockbox repayment。</w:t>
            </w:r>
          </w:p>
        </w:tc>
      </w:tr>
      <w:tr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RWA 与 tokenized private credit 仍缺少高质量风控与透明度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RWA.xyz 是主流 RWA 数据平台；近期研究也指出 RWA 市场不能只看 TVL，需要评估流动性、集中度、资产结构和法律执行。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IPO.one 应从 obligation transparency、loan tape、attestation、stop-loss covenant 做差异化，而不是把不透明坏账包装成高收益 RWA。</w:t>
            </w:r>
          </w:p>
        </w:tc>
      </w:tr>
      <w:tr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AI Agent 的支付、授权与安全成为监管关注点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2026 年监管与学术讨论已经开始关注 agentic AI 在支付、交易、授权、责任归属上的系统性风险。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IPO.one 必须提供 principal binding、spend policy、kill switch、human/agent consent、attestation 和风险限额，而不是只做支付钱包。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4. 目标客户与应用场景</w:t>
      </w:r>
    </w:p>
    <w:p>
      <w:r>
        <w:rPr>
          <w:rFonts w:ascii="Noto Sans CJK SC" w:hAnsi="Noto Sans CJK SC" w:eastAsia="Noto Sans CJK SC"/>
        </w:rPr>
        <w:t>IPO.one 不是单一 C 端借款产品，而是一个多角色协议网络。不同角色看到的产品界面不同，但底层共享同一套 Obligation Lifecycle。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vAlign w:val="top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角色</w:t>
            </w:r>
          </w:p>
        </w:tc>
        <w:tc>
          <w:tcPr>
            <w:tcW w:type="dxa" w:w="2606"/>
            <w:vAlign w:val="top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痛点</w:t>
            </w:r>
          </w:p>
        </w:tc>
        <w:tc>
          <w:tcPr>
            <w:tcW w:type="dxa" w:w="2606"/>
            <w:vAlign w:val="top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IPO.one 产品价值</w:t>
            </w:r>
          </w:p>
        </w:tc>
        <w:tc>
          <w:tcPr>
            <w:tcW w:type="dxa" w:w="2606"/>
            <w:vAlign w:val="top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早期优先级</w:t>
            </w:r>
          </w:p>
        </w:tc>
        <w:trPr>
          <w:tblHeader/>
        </w:trPr>
      </w:tr>
      <w:tr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Agent Developer / Operator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Agent 有收入但现金流波动，需要先支付 API、模型、算力、数据、RPC 成本。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提供小额 working capital credit line；资金只可用于白名单 provider；收入进入 Lockbox 自动还款。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P0</w:t>
            </w:r>
          </w:p>
        </w:tc>
      </w:tr>
      <w:tr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AI Agent / Workflow Bot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需要无需人工介入地支付服务、扩展调用能力、保留可迁移信誉。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Agent DID、spend policy、programmatic payment、repayment events、credit passport。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P0</w:t>
            </w:r>
          </w:p>
        </w:tc>
      </w:tr>
      <w:tr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API / Compute / Model Provider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希望获客，但不想承担客户信用风险与坏账。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接受 IPO.one credit spend；由 Lockbox / protocol 管理授信与还款；获得更多 Agent 消费。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P0-P1</w:t>
            </w:r>
          </w:p>
        </w:tc>
      </w:tr>
      <w:tr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Human Borrower / Merchant / Gig Worker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缺少传统信用记录，但有工资流、商户流水或平台收入。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通过 Originator 或平台形成用途限定信用；按现金流自动还款；积累可迁移信用历史。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V2 起真实上线</w:t>
            </w:r>
          </w:p>
        </w:tc>
      </w:tr>
      <w:tr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Local Originator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资金成本高、资产透明度不足、很难接入全球稳定币资本。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获得 facility、capital routing、loan tape API、first-loss / senior capital structure。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V1 sandbox, V2 production</w:t>
            </w:r>
          </w:p>
        </w:tc>
      </w:tr>
      <w:tr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Institutional LP / Credit Fund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想接触新型 cashflow credit，但要求透明度、first-loss、covenant 和 reporting。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查看 facility exposure、loan tape summary、loss waterfall、stop-loss status、yield/risk reporting。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V2-V4</w:t>
            </w:r>
          </w:p>
        </w:tc>
      </w:tr>
      <w:tr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Wallet / DeFi / Marketplace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需要可验证信用状态，但不想自建风控与履约历史。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调用 Credit Passport API、Repayment Attestation、Default Status。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V3+</w:t>
            </w:r>
          </w:p>
        </w:tc>
      </w:tr>
    </w:tbl>
    <w:p/>
    <w:p>
      <w:pPr>
        <w:pStyle w:val="Heading3"/>
      </w:pPr>
      <w:r>
        <w:rPr>
          <w:rFonts w:ascii="Noto Sans CJK SC" w:hAnsi="Noto Sans CJK SC" w:eastAsia="Noto Sans CJK SC"/>
        </w:rPr>
        <w:t>核心用例地图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085"/>
            <w:vAlign w:val="top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用例</w:t>
            </w:r>
          </w:p>
        </w:tc>
        <w:tc>
          <w:tcPr>
            <w:tcW w:type="dxa" w:w="2085"/>
            <w:vAlign w:val="top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主体</w:t>
            </w:r>
          </w:p>
        </w:tc>
        <w:tc>
          <w:tcPr>
            <w:tcW w:type="dxa" w:w="2085"/>
            <w:vAlign w:val="top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现金流来源</w:t>
            </w:r>
          </w:p>
        </w:tc>
        <w:tc>
          <w:tcPr>
            <w:tcW w:type="dxa" w:w="2085"/>
            <w:vAlign w:val="top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资金用途</w:t>
            </w:r>
          </w:p>
        </w:tc>
        <w:tc>
          <w:tcPr>
            <w:tcW w:type="dxa" w:w="2085"/>
            <w:vAlign w:val="top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是否适合早期</w:t>
            </w:r>
          </w:p>
        </w:tc>
        <w:trPr>
          <w:tblHeader/>
        </w:trPr>
      </w:tr>
      <w:tr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Agent API 后付费</w:t>
            </w:r>
          </w:p>
        </w:tc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Agent + Developer Principal</w:t>
            </w:r>
          </w:p>
        </w:tc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Agent 收入 / x402 收款</w:t>
            </w:r>
          </w:p>
        </w:tc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模型 API、数据 API、推理服务</w:t>
            </w:r>
          </w:p>
        </w:tc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MVP 核心</w:t>
            </w:r>
          </w:p>
        </w:tc>
      </w:tr>
      <w:tr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Agent 算力工作资本</w:t>
            </w:r>
          </w:p>
        </w:tc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Agent + Company Principal</w:t>
            </w:r>
          </w:p>
        </w:tc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服务收入 / 用户订阅</w:t>
            </w:r>
          </w:p>
        </w:tc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GPU / inference / node service</w:t>
            </w:r>
          </w:p>
        </w:tc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MVP / V1</w:t>
            </w:r>
          </w:p>
        </w:tc>
      </w:tr>
      <w:tr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工资预支</w:t>
            </w:r>
          </w:p>
        </w:tc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Human + Employer/Platform/Originator</w:t>
            </w:r>
          </w:p>
        </w:tc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工资流 / 平台收入</w:t>
            </w:r>
          </w:p>
        </w:tc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用途限定或现金流预支</w:t>
            </w:r>
          </w:p>
        </w:tc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V2 优先</w:t>
            </w:r>
          </w:p>
        </w:tc>
      </w:tr>
      <w:tr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设备分期</w:t>
            </w:r>
          </w:p>
        </w:tc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Human / Merchant</w:t>
            </w:r>
          </w:p>
        </w:tc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工资或设备产生的收入</w:t>
            </w:r>
          </w:p>
        </w:tc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设备或服务白名单付款</w:t>
            </w:r>
          </w:p>
        </w:tc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V2 优先</w:t>
            </w:r>
          </w:p>
        </w:tc>
      </w:tr>
      <w:tr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小商户库存预支</w:t>
            </w:r>
          </w:p>
        </w:tc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Merchant Human/Org</w:t>
            </w:r>
          </w:p>
        </w:tc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POS / marketplace cashflow</w:t>
            </w:r>
          </w:p>
        </w:tc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库存采购</w:t>
            </w:r>
          </w:p>
        </w:tc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V2-V3</w:t>
            </w:r>
          </w:p>
        </w:tc>
      </w:tr>
      <w:tr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平台工作者收入预支</w:t>
            </w:r>
          </w:p>
        </w:tc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Gig Worker</w:t>
            </w:r>
          </w:p>
        </w:tc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平台收入流</w:t>
            </w:r>
          </w:p>
        </w:tc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工作资本 / 设备 / 交通</w:t>
            </w:r>
          </w:p>
        </w:tc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V2-V3</w:t>
            </w:r>
          </w:p>
        </w:tc>
      </w:tr>
      <w:tr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机构 RWA credit pool</w:t>
            </w:r>
          </w:p>
        </w:tc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Originator / LP</w:t>
            </w:r>
          </w:p>
        </w:tc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Loan tape cashflow</w:t>
            </w:r>
          </w:p>
        </w:tc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private credit exposure</w:t>
            </w:r>
          </w:p>
        </w:tc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V4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5. 市场与竞争格局</w:t>
      </w:r>
    </w:p>
    <w:p>
      <w:r>
        <w:rPr>
          <w:rFonts w:ascii="Noto Sans CJK SC" w:hAnsi="Noto Sans CJK SC" w:eastAsia="Noto Sans CJK SC"/>
        </w:rPr>
        <w:t>IPO.one 的竞争并不是单一维度。它横跨 DeFi lending、PayFi、Agent payments、RWA tokenization、credit bureau、identity / KYC、payment routing、developer infrastructure。正确定位不是“比 Aave 更便宜”或“比 FICO 更 Web3”，而是成为这些系统之间缺失的 obligation and repayment state layer。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085"/>
            <w:vAlign w:val="top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3"/>
              </w:rPr>
              <w:t>类别</w:t>
            </w:r>
          </w:p>
        </w:tc>
        <w:tc>
          <w:tcPr>
            <w:tcW w:type="dxa" w:w="2085"/>
            <w:vAlign w:val="top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3"/>
              </w:rPr>
              <w:t>代表</w:t>
            </w:r>
          </w:p>
        </w:tc>
        <w:tc>
          <w:tcPr>
            <w:tcW w:type="dxa" w:w="2085"/>
            <w:vAlign w:val="top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3"/>
              </w:rPr>
              <w:t>他们解决什么</w:t>
            </w:r>
          </w:p>
        </w:tc>
        <w:tc>
          <w:tcPr>
            <w:tcW w:type="dxa" w:w="2085"/>
            <w:vAlign w:val="top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3"/>
              </w:rPr>
              <w:t>没有解决什么</w:t>
            </w:r>
          </w:p>
        </w:tc>
        <w:tc>
          <w:tcPr>
            <w:tcW w:type="dxa" w:w="2085"/>
            <w:vAlign w:val="top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3"/>
              </w:rPr>
              <w:t>IPO.one 差异化</w:t>
            </w:r>
          </w:p>
        </w:tc>
        <w:trPr>
          <w:tblHeader/>
        </w:trPr>
      </w:tr>
      <w:tr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Overcollateralized DeFi Lending</w:t>
            </w:r>
          </w:p>
        </w:tc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Aave、Compound</w:t>
            </w:r>
          </w:p>
        </w:tc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链上抵押借贷、清算、利率模型、资金池安全。Compound III 初始部署以 USDC 为 base asset；Aave V3 有 isolation mode、debt ceiling 等成熟风险隔离模式。</w:t>
            </w:r>
          </w:p>
        </w:tc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不能服务缺抵押但有现金流的 Human / Agent 主体。</w:t>
            </w:r>
          </w:p>
        </w:tc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IPO.one 不替代它们，而是补足 undercollateralized / cashflow-constrained obligation。</w:t>
            </w:r>
          </w:p>
        </w:tc>
      </w:tr>
      <w:tr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Institutional Onchain Credit</w:t>
            </w:r>
          </w:p>
        </w:tc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Maple、Goldfinch Prime 等</w:t>
            </w:r>
          </w:p>
        </w:tc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机构借款、私募信贷、基金管理、合规投资者入口。</w:t>
            </w:r>
          </w:p>
        </w:tc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通常依赖 offchain diligence、借款人或管理人报告，难以覆盖 Agent 小额高频信用。</w:t>
            </w:r>
          </w:p>
        </w:tc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IPO.one 以 loan tape、first-loss、stop-loss、cashflow proof 作为硬约束，并从 Agent 闭环切入。</w:t>
            </w:r>
          </w:p>
        </w:tc>
      </w:tr>
      <w:tr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PayFi / Payment Financing</w:t>
            </w:r>
          </w:p>
        </w:tc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Huma、跨境支付融资网络</w:t>
            </w:r>
          </w:p>
        </w:tc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围绕真实支付流水做融资，强调现金流。</w:t>
            </w:r>
          </w:p>
        </w:tc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主要集中在特定支付场景和 B2B flow，不一定提供人机统一 Obligation Protocol。</w:t>
            </w:r>
          </w:p>
        </w:tc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IPO.one 将 PayFi 原理扩展到 Agent API、Human cashflow、Originator facility 和 Credit Passport。</w:t>
            </w:r>
          </w:p>
        </w:tc>
      </w:tr>
      <w:tr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Agent Payments</w:t>
            </w:r>
          </w:p>
        </w:tc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x402、AP2、agent wallets</w:t>
            </w:r>
          </w:p>
        </w:tc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让 Agent 或人类可直接按请求付款。</w:t>
            </w:r>
          </w:p>
        </w:tc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付款不是信用；缺少额度、还款、违约、信用迁移。</w:t>
            </w:r>
          </w:p>
        </w:tc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IPO.one 是 x402 上方的 credit layer，而不是替代 x402。</w:t>
            </w:r>
          </w:p>
        </w:tc>
      </w:tr>
      <w:tr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Credit Bureau / Scoring</w:t>
            </w:r>
          </w:p>
        </w:tc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FICO、Experian、TransUnion、本地征信</w:t>
            </w:r>
          </w:p>
        </w:tc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传统人类信用记录和评分。</w:t>
            </w:r>
          </w:p>
        </w:tc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不能自然覆盖 AI Agent、钱包、跨链支付、程序化 obligation；也不直接读取链上 cashflow。</w:t>
            </w:r>
          </w:p>
        </w:tc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IPO.one 先积累可验证 repayment events，再形成 Credit Passport API。</w:t>
            </w:r>
          </w:p>
        </w:tc>
      </w:tr>
      <w:tr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RWA Tokenization</w:t>
            </w:r>
          </w:p>
        </w:tc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Securitize、Ondo、Centrifuge、RWA platforms</w:t>
            </w:r>
          </w:p>
        </w:tc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资产上链、合规发行、投资者准入。</w:t>
            </w:r>
          </w:p>
        </w:tc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tokenization 不等于信用透明；很多 RWA 的执行和风险仍在链下。</w:t>
            </w:r>
          </w:p>
        </w:tc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IPO.one 把底层 credit obligation、loan tape、cashflow proof 和 attestation 标准化。</w:t>
            </w:r>
          </w:p>
        </w:tc>
      </w:tr>
    </w:tbl>
    <w:p/>
    <w:p>
      <w:pPr>
        <w:pStyle w:val="Heading3"/>
      </w:pPr>
      <w:r>
        <w:rPr>
          <w:rFonts w:ascii="Noto Sans CJK SC" w:hAnsi="Noto Sans CJK SC" w:eastAsia="Noto Sans CJK SC"/>
        </w:rPr>
        <w:t>竞争定位图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>Traditional Credit Bureau          DeFi Lending Protocols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     |                                      |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     |  human history                       |  collateral + liquidation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     |                                      |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     +------------------- IPO.one -------------------+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                         |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            machine-readable obligation layer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                         |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    Agent Credit + Human Cashflow + Originator Facility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                         |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        Repayment Proof + Default State + Attestation</w:t>
      </w:r>
    </w:p>
    <w:p>
      <w:pPr>
        <w:pStyle w:val="Heading2"/>
      </w:pPr>
      <w:r>
        <w:rPr>
          <w:rFonts w:ascii="Noto Sans CJK SC" w:hAnsi="Noto Sans CJK SC" w:eastAsia="Noto Sans CJK SC"/>
        </w:rPr>
        <w:t>6. 商业模式</w:t>
      </w:r>
    </w:p>
    <w:p>
      <w:r>
        <w:rPr>
          <w:rFonts w:ascii="Noto Sans CJK SC" w:hAnsi="Noto Sans CJK SC" w:eastAsia="Noto Sans CJK SC"/>
        </w:rPr>
        <w:t>IPO.one 的商业模式不能依赖对弱势人类用户收取高 APR。长期收入应该来自协议使用费、现金流路由费、资金路由费、风险管理费、Credit Passport API 和机构数据订阅。早期通过极窄场景验证 unit economics；后期通过 Obligation Graph 和 Attester Network 放大网络效应。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085"/>
            <w:vAlign w:val="top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收入层</w:t>
            </w:r>
          </w:p>
        </w:tc>
        <w:tc>
          <w:tcPr>
            <w:tcW w:type="dxa" w:w="2085"/>
            <w:vAlign w:val="top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触发点</w:t>
            </w:r>
          </w:p>
        </w:tc>
        <w:tc>
          <w:tcPr>
            <w:tcW w:type="dxa" w:w="2085"/>
            <w:vAlign w:val="top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收费方式</w:t>
            </w:r>
          </w:p>
        </w:tc>
        <w:tc>
          <w:tcPr>
            <w:tcW w:type="dxa" w:w="2085"/>
            <w:vAlign w:val="top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适用版本</w:t>
            </w:r>
          </w:p>
        </w:tc>
        <w:tc>
          <w:tcPr>
            <w:tcW w:type="dxa" w:w="2085"/>
            <w:vAlign w:val="top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备注</w:t>
            </w:r>
          </w:p>
        </w:tc>
        <w:trPr>
          <w:tblHeader/>
        </w:trPr>
      </w:tr>
      <w:tr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Protocol Usage Fee</w:t>
            </w:r>
          </w:p>
        </w:tc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创建 credit line、写入 obligation、记录 repayment/default、生成 attestation。</w:t>
            </w:r>
          </w:p>
        </w:tc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小额固定费或 bps。</w:t>
            </w:r>
          </w:p>
        </w:tc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MVP 起</w:t>
            </w:r>
          </w:p>
        </w:tc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不能为了收费制造无意义交易；优先给开发者低摩擦。</w:t>
            </w:r>
          </w:p>
        </w:tc>
      </w:tr>
      <w:tr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Cashflow Routing Fee</w:t>
            </w:r>
          </w:p>
        </w:tc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Agent Lockbox 或 Human cashflow route 发生还款、分账、释放余额。</w:t>
            </w:r>
          </w:p>
        </w:tc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basis points 级 routing fee。</w:t>
            </w:r>
          </w:p>
        </w:tc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MVP 起</w:t>
            </w:r>
          </w:p>
        </w:tc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应与实际成功收款绑定。</w:t>
            </w:r>
          </w:p>
        </w:tc>
      </w:tr>
      <w:tr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Provider Routing Fee</w:t>
            </w:r>
          </w:p>
        </w:tc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Agent 使用 IPO.one credit 支付白名单 API/compute/model provider。</w:t>
            </w:r>
          </w:p>
        </w:tc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provider 侧成交费或 volume rebate。</w:t>
            </w:r>
          </w:p>
        </w:tc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V1 起</w:t>
            </w:r>
          </w:p>
        </w:tc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需要防止 provider 自刷交易。</w:t>
            </w:r>
          </w:p>
        </w:tc>
      </w:tr>
      <w:tr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Facility Fee</w:t>
            </w:r>
          </w:p>
        </w:tc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Originator 使用 IPO.one facility 获取资金或上报 loan tape。</w:t>
            </w:r>
          </w:p>
        </w:tc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annual facility fee 或 origination fee。</w:t>
            </w:r>
          </w:p>
        </w:tc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V2 起</w:t>
            </w:r>
          </w:p>
        </w:tc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只对有 first-loss 和透明 loan tape 的 facility 开放。</w:t>
            </w:r>
          </w:p>
        </w:tc>
      </w:tr>
      <w:tr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Risk Management Fee</w:t>
            </w:r>
          </w:p>
        </w:tc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IPO.one 提供风控、covenant、stop-loss、capital routing。</w:t>
            </w:r>
          </w:p>
        </w:tc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management fee / performance fee。</w:t>
            </w:r>
          </w:p>
        </w:tc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V2-V4</w:t>
            </w:r>
          </w:p>
        </w:tc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不可将高风险包装成低风险。</w:t>
            </w:r>
          </w:p>
        </w:tc>
      </w:tr>
      <w:tr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LP Vault Fee</w:t>
            </w:r>
          </w:p>
        </w:tc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机构 LP vault 管理、报告、资金分配。</w:t>
            </w:r>
          </w:p>
        </w:tc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AUM fee / admin fee。</w:t>
            </w:r>
          </w:p>
        </w:tc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V4 起</w:t>
            </w:r>
          </w:p>
        </w:tc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需明确投资者适当性与监管边界。</w:t>
            </w:r>
          </w:p>
        </w:tc>
      </w:tr>
      <w:tr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Credit Passport API</w:t>
            </w:r>
          </w:p>
        </w:tc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第三方读取 repayment proof、default status、cashflow attestation。</w:t>
            </w:r>
          </w:p>
        </w:tc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per query / subscription / enterprise API。</w:t>
            </w:r>
          </w:p>
        </w:tc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V3 起</w:t>
            </w:r>
          </w:p>
        </w:tc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早期不输出黑盒 score，只输出可验证状态。</w:t>
            </w:r>
          </w:p>
        </w:tc>
      </w:tr>
    </w:tbl>
    <w:p/>
    <w:p>
      <w:pPr>
        <w:pStyle w:val="Heading3"/>
      </w:pPr>
      <w:r>
        <w:rPr>
          <w:rFonts w:ascii="Noto Sans CJK SC" w:hAnsi="Noto Sans CJK SC" w:eastAsia="Noto Sans CJK SC"/>
        </w:rPr>
        <w:t>示例收入路径：作为规划假设，而非保证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vAlign w:val="top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阶段</w:t>
            </w:r>
          </w:p>
        </w:tc>
        <w:tc>
          <w:tcPr>
            <w:tcW w:type="dxa" w:w="2606"/>
            <w:vAlign w:val="top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核心收入来源</w:t>
            </w:r>
          </w:p>
        </w:tc>
        <w:tc>
          <w:tcPr>
            <w:tcW w:type="dxa" w:w="2606"/>
            <w:vAlign w:val="top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关键前提</w:t>
            </w:r>
          </w:p>
        </w:tc>
        <w:tc>
          <w:tcPr>
            <w:tcW w:type="dxa" w:w="2606"/>
            <w:vAlign w:val="top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收入模型</w:t>
            </w:r>
          </w:p>
        </w:tc>
        <w:trPr>
          <w:tblHeader/>
        </w:trPr>
      </w:tr>
      <w:tr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Phase 0 / MVP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Agent usage + lockbox routing + provider routing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50-100 个有真实收入 Agent；自动还款成功率 &gt;95%；gross loss &lt;3%。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小额手续费 + bps；目标是验证行为，不是追求 ARR。</w:t>
            </w:r>
          </w:p>
        </w:tc>
      </w:tr>
      <w:tr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Phase 1 / V1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SDK adoption + provider network + agent credit network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数百个 Agent、多个 provider、重复使用率 &gt;40%。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developer / provider / routing 组合收入。</w:t>
            </w:r>
          </w:p>
        </w:tc>
      </w:tr>
      <w:tr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Phase 2 / V2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Originator facility fee + risk fee + LP dashboard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单国家、单资产、单 Originator、first-loss、daily loan tape。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permissioned facility fee + risk management fee。</w:t>
            </w:r>
          </w:p>
        </w:tc>
      </w:tr>
      <w:tr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Phase 3 / V3+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Credit Passport API + capital routing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足够多 repayment/default events，可被第三方信任。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API subscription + enterprise reporting + capital routing。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7. 护城河</w:t>
      </w:r>
    </w:p>
    <w:p>
      <w:r>
        <w:rPr>
          <w:rFonts w:ascii="Noto Sans CJK SC" w:hAnsi="Noto Sans CJK SC" w:eastAsia="Noto Sans CJK SC"/>
        </w:rPr>
        <w:t>IPO.one 的护城河不是一份信用分表，而是一张不断增长、可验证、可路由、可被资本使用的 Obligation Graph。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top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护城河</w:t>
            </w:r>
          </w:p>
        </w:tc>
        <w:tc>
          <w:tcPr>
            <w:tcW w:type="dxa" w:w="3475"/>
            <w:vAlign w:val="top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形成方式</w:t>
            </w:r>
          </w:p>
        </w:tc>
        <w:tc>
          <w:tcPr>
            <w:tcW w:type="dxa" w:w="3475"/>
            <w:vAlign w:val="top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为什么难复制</w:t>
            </w:r>
          </w:p>
        </w:tc>
        <w:trPr>
          <w:tblHeader/>
        </w:trPr>
      </w:tr>
      <w:tr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Obligation Graph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每个 Agent / Human / Originator 的 obligation、cashflow route、repayment、default、attestation 被标准化记录。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没有真实还款事件就无法复制；历史越长，预测能力越强。</w:t>
            </w:r>
          </w:p>
        </w:tc>
      </w:tr>
      <w:tr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Cashflow Routing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Agent 收入先进 Lockbox；Human 通过工资流、商户流水、平台收入或 Originator 收款账户还款。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谁控制现金流入口，谁就拥有风险定价权。</w:t>
            </w:r>
          </w:p>
        </w:tc>
      </w:tr>
      <w:tr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Attester Registry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API provider、Originator、Employer、Platform、Protocol 各自只能签发其权限内证明。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信任网络需要时间、审计、声誉和权限治理。</w:t>
            </w:r>
          </w:p>
        </w:tc>
      </w:tr>
      <w:tr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Risk + Capital Routing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更好数据带来更便宜资本，更便宜资本吸引更好主体，形成正向循环。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资本、数据、风险模型、执行通道相互强化。</w:t>
            </w:r>
          </w:p>
        </w:tc>
      </w:tr>
      <w:tr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Developer Integration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SDK、API、webhook、provider marketplace 形成开发者嵌入。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嵌入支付/信用/还款流程后替换成本高。</w:t>
            </w:r>
          </w:p>
        </w:tc>
      </w:tr>
      <w:tr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Multi-chain Credit State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跨链账户、跨链 obligation、跨链 repayment proof 归一化。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简单桥或单链协议难以复制完整 credit state。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8. Go-to-Market 与 Roadmap</w:t>
      </w:r>
    </w:p>
    <w:p>
      <w:pPr>
        <w:jc w:val="center"/>
      </w:pPr>
      <w:r>
        <w:rPr>
          <w:rFonts w:ascii="Noto Sans CJK SC" w:hAnsi="Noto Sans CJK SC" w:eastAsia="Noto Sans CJK SC"/>
        </w:rPr>
        <w:drawing>
          <wp:inline xmlns:a="http://schemas.openxmlformats.org/drawingml/2006/main" xmlns:pic="http://schemas.openxmlformats.org/drawingml/2006/picture">
            <wp:extent cx="6309360" cy="2611441"/>
            <wp:docPr id="2" name="Picture 2" descr="Image: 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ad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611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"/>
        <w:jc w:val="center"/>
      </w:pPr>
      <w:r>
        <w:rPr>
          <w:rFonts w:ascii="Noto Sans CJK SC" w:hAnsi="Noto Sans CJK SC" w:eastAsia="Noto Sans CJK SC"/>
          <w:color w:val="5A5A5A"/>
          <w:sz w:val="16"/>
        </w:rPr>
        <w:t>图 2：从 Agent Lockbox 到 Credit Protocol Standard 的版本路线图。</w:t>
      </w:r>
    </w:p>
    <w:p>
      <w:r>
        <w:rPr>
          <w:rFonts w:ascii="Noto Sans CJK SC" w:hAnsi="Noto Sans CJK SC" w:eastAsia="Noto Sans CJK SC"/>
        </w:rPr>
        <w:t>产品路线不应同时攻击所有市场。正确顺序是先证明最窄闭环，再把底层协议对象持续复用到更大场景。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085"/>
            <w:vAlign w:val="top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3"/>
              </w:rPr>
              <w:t>版本</w:t>
            </w:r>
          </w:p>
        </w:tc>
        <w:tc>
          <w:tcPr>
            <w:tcW w:type="dxa" w:w="2085"/>
            <w:vAlign w:val="top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3"/>
              </w:rPr>
              <w:t>时间</w:t>
            </w:r>
          </w:p>
        </w:tc>
        <w:tc>
          <w:tcPr>
            <w:tcW w:type="dxa" w:w="2085"/>
            <w:vAlign w:val="top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3"/>
              </w:rPr>
              <w:t>商业目标</w:t>
            </w:r>
          </w:p>
        </w:tc>
        <w:tc>
          <w:tcPr>
            <w:tcW w:type="dxa" w:w="2085"/>
            <w:vAlign w:val="top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3"/>
              </w:rPr>
              <w:t>产品目标</w:t>
            </w:r>
          </w:p>
        </w:tc>
        <w:tc>
          <w:tcPr>
            <w:tcW w:type="dxa" w:w="2085"/>
            <w:vAlign w:val="top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3"/>
              </w:rPr>
              <w:t>Go / No-Go</w:t>
            </w:r>
          </w:p>
        </w:tc>
        <w:trPr>
          <w:tblHeader/>
        </w:trPr>
      </w:tr>
      <w:tr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V0 / MVP</w:t>
            </w:r>
          </w:p>
        </w:tc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0-6 个月</w:t>
            </w:r>
          </w:p>
        </w:tc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证明 Agent 信用闭环。</w:t>
            </w:r>
          </w:p>
        </w:tc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Agent Lockbox + Human schema + Multi-chain base。</w:t>
            </w:r>
          </w:p>
        </w:tc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50-100 active Agents；还款成功率 &gt;95%；收入捕获率 &gt;90%；gross loss &lt;3%。</w:t>
            </w:r>
          </w:p>
        </w:tc>
      </w:tr>
      <w:tr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V1</w:t>
            </w:r>
          </w:p>
        </w:tc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6-12 个月</w:t>
            </w:r>
          </w:p>
        </w:tc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商业化 Agent Credit Network。</w:t>
            </w:r>
          </w:p>
        </w:tc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SDK、provider integration、agent credit lifecycle、Originator sandbox。</w:t>
            </w:r>
          </w:p>
        </w:tc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数百 Agent、多 provider、重复使用率 &gt;40%；human flow 可模拟。</w:t>
            </w:r>
          </w:p>
        </w:tc>
      </w:tr>
      <w:tr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V2</w:t>
            </w:r>
          </w:p>
        </w:tc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12-18 个月</w:t>
            </w:r>
          </w:p>
        </w:tc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真实人类信用试点。</w:t>
            </w:r>
          </w:p>
        </w:tc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单国家、单资产、单 Originator facility、daily loan tape、first-loss、stop-loss。</w:t>
            </w:r>
          </w:p>
        </w:tc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无黑箱资产；first-loss 10%-20%；loan tape 每日同步；stop-loss 可自动执行。</w:t>
            </w:r>
          </w:p>
        </w:tc>
      </w:tr>
      <w:tr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V3</w:t>
            </w:r>
          </w:p>
        </w:tc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18-36 个月</w:t>
            </w:r>
          </w:p>
        </w:tc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信用证明网络。</w:t>
            </w:r>
          </w:p>
        </w:tc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Attester Registry、Credit Passport API、跨链 credit state、SVM adapter。</w:t>
            </w:r>
          </w:p>
        </w:tc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第三方 API 调用增长；多 Originator 但每个都有 covenant。</w:t>
            </w:r>
          </w:p>
        </w:tc>
      </w:tr>
      <w:tr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V4</w:t>
            </w:r>
          </w:p>
        </w:tc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36-60 个月</w:t>
            </w:r>
          </w:p>
        </w:tc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机构信用与资本路由。</w:t>
            </w:r>
          </w:p>
        </w:tc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risk-tiered pools、tranches、institutional vaults、multi-chain treasury。</w:t>
            </w:r>
          </w:p>
        </w:tc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机构级 reporting、审计、合规投资者限制。</w:t>
            </w:r>
          </w:p>
        </w:tc>
      </w:tr>
      <w:tr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V5</w:t>
            </w:r>
          </w:p>
        </w:tc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5 年+</w:t>
            </w:r>
          </w:p>
        </w:tc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Obligation Standard。</w:t>
            </w:r>
          </w:p>
        </w:tc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开放标准、生态应用、全链 credit state protocol。</w:t>
            </w:r>
          </w:p>
        </w:tc>
        <w:tc>
          <w:tcPr>
            <w:tcW w:type="dxa" w:w="208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外部平台主动使用 IPO.one status / attestation。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9. 风险纪律、合规边界与成功指标</w:t>
      </w:r>
    </w:p>
    <w:p>
      <w:r>
        <w:rPr>
          <w:rFonts w:ascii="Noto Sans CJK SC" w:hAnsi="Noto Sans CJK SC" w:eastAsia="Noto Sans CJK SC"/>
        </w:rPr>
        <w:t>IPO.one 的风险纪律必须写进产品，不应停留在运营手册。每一个模块都要有暂停、限额、审计、透明度和可追责的状态机。</w:t>
      </w:r>
    </w:p>
    <w:p>
      <w:pPr>
        <w:pStyle w:val="Heading3"/>
      </w:pPr>
      <w:r>
        <w:rPr>
          <w:rFonts w:ascii="Noto Sans CJK SC" w:hAnsi="Noto Sans CJK SC" w:eastAsia="Noto Sans CJK SC"/>
        </w:rPr>
        <w:t>明确不做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top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阶段</w:t>
            </w:r>
          </w:p>
        </w:tc>
        <w:tc>
          <w:tcPr>
            <w:tcW w:type="dxa" w:w="3475"/>
            <w:vAlign w:val="top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不做什么</w:t>
            </w:r>
          </w:p>
        </w:tc>
        <w:tc>
          <w:tcPr>
            <w:tcW w:type="dxa" w:w="3475"/>
            <w:vAlign w:val="top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原因</w:t>
            </w:r>
          </w:p>
        </w:tc>
        <w:trPr>
          <w:tblHeader/>
        </w:trPr>
      </w:tr>
      <w:tr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MVP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不做人类真实放贷；不开放 public LP；不做 token；不允许任意提现。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避免监管、坏账、资金池挤兑和叙事过早金融化。</w:t>
            </w:r>
          </w:p>
        </w:tc>
      </w:tr>
      <w:tr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V1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不为了增长放松 Lockbox；不接无收入 Agent；不补贴虚假交易。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防止伪 PMF 和早期坏账污染数据。</w:t>
            </w:r>
          </w:p>
        </w:tc>
      </w:tr>
      <w:tr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V2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不直接 KYC；不直接催收；不接无 first-loss、无 loan tape 的 Originator。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避免 Goldfinch 式代理风险和本地法律执行风险。</w:t>
            </w:r>
          </w:p>
        </w:tc>
      </w:tr>
      <w:tr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V3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不卖无依据黑盒信用分；不让 attester 权限泛化。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信用证明必须可验证、可追责、可撤销。</w:t>
            </w:r>
          </w:p>
        </w:tc>
      </w:tr>
      <w:tr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V4+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不把不透明坏账包装成 RWA；不把高风险产品卖给不适当投资者。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保护协议声誉与长期资本来源。</w:t>
            </w:r>
          </w:p>
        </w:tc>
      </w:tr>
    </w:tbl>
    <w:p/>
    <w:p>
      <w:pPr>
        <w:pStyle w:val="Heading3"/>
      </w:pPr>
      <w:r>
        <w:rPr>
          <w:rFonts w:ascii="Noto Sans CJK SC" w:hAnsi="Noto Sans CJK SC" w:eastAsia="Noto Sans CJK SC"/>
        </w:rPr>
        <w:t>核心 KPI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vAlign w:val="top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类别</w:t>
            </w:r>
          </w:p>
        </w:tc>
        <w:tc>
          <w:tcPr>
            <w:tcW w:type="dxa" w:w="2606"/>
            <w:vAlign w:val="top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MVP 指标</w:t>
            </w:r>
          </w:p>
        </w:tc>
        <w:tc>
          <w:tcPr>
            <w:tcW w:type="dxa" w:w="2606"/>
            <w:vAlign w:val="top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V1-V2 指标</w:t>
            </w:r>
          </w:p>
        </w:tc>
        <w:tc>
          <w:tcPr>
            <w:tcW w:type="dxa" w:w="2606"/>
            <w:vAlign w:val="top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长期指标</w:t>
            </w:r>
          </w:p>
        </w:tc>
        <w:trPr>
          <w:tblHeader/>
        </w:trPr>
      </w:tr>
      <w:tr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Agent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Active Agent 50-100；收入捕获率 &gt;90%；自动还款成功率 &gt;95%。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SDK 调用、provider 数、重复使用率、agent GMV。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Agent credit passport 复用率、provider network moat。</w:t>
            </w:r>
          </w:p>
        </w:tc>
      </w:tr>
      <w:tr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Human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schema 100% 准备；Originator mock 可跑完整生命周期。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 国家 / 1 资产 / 1 Originator；daily loan tape；stop-loss。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多市场 repayment attestation、默认率、信用迁移。</w:t>
            </w:r>
          </w:p>
        </w:tc>
      </w:tr>
      <w:tr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Risk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gross loss &lt;3%；allowlisted spend 100%。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first-loss 10%-20%；DPD 监控；facility covenant。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portfolio-level expected loss / realized loss 差异。</w:t>
            </w:r>
          </w:p>
        </w:tc>
      </w:tr>
      <w:tr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Multi-chain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CAIP-2/10；多链账户绑定；per-chain cap。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多 EVM 测试；跨链对账。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跨链 credit state、capital routing、treasury rebalancing。</w:t>
            </w:r>
          </w:p>
        </w:tc>
      </w:tr>
      <w:tr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Business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真实需求、重复使用、低 CAC 验证。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provider / originator / LP 合作。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Credit Passport API、capital routing、institutional subscription。</w:t>
            </w:r>
          </w:p>
        </w:tc>
      </w:tr>
    </w:tbl>
    <w:p/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Part II — Technical PRD for World-Class Engineering Team</w:t>
      </w:r>
    </w:p>
    <w:p>
      <w:pPr>
        <w:jc w:val="center"/>
      </w:pPr>
      <w:r>
        <w:rPr>
          <w:rFonts w:ascii="Noto Sans CJK SC" w:hAnsi="Noto Sans CJK SC" w:eastAsia="Noto Sans CJK SC"/>
        </w:rPr>
        <w:drawing>
          <wp:inline xmlns:a="http://schemas.openxmlformats.org/drawingml/2006/main" xmlns:pic="http://schemas.openxmlformats.org/drawingml/2006/picture">
            <wp:extent cx="6309360" cy="3657355"/>
            <wp:docPr id="3" name="Picture 3" descr="Image: 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57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"/>
        <w:jc w:val="center"/>
      </w:pPr>
      <w:r>
        <w:rPr>
          <w:rFonts w:ascii="Noto Sans CJK SC" w:hAnsi="Noto Sans CJK SC" w:eastAsia="Noto Sans CJK SC"/>
          <w:color w:val="5A5A5A"/>
          <w:sz w:val="16"/>
        </w:rPr>
        <w:t>图 3：IPO.one 三层产品与系统架构。核心协议层必须同时兼容 Human、Agent 与 Multi-chain。</w:t>
      </w:r>
    </w:p>
    <w:p>
      <w:pPr>
        <w:pStyle w:val="Heading2"/>
      </w:pPr>
      <w:r>
        <w:rPr>
          <w:rFonts w:ascii="Noto Sans CJK SC" w:hAnsi="Noto Sans CJK SC" w:eastAsia="Noto Sans CJK SC"/>
        </w:rPr>
        <w:t>10. PRD 总览与范围</w:t>
      </w:r>
    </w:p>
    <w:p>
      <w:r>
        <w:rPr>
          <w:rFonts w:ascii="Noto Sans CJK SC" w:hAnsi="Noto Sans CJK SC" w:eastAsia="Noto Sans CJK SC"/>
        </w:rPr>
        <w:t>本 PRD 的目标是让顶级工程团队可以直接开始设计 repository、模块边界、schema、合约接口、API、测试计划和版本迭代。它不是最终代码实现，但已经定义了不可随意改变的协议对象、状态机、架构边界和验收标准。</w:t>
      </w:r>
    </w:p>
    <w:p>
      <w:pPr>
        <w:pStyle w:val="Heading3"/>
      </w:pPr>
      <w:r>
        <w:rPr>
          <w:rFonts w:ascii="Noto Sans CJK SC" w:hAnsi="Noto Sans CJK SC" w:eastAsia="Noto Sans CJK SC"/>
        </w:rPr>
        <w:t>产品愿景</w:t>
      </w:r>
    </w:p>
    <w:p>
      <w:r>
        <w:rPr>
          <w:rFonts w:ascii="Noto Sans CJK SC" w:hAnsi="Noto Sans CJK SC" w:eastAsia="Noto Sans CJK SC"/>
        </w:rPr>
        <w:t>IPO.one 构建一个多链、可验证、可组合的人机信用义务协议，帮助人类、AI Agent、开发者、商户、Originator、DeFi 协议与资金池，用统一的机器可读规则创建、使用、偿还、证明和迁移信用。</w:t>
      </w:r>
    </w:p>
    <w:p>
      <w:pPr>
        <w:pStyle w:val="Heading3"/>
      </w:pPr>
      <w:r>
        <w:rPr>
          <w:rFonts w:ascii="Noto Sans CJK SC" w:hAnsi="Noto Sans CJK SC" w:eastAsia="Noto Sans CJK SC"/>
        </w:rPr>
        <w:t>V0 / MVP 产品目标</w:t>
      </w:r>
    </w:p>
    <w:p>
      <w:pPr>
        <w:pStyle w:val="ListNumber"/>
      </w:pPr>
      <w:r>
        <w:rPr>
          <w:rFonts w:ascii="Noto Sans CJK SC" w:hAnsi="Noto Sans CJK SC" w:eastAsia="Noto Sans CJK SC"/>
        </w:rPr>
        <w:t>上线 Agent Lockbox 真实生产闭环：Agent 可以获得小额用途限定信用额度，用于白名单 API / compute / model provider，并通过可捕获收入自动还款。</w:t>
      </w:r>
    </w:p>
    <w:p>
      <w:pPr>
        <w:pStyle w:val="ListNumber"/>
      </w:pPr>
      <w:r>
        <w:rPr>
          <w:rFonts w:ascii="Noto Sans CJK SC" w:hAnsi="Noto Sans CJK SC" w:eastAsia="Noto Sans CJK SC"/>
        </w:rPr>
        <w:t>完成 Human-compatible schema：即使 MVP 不开放真实人类借款，系统也能表达 Human Subject、Consent、KYC/VC reference、Originator、Loan Tape、DPD、Default、Restructure、Repurchase。</w:t>
      </w:r>
    </w:p>
    <w:p>
      <w:pPr>
        <w:pStyle w:val="ListNumber"/>
      </w:pPr>
      <w:r>
        <w:rPr>
          <w:rFonts w:ascii="Noto Sans CJK SC" w:hAnsi="Noto Sans CJK SC" w:eastAsia="Noto Sans CJK SC"/>
        </w:rPr>
        <w:t>完成 Multi-chain-ready architecture：使用 CAIP-2、CAIP-10、chain-agnostic obligation_id、多链账户绑定、多链事件索引、per-chain cap、bridge adapter interface。</w:t>
      </w:r>
    </w:p>
    <w:p>
      <w:pPr>
        <w:pStyle w:val="ListNumber"/>
      </w:pPr>
      <w:r>
        <w:rPr>
          <w:rFonts w:ascii="Noto Sans CJK SC" w:hAnsi="Noto Sans CJK SC" w:eastAsia="Noto Sans CJK SC"/>
        </w:rPr>
        <w:t>建立内部 Admin / Risk Console：团队可以实时查看额度、利用率、还款、逾期、provider spend、链上 exposure、异常与暂停状态。</w:t>
      </w:r>
    </w:p>
    <w:p>
      <w:pPr>
        <w:pStyle w:val="Heading3"/>
      </w:pPr>
      <w:r>
        <w:rPr>
          <w:rFonts w:ascii="Noto Sans CJK SC" w:hAnsi="Noto Sans CJK SC" w:eastAsia="Noto Sans CJK SC"/>
        </w:rPr>
        <w:t>V0 / MVP 非目标</w:t>
      </w:r>
    </w:p>
    <w:p>
      <w:pPr>
        <w:pStyle w:val="ListBullet"/>
      </w:pPr>
      <w:r>
        <w:rPr>
          <w:rFonts w:ascii="Noto Sans CJK SC" w:hAnsi="Noto Sans CJK SC" w:eastAsia="Noto Sans CJK SC"/>
        </w:rPr>
        <w:t>不做人类真实现金贷。</w:t>
      </w:r>
    </w:p>
    <w:p>
      <w:pPr>
        <w:pStyle w:val="ListBullet"/>
      </w:pPr>
      <w:r>
        <w:rPr>
          <w:rFonts w:ascii="Noto Sans CJK SC" w:hAnsi="Noto Sans CJK SC" w:eastAsia="Noto Sans CJK SC"/>
        </w:rPr>
        <w:t>不开放 public LP vault。</w:t>
      </w:r>
    </w:p>
    <w:p>
      <w:pPr>
        <w:pStyle w:val="ListBullet"/>
      </w:pPr>
      <w:r>
        <w:rPr>
          <w:rFonts w:ascii="Noto Sans CJK SC" w:hAnsi="Noto Sans CJK SC" w:eastAsia="Noto Sans CJK SC"/>
        </w:rPr>
        <w:t>不发行 token，不做 DAO 治理。</w:t>
      </w:r>
    </w:p>
    <w:p>
      <w:pPr>
        <w:pStyle w:val="ListBullet"/>
      </w:pPr>
      <w:r>
        <w:rPr>
          <w:rFonts w:ascii="Noto Sans CJK SC" w:hAnsi="Noto Sans CJK SC" w:eastAsia="Noto Sans CJK SC"/>
        </w:rPr>
        <w:t>不做复杂机器学习信用评分；先用规则 + 现金流覆盖。</w:t>
      </w:r>
    </w:p>
    <w:p>
      <w:pPr>
        <w:pStyle w:val="ListBullet"/>
      </w:pPr>
      <w:r>
        <w:rPr>
          <w:rFonts w:ascii="Noto Sans CJK SC" w:hAnsi="Noto Sans CJK SC" w:eastAsia="Noto Sans CJK SC"/>
        </w:rPr>
        <w:t>不支持任意提现；资金只能用于白名单 spend policy。</w:t>
      </w:r>
    </w:p>
    <w:p>
      <w:pPr>
        <w:pStyle w:val="ListBullet"/>
      </w:pPr>
      <w:r>
        <w:rPr>
          <w:rFonts w:ascii="Noto Sans CJK SC" w:hAnsi="Noto Sans CJK SC" w:eastAsia="Noto Sans CJK SC"/>
        </w:rPr>
        <w:t>不在所有链同时部署真实信用池。</w:t>
      </w:r>
    </w:p>
    <w:p>
      <w:pPr>
        <w:pStyle w:val="ListBullet"/>
      </w:pPr>
      <w:r>
        <w:rPr>
          <w:rFonts w:ascii="Noto Sans CJK SC" w:hAnsi="Noto Sans CJK SC" w:eastAsia="Noto Sans CJK SC"/>
        </w:rPr>
        <w:t>不将原始 KYC、护照、设备指纹、行为数据上链。</w:t>
      </w:r>
    </w:p>
    <w:p>
      <w:pPr>
        <w:pStyle w:val="Heading2"/>
      </w:pPr>
      <w:r>
        <w:rPr>
          <w:rFonts w:ascii="Noto Sans CJK SC" w:hAnsi="Noto Sans CJK SC" w:eastAsia="Noto Sans CJK SC"/>
        </w:rPr>
        <w:t>11. 架构决策 ADR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vAlign w:val="top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3"/>
              </w:rPr>
              <w:t>ADR</w:t>
            </w:r>
          </w:p>
        </w:tc>
        <w:tc>
          <w:tcPr>
            <w:tcW w:type="dxa" w:w="2606"/>
            <w:vAlign w:val="top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3"/>
              </w:rPr>
              <w:t>决策</w:t>
            </w:r>
          </w:p>
        </w:tc>
        <w:tc>
          <w:tcPr>
            <w:tcW w:type="dxa" w:w="2606"/>
            <w:vAlign w:val="top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3"/>
              </w:rPr>
              <w:t>原因</w:t>
            </w:r>
          </w:p>
        </w:tc>
        <w:tc>
          <w:tcPr>
            <w:tcW w:type="dxa" w:w="2606"/>
            <w:vAlign w:val="top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3"/>
              </w:rPr>
              <w:t>工程结果</w:t>
            </w:r>
          </w:p>
        </w:tc>
        <w:trPr>
          <w:tblHeader/>
        </w:trPr>
      </w:tr>
      <w:tr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ADR-001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Agent-first, Human-compatible from Day 1。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Agent 是最容易闭环验证的信用主体；人类信用的 schema 必须前置，否则 V2 会重构。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SubjectType 包含 HUMAN / AGENT / ORG / ORIGINATOR；Human state machine 和 Originator hooks 从 V0 预留。</w:t>
            </w:r>
          </w:p>
        </w:tc>
      </w:tr>
      <w:tr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ADR-002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Obligation 是协议最小原语。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Loan、postpaid API、device installment、payroll advance 都是 obligation。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统一 ObligationRegistry，不为不同产品线创建互不兼容的数据模型。</w:t>
            </w:r>
          </w:p>
        </w:tc>
      </w:tr>
      <w:tr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ADR-003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Base-supported, not Base-only。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Base 适合 MVP，但多链是长期产品能力。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所有账户使用 CAIP-10，所有链使用 CAIP-2；obligation_id 不包含单链自增假设。</w:t>
            </w:r>
          </w:p>
        </w:tc>
      </w:tr>
      <w:tr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ADR-004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不把跨链桥作为信用安全根。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跨链桥和消息延迟会产生重复授信、replay 和资产损失风险。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Canonical Event Store + finality policy + global credit cap + per-chain cap；跨链消息只是 adapter。</w:t>
            </w:r>
          </w:p>
        </w:tc>
      </w:tr>
      <w:tr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ADR-005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协议不直接替代本地放贷机构。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人类信用执行依赖本地法律、KYC、催收和牌照。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Originator Facility 模块要求 first-loss、daily loan tape、stop-loss、audit、repurchase covenant。</w:t>
            </w:r>
          </w:p>
        </w:tc>
      </w:tr>
      <w:tr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ADR-006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数据隐私采用 reference/hash/attestation，而不是原始数据上链。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PII 上链不可逆，且容易违反隐私与消费者保护。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KYC/VC/loan tape 原始数据 offchain；链上仅存 reference、hash、status、event。</w:t>
            </w:r>
          </w:p>
        </w:tc>
      </w:tr>
      <w:tr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ADR-007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升级边界受限，历史不可重写。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避免“可升级合约”篡改历史信用状态。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新功能通过 versioned factories / adapters 扩展；历史 repayment/default events append-only。</w:t>
            </w:r>
          </w:p>
        </w:tc>
      </w:tr>
      <w:tr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ADR-008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早期不卖信用分。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没有足够还款事件前，score 不可靠。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API 输出 status/proof/attestation，不输出黑盒 rating。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12. 系统架构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>│ Application Layer                                                             │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>│ Agent Portal | Human Borrower App | Originator Console | LP Dashboard         │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>│ Developer SDK | Provider Dashboard | Admin/Risk Console                       │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                                    ↓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>│ Protocol Service Layer                                                        │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>│ Subject Service | Principal Service | Authorization Service                   │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>│ Obligation Service | Spend Policy Service | Cashflow Route Service            │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>│ Repayment Service | Attestation Service | Risk Engine | Credit Passport API   │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                                    ↓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>│ Onchain Execution Layer                                                       │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>│ SubjectRegistry | ObligationRegistry | AgentLockbox | SpendPolicyManager      │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>│ RepaymentRouter | AttestationRegistry | Facility | Vault | ChainAdapter       │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                                    ↓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>│ Data / Risk / Compliance Layer                                                │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>│ Multi-chain Indexer | Event Store | Loan Tape Store | Risk Feature Store      │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>│ Reconciliation | Monitoring | Alerting | Audit Log | Privacy Boundary         │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rPr>
          <w:rFonts w:ascii="Noto Sans CJK SC" w:hAnsi="Noto Sans CJK SC" w:eastAsia="Noto Sans CJK SC"/>
        </w:rPr>
        <w:t>核心设计原则</w:t>
      </w:r>
    </w:p>
    <w:p>
      <w:pPr>
        <w:pStyle w:val="ListNumber"/>
      </w:pPr>
      <w:r>
        <w:rPr>
          <w:rFonts w:ascii="Noto Sans CJK SC" w:hAnsi="Noto Sans CJK SC" w:eastAsia="Noto Sans CJK SC"/>
        </w:rPr>
        <w:t>事件驱动：Repayment、Default、Attestation、LimitChange、Freeze、StopLoss 等都是 append-only events。</w:t>
      </w:r>
    </w:p>
    <w:p>
      <w:pPr>
        <w:pStyle w:val="ListNumber"/>
      </w:pPr>
      <w:r>
        <w:rPr>
          <w:rFonts w:ascii="Noto Sans CJK SC" w:hAnsi="Noto Sans CJK SC" w:eastAsia="Noto Sans CJK SC"/>
        </w:rPr>
        <w:t>状态可重建：任意时点 obligation status 应可由事件日志重建，避免数据库状态漂移。</w:t>
      </w:r>
    </w:p>
    <w:p>
      <w:pPr>
        <w:pStyle w:val="ListNumber"/>
      </w:pPr>
      <w:r>
        <w:rPr>
          <w:rFonts w:ascii="Noto Sans CJK SC" w:hAnsi="Noto Sans CJK SC" w:eastAsia="Noto Sans CJK SC"/>
        </w:rPr>
        <w:t>链无关：Subject、Principal、Obligation、Attestation 的 canonical ID 不依赖单链地址。</w:t>
      </w:r>
    </w:p>
    <w:p>
      <w:pPr>
        <w:pStyle w:val="ListNumber"/>
      </w:pPr>
      <w:r>
        <w:rPr>
          <w:rFonts w:ascii="Noto Sans CJK SC" w:hAnsi="Noto Sans CJK SC" w:eastAsia="Noto Sans CJK SC"/>
        </w:rPr>
        <w:t>执行链隔离：每条链有独立 cap、资产白名单、合约地址、finality policy、pause。</w:t>
      </w:r>
    </w:p>
    <w:p>
      <w:pPr>
        <w:pStyle w:val="ListNumber"/>
      </w:pPr>
      <w:r>
        <w:rPr>
          <w:rFonts w:ascii="Noto Sans CJK SC" w:hAnsi="Noto Sans CJK SC" w:eastAsia="Noto Sans CJK SC"/>
        </w:rPr>
        <w:t>模块可替换：risk engine、KYC adapter、chain adapter、originator adapter、cross-chain messaging adapter 可升级替换，不改变核心 obligation schema。</w:t>
      </w:r>
    </w:p>
    <w:p>
      <w:pPr>
        <w:pStyle w:val="ListNumber"/>
      </w:pPr>
      <w:r>
        <w:rPr>
          <w:rFonts w:ascii="Noto Sans CJK SC" w:hAnsi="Noto Sans CJK SC" w:eastAsia="Noto Sans CJK SC"/>
        </w:rPr>
        <w:t>敏感数据不上链：Human PII、原始 KYC、设备指纹、原始行为数据、完整 loan tape 明细默认 offchain。</w:t>
      </w:r>
    </w:p>
    <w:p>
      <w:pPr>
        <w:pStyle w:val="ListNumber"/>
      </w:pPr>
      <w:r>
        <w:rPr>
          <w:rFonts w:ascii="Noto Sans CJK SC" w:hAnsi="Noto Sans CJK SC" w:eastAsia="Noto Sans CJK SC"/>
        </w:rPr>
        <w:t>安全优先：所有可转移资产模块使用 ReentrancyGuard、Pausable、AccessControl、SafeERC20、timelock/multisig、rate limits。</w:t>
      </w:r>
    </w:p>
    <w:p>
      <w:pPr>
        <w:pStyle w:val="Heading2"/>
      </w:pPr>
      <w:r>
        <w:rPr>
          <w:rFonts w:ascii="Noto Sans CJK SC" w:hAnsi="Noto Sans CJK SC" w:eastAsia="Noto Sans CJK SC"/>
        </w:rPr>
        <w:t>13. 协议对象与数据模型</w:t>
      </w:r>
    </w:p>
    <w:p>
      <w:r>
        <w:rPr>
          <w:rFonts w:ascii="Noto Sans CJK SC" w:hAnsi="Noto Sans CJK SC" w:eastAsia="Noto Sans CJK SC"/>
        </w:rPr>
        <w:t>协议对象必须稳定、可版本化、可扩展。以下是 V0 必须实现的 canonical schema。实际工程中建议使用 protobuf / JSON Schema / TypeScript types / Solidity structs 同步生成，以避免多端 drift。</w:t>
      </w:r>
    </w:p>
    <w:p>
      <w:pPr>
        <w:pStyle w:val="Heading3"/>
      </w:pPr>
      <w:r>
        <w:rPr>
          <w:rFonts w:ascii="Noto Sans CJK SC" w:hAnsi="Noto Sans CJK SC" w:eastAsia="Noto Sans CJK SC"/>
        </w:rPr>
        <w:t>13.1 Subject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>type SubjectType = "HUMAN" | "AGENT" | "ORG" | "ORIGINATOR";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>type Subject = {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subjectId: string;              // deterministic UUID/hash, chain-agnostic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subjectType: SubjectType;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did?: string;                   // W3C DID if available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primaryPrincipalId: string;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linkedAccounts: CAIP10Account[];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status: "ACTIVE" | "FROZEN" | "SUSPENDED" | "CLOSED";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riskTier: "UNRATED" | "TIER_1" | "TIER_2" | "TIER_3" | "TIER_4";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metadataRef?: string;           // offchain encrypted metadata reference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createdAt: string;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updatedAt: string;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schemaVersion: "subject.v1";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>};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>type CAIP10Account = {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accountId: string;              // e.g. eip155:8453:0x..., solana:...:...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purpose: "PRIMARY" | "REVENUE" | "REPAYMENT" | "TREASURY" | "EXECUTION";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verifiedAt: string;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verificationMethod: "EIP712" | "SOLANA_SIGN" | "MOVE_SIGN" | "CUSTODIAL_ATTESTATION";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status: "ACTIVE" | "REVOKED" | "COMPROMISED";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>};</w:t>
      </w:r>
    </w:p>
    <w:p>
      <w:pPr>
        <w:pStyle w:val="Heading3"/>
      </w:pPr>
      <w:r>
        <w:rPr>
          <w:rFonts w:ascii="Noto Sans CJK SC" w:hAnsi="Noto Sans CJK SC" w:eastAsia="Noto Sans CJK SC"/>
        </w:rPr>
        <w:t>13.2 Principal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>type Principal = {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principalId: string;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principalType: "HUMAN_SELF" | "DEVELOPER" | "COMPANY" | "ORIGINATOR" | "EMPLOYER" | "PLATFORM";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legalEntityRef?: string;        // offchain, encrypted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jurisdiction?: string;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responsibilityScope: "FULL" | "LIMITED" | "OPERATIONAL" | "FIRST_LOSS";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linkedSubjects: string[];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status: "ACTIVE" | "UNDER_REVIEW" | "RESTRICTED" | "CLOSED";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schemaVersion: "principal.v1";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>};</w:t>
      </w:r>
    </w:p>
    <w:p>
      <w:pPr>
        <w:pStyle w:val="Heading3"/>
      </w:pPr>
      <w:r>
        <w:rPr>
          <w:rFonts w:ascii="Noto Sans CJK SC" w:hAnsi="Noto Sans CJK SC" w:eastAsia="Noto Sans CJK SC"/>
        </w:rPr>
        <w:t>13.3 Obligation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>type ObligationStatus =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| "CREATED" | "AUTHORIZED" | "FUNDED" | "ACTIVE" | "PARTIALLY_REPAID"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| "REPAID" | "GRACE_PERIOD" | "DPD_1_30" | "DPD_31_60" | "DPD_61_90"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| "RESTRUCTURED" | "CURED" | "DEFAULTED" | "REPURCHASED"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| "WRITTEN_OFF" | "DISPUTED" | "CLOSED" | "FROZEN";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>type Obligation = {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obligationId: string;           // hash(protocolVersion, subjectId, principalId, nonce, cashflowRouteId, spendPolicyId)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subjectId: string;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principalId: string;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originatorId?: string;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obligationType: "AGENT_WORKING_CAPITAL" | "API_POSTPAID" | "PAYROLL_ADVANCE" | "DEVICE_INSTALLMENT" | "MERCHANT_INVENTORY" | "ORIGINATOR_FACILITY";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asset: AssetId;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principalAmount: string;        // integer string in asset smallest unit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feeModelId: string;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dueAt: string;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repaymentPriority: number;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spendPolicyId: string;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cashflowRouteId: string;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status: ObligationStatus;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outstandingPrincipal: string;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accruedFees: string;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repaidAmount: string;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defaultEventId?: string;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attestations: string[];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chainExecutions: ChainExecutionRef[];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schemaVersion: "obligation.v1";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>};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>type AssetId = {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chainId: string;                // CAIP-2, e.g. eip155:8453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tokenAddress: string;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symbol: string;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decimals: number;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assetRiskTier: "APPROVED_NATIVE" | "APPROVED_WRAPPED" | "RESTRICTED";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>};</w:t>
      </w:r>
    </w:p>
    <w:p>
      <w:pPr>
        <w:pStyle w:val="Heading3"/>
      </w:pPr>
      <w:r>
        <w:rPr>
          <w:rFonts w:ascii="Noto Sans CJK SC" w:hAnsi="Noto Sans CJK SC" w:eastAsia="Noto Sans CJK SC"/>
        </w:rPr>
        <w:t>13.4 Spend Policy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>type SpendPolicy = {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spendPolicyId: string;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policyType: "ALLOWLIST_ONLY" | "CATEGORY_LIMIT" | "ORIGINATOR_DISBURSEMENT";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allowedRecipients: CAIP10Account[];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allowedCategories: string[];    // API, COMPUTE, MODEL, DATA, DEVICE, INVENTORY, PAYROLL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perTxLimit: string;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dailyLimit: string;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weeklyLimit: string;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expiryAt?: string;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requiresProviderAttestation: boolean;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status: "ACTIVE" | "PAUSED" | "EXPIRED";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schemaVersion: "spend_policy.v1";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>};</w:t>
      </w:r>
    </w:p>
    <w:p>
      <w:pPr>
        <w:pStyle w:val="Heading3"/>
      </w:pPr>
      <w:r>
        <w:rPr>
          <w:rFonts w:ascii="Noto Sans CJK SC" w:hAnsi="Noto Sans CJK SC" w:eastAsia="Noto Sans CJK SC"/>
        </w:rPr>
        <w:t>13.5 Cashflow Route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>type CashflowRoute = {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cashflowRouteId: string;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routeType: "AGENT_LOCKBOX" | "PAYROLL" | "MERCHANT_POS" | "PLATFORM_REVENUE" | "ORIGINATOR_COLLECTION";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sourceAccounts: CAIP10Account[];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destinationLockbox: CAIP10Account;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repaymentWaterfall: RepaymentWaterfallStep[];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captureRequirement: {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  minCaptureRatioBps: number;   // e.g. 9000 = 90%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  lookbackDays: number;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};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status: "ACTIVE" | "DEGRADED" | "PAUSED" | "FAILED";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schemaVersion: "cashflow_route.v1";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>};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>type RepaymentWaterfallStep = {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order: number;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destination: "FEES" | "PRINCIPAL" | "PENALTY" | "RESERVE" | "BORROWER_RELEASE" | "DEVELOPER_RELEASE";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bpsOrAmount: string;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>};</w:t>
      </w:r>
    </w:p>
    <w:p>
      <w:pPr>
        <w:pStyle w:val="Heading3"/>
      </w:pPr>
      <w:r>
        <w:rPr>
          <w:rFonts w:ascii="Noto Sans CJK SC" w:hAnsi="Noto Sans CJK SC" w:eastAsia="Noto Sans CJK SC"/>
        </w:rPr>
        <w:t>13.6 Events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>type CreditEvent = {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eventId: string;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eventType: "SUBJECT_CREATED" | "ACCOUNT_BOUND" | "OBLIGATION_CREATED" | "SPEND_EXECUTED" |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           "REPAYMENT_POSTED" | "DEFAULT_RECORDED" | "ATTESTATION_ISSUED" |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           "LIMIT_CHANGED" | "FREEZE" | "UNFREEZE" | "STOP_LOSS_TRIGGERED";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subjectId: string;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obligationId?: string;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chainId?: string;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txHash?: string;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blockNumber?: number;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finalityStatus: "PENDING" | "CONFIRMED" | "FINALIZED" | "REORGED" | "INVALIDATED";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payloadHash: string;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payloadRef?: string;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timestamp: string;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schemaVersion: "event.v1";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>};</w:t>
      </w:r>
    </w:p>
    <w:p>
      <w:pPr>
        <w:pStyle w:val="Heading2"/>
      </w:pPr>
      <w:r>
        <w:rPr>
          <w:rFonts w:ascii="Noto Sans CJK SC" w:hAnsi="Noto Sans CJK SC" w:eastAsia="Noto Sans CJK SC"/>
        </w:rPr>
        <w:t>14. 人类兼容能力</w:t>
      </w:r>
    </w:p>
    <w:p>
      <w:r>
        <w:rPr>
          <w:rFonts w:ascii="Noto Sans CJK SC" w:hAnsi="Noto Sans CJK SC" w:eastAsia="Noto Sans CJK SC"/>
        </w:rPr>
        <w:t>Human-compatible 不是在 V2 临时加一个借款页面，而是从 V0 起在协议对象、身份授权、现金流、状态机、Originator 接口、隐私边界中预留。MVP 不做人类真实放贷，但必须能完整表达一笔人类信用义务。</w:t>
      </w:r>
    </w:p>
    <w:p>
      <w:pPr>
        <w:pStyle w:val="Heading3"/>
      </w:pPr>
      <w:r>
        <w:rPr>
          <w:rFonts w:ascii="Noto Sans CJK SC" w:hAnsi="Noto Sans CJK SC" w:eastAsia="Noto Sans CJK SC"/>
        </w:rPr>
        <w:t>14.1 Human 模块范围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vAlign w:val="top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层</w:t>
            </w:r>
          </w:p>
        </w:tc>
        <w:tc>
          <w:tcPr>
            <w:tcW w:type="dxa" w:w="2606"/>
            <w:vAlign w:val="top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V0 需要做</w:t>
            </w:r>
          </w:p>
        </w:tc>
        <w:tc>
          <w:tcPr>
            <w:tcW w:type="dxa" w:w="2606"/>
            <w:vAlign w:val="top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V1 需要做</w:t>
            </w:r>
          </w:p>
        </w:tc>
        <w:tc>
          <w:tcPr>
            <w:tcW w:type="dxa" w:w="2606"/>
            <w:vAlign w:val="top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V2 生产上线</w:t>
            </w:r>
          </w:p>
        </w:tc>
        <w:trPr>
          <w:tblHeader/>
        </w:trPr>
      </w:tr>
      <w:tr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Human Subject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SubjectType.HUMAN、jurisdiction、riskTier、KYC/VC reference 字段。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Borrower profile read-only。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真实 borrower onboarding 由 Originator/KYC partner 执行。</w:t>
            </w:r>
          </w:p>
        </w:tc>
      </w:tr>
      <w:tr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Consent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ConsentLedger schema；termsRef、dataUsageRef、revocationStatus。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用户授权 UX 原型。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真实授权签名、合同 reference、撤销与过期。</w:t>
            </w:r>
          </w:p>
        </w:tc>
      </w:tr>
      <w:tr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KYC/VC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只存 reference/hash/status。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KYC adapter mock、VC adapter mock。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Originator/KYC partner 签发 VC / attestation。</w:t>
            </w:r>
          </w:p>
        </w:tc>
      </w:tr>
      <w:tr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Cashflow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PAYROLL / MERCHANT_POS / PLATFORM_REVENUE / ORIGINATOR_COLLECTION route type。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Payroll / merchant mock。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真实现金流由 Originator / platform 集成。</w:t>
            </w:r>
          </w:p>
        </w:tc>
      </w:tr>
      <w:tr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Loan Tape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LoanTapeRecord schema。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Loan Tape Simulator。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每日 borrower-level loan tape；hash anchor；audit。</w:t>
            </w:r>
          </w:p>
        </w:tc>
      </w:tr>
      <w:tr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DPD/Default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状态机预留。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DPD dashboard。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真实 DPD、restructure、repurchase、write-off。</w:t>
            </w:r>
          </w:p>
        </w:tc>
      </w:tr>
      <w:tr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Credit Passport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placeholder 和 read model。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read-only profile。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repayment/default attestation 可被第三方读取。</w:t>
            </w:r>
          </w:p>
        </w:tc>
      </w:tr>
    </w:tbl>
    <w:p/>
    <w:p>
      <w:pPr>
        <w:pStyle w:val="Heading3"/>
      </w:pPr>
      <w:r>
        <w:rPr>
          <w:rFonts w:ascii="Noto Sans CJK SC" w:hAnsi="Noto Sans CJK SC" w:eastAsia="Noto Sans CJK SC"/>
        </w:rPr>
        <w:t>14.2 Human Obligation 状态机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>CREATED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-&gt; KYC_PENDING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-&gt; APPROVED_BY_ORIGINATOR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-&gt; FUNDED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-&gt; ACTIVE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-&gt; PARTIALLY_REPAID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-&gt; REPAID -&gt; CLOSED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-&gt; GRACE_PERIOD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-&gt; DPD_1_30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-&gt; DPD_31_60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-&gt; DPD_61_90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-&gt; RESTRUCTURED -&gt; CURED | DEFAULTED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-&gt; DEFAULTED -&gt; REPURCHASED | WRITTEN_OFF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-&gt; DISPUTED -&gt; ACTIVE | CLOSED</w:t>
      </w:r>
    </w:p>
    <w:p>
      <w:pPr>
        <w:pStyle w:val="Heading3"/>
      </w:pPr>
      <w:r>
        <w:rPr>
          <w:rFonts w:ascii="Noto Sans CJK SC" w:hAnsi="Noto Sans CJK SC" w:eastAsia="Noto Sans CJK SC"/>
        </w:rPr>
        <w:t>14.3 人类扩张原则</w:t>
      </w:r>
    </w:p>
    <w:p>
      <w:pPr>
        <w:pStyle w:val="ListNumber"/>
      </w:pPr>
      <w:r>
        <w:rPr>
          <w:rFonts w:ascii="Noto Sans CJK SC" w:hAnsi="Noto Sans CJK SC" w:eastAsia="Noto Sans CJK SC"/>
        </w:rPr>
        <w:t>V2 只做一个国家、一个资产类型、一个 Originator、一个资金池。</w:t>
      </w:r>
    </w:p>
    <w:p>
      <w:pPr>
        <w:pStyle w:val="ListNumber"/>
      </w:pPr>
      <w:r>
        <w:rPr>
          <w:rFonts w:ascii="Noto Sans CJK SC" w:hAnsi="Noto Sans CJK SC" w:eastAsia="Noto Sans CJK SC"/>
        </w:rPr>
        <w:t>优先工资预支、设备分期、小商户库存预支、平台工作者收入预支。</w:t>
      </w:r>
    </w:p>
    <w:p>
      <w:pPr>
        <w:pStyle w:val="ListNumber"/>
      </w:pPr>
      <w:r>
        <w:rPr>
          <w:rFonts w:ascii="Noto Sans CJK SC" w:hAnsi="Noto Sans CJK SC" w:eastAsia="Noto Sans CJK SC"/>
        </w:rPr>
        <w:t>不做纯现金贷、不做高 APR 短贷、不做无用途限制贷款。</w:t>
      </w:r>
    </w:p>
    <w:p>
      <w:pPr>
        <w:pStyle w:val="ListNumber"/>
      </w:pPr>
      <w:r>
        <w:rPr>
          <w:rFonts w:ascii="Noto Sans CJK SC" w:hAnsi="Noto Sans CJK SC" w:eastAsia="Noto Sans CJK SC"/>
        </w:rPr>
        <w:t>Originator 必须承担 10%-20% first-loss，且必须每日同步 borrower-level loan tape。</w:t>
      </w:r>
    </w:p>
    <w:p>
      <w:pPr>
        <w:pStyle w:val="ListNumber"/>
      </w:pPr>
      <w:r>
        <w:rPr>
          <w:rFonts w:ascii="Noto Sans CJK SC" w:hAnsi="Noto Sans CJK SC" w:eastAsia="Noto Sans CJK SC"/>
        </w:rPr>
        <w:t>任何 Originator 如果 loan tape 延迟、DPD 超阈值、欺诈率超阈值、first-loss 不足，facility 自动 stop-loss。</w:t>
      </w:r>
    </w:p>
    <w:p>
      <w:pPr>
        <w:pStyle w:val="Heading2"/>
      </w:pPr>
      <w:r>
        <w:rPr>
          <w:rFonts w:ascii="Noto Sans CJK SC" w:hAnsi="Noto Sans CJK SC" w:eastAsia="Noto Sans CJK SC"/>
        </w:rPr>
        <w:t>15. 多链兼容能力</w:t>
      </w:r>
    </w:p>
    <w:p>
      <w:r>
        <w:rPr>
          <w:rFonts w:ascii="Noto Sans CJK SC" w:hAnsi="Noto Sans CJK SC" w:eastAsia="Noto Sans CJK SC"/>
        </w:rPr>
        <w:t>Multi-chain-ready 必须从身份、账户、obligation ID、事件、资产、消息、安全限额七层开始，而不是后面临时接桥。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top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3"/>
              </w:rPr>
              <w:t>层</w:t>
            </w:r>
          </w:p>
        </w:tc>
        <w:tc>
          <w:tcPr>
            <w:tcW w:type="dxa" w:w="3475"/>
            <w:vAlign w:val="top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3"/>
              </w:rPr>
              <w:t>设计要求</w:t>
            </w:r>
          </w:p>
        </w:tc>
        <w:tc>
          <w:tcPr>
            <w:tcW w:type="dxa" w:w="3475"/>
            <w:vAlign w:val="top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3"/>
              </w:rPr>
              <w:t>V0 实现</w:t>
            </w:r>
          </w:p>
        </w:tc>
        <w:trPr>
          <w:tblHeader/>
        </w:trPr>
      </w:tr>
      <w:tr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Chain Identity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使用 CAIP-2 表达 chain_id；EVM 使用 eip155 namespace。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ChainRegistry 支持 eip155:1、eip155:8453、eip155:42161、eip155:10、eip155:137 等配置。</w:t>
            </w:r>
          </w:p>
        </w:tc>
      </w:tr>
      <w:tr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Account Binding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使用 CAIP-10 表达账户；每个 subject 可绑定多个账户和用途。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EVM EIP-712 签名绑定；Solana/Move 预留 adapter。</w:t>
            </w:r>
          </w:p>
        </w:tc>
      </w:tr>
      <w:tr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Obligation ID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chain-agnostic deterministic ID；不能使用单链自增 ID。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hash(protocolVersion, subjectId, principalId, nonce, route, policy)。</w:t>
            </w:r>
          </w:p>
        </w:tc>
      </w:tr>
      <w:tr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Event Indexing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所有链上事件进入统一 Event Store；区分 pending/confirmed/finalized/reorged。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多链 indexer schema；V0 先接生产链 + 若干只读链。</w:t>
            </w:r>
          </w:p>
        </w:tc>
      </w:tr>
      <w:tr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Asset Layer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每链独立 token whitelist、decimals、risk tier、cap。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USDC 优先；wrapped asset 默认 restricted。</w:t>
            </w:r>
          </w:p>
        </w:tc>
      </w:tr>
      <w:tr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Cross-chain Messaging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Adapter interface，不绑定唯一桥。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V0 只预留；V1/V2 可评估 CCTP/CCIP/LayerZero/Wormhole/Hyperlane。</w:t>
            </w:r>
          </w:p>
        </w:tc>
      </w:tr>
      <w:tr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Risk Control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global credit limit + per-chain cap + bridge exposure cap + finality delay。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Risk Engine 必须在审批前检查全局 exposure。</w:t>
            </w:r>
          </w:p>
        </w:tc>
      </w:tr>
    </w:tbl>
    <w:p/>
    <w:p>
      <w:pPr>
        <w:pStyle w:val="Heading3"/>
      </w:pPr>
      <w:r>
        <w:rPr>
          <w:rFonts w:ascii="Noto Sans CJK SC" w:hAnsi="Noto Sans CJK SC" w:eastAsia="Noto Sans CJK SC"/>
        </w:rPr>
        <w:t>主流链兼容路线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vAlign w:val="top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链族</w:t>
            </w:r>
          </w:p>
        </w:tc>
        <w:tc>
          <w:tcPr>
            <w:tcW w:type="dxa" w:w="2606"/>
            <w:vAlign w:val="top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代表链</w:t>
            </w:r>
          </w:p>
        </w:tc>
        <w:tc>
          <w:tcPr>
            <w:tcW w:type="dxa" w:w="2606"/>
            <w:vAlign w:val="top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策略</w:t>
            </w:r>
          </w:p>
        </w:tc>
        <w:tc>
          <w:tcPr>
            <w:tcW w:type="dxa" w:w="2606"/>
            <w:vAlign w:val="top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上线阶段</w:t>
            </w:r>
          </w:p>
        </w:tc>
        <w:trPr>
          <w:tblHeader/>
        </w:trPr>
      </w:tr>
      <w:tr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EVM L1 / L2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Ethereum、Base、Arbitrum、Optimism、Polygon、BNB Chain、Avalanche、Celo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第一优先级。合约、钱包、USDC、x402、开发者生态成熟。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V0/V1</w:t>
            </w:r>
          </w:p>
        </w:tc>
      </w:tr>
      <w:tr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SVM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Solana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schema 兼容、账户绑定、repayment event、agent revenue proof。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V3 生产适配</w:t>
            </w:r>
          </w:p>
        </w:tc>
      </w:tr>
      <w:tr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Move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Aptos、Sui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schema 兼容；根据用户与机构需求做 adapter。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V3+</w:t>
            </w:r>
          </w:p>
        </w:tc>
      </w:tr>
      <w:tr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Cosmos / IBC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Cosmos appchains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后续根据区域/应用链需求评估。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V4+</w:t>
            </w:r>
          </w:p>
        </w:tc>
      </w:tr>
      <w:tr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Bitcoin / UTXO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Bitcoin L2、payment proof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不作为早期执行层；可做证明读取。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V4+</w:t>
            </w:r>
          </w:p>
        </w:tc>
      </w:tr>
    </w:tbl>
    <w:p/>
    <w:p>
      <w:pPr>
        <w:pStyle w:val="Heading3"/>
      </w:pPr>
      <w:r>
        <w:rPr>
          <w:rFonts w:ascii="Noto Sans CJK SC" w:hAnsi="Noto Sans CJK SC" w:eastAsia="Noto Sans CJK SC"/>
        </w:rPr>
        <w:t>跨链安全不变量</w:t>
      </w:r>
    </w:p>
    <w:p>
      <w:pPr>
        <w:pStyle w:val="ListBullet"/>
      </w:pPr>
      <w:r>
        <w:rPr>
          <w:rFonts w:ascii="Noto Sans CJK SC" w:hAnsi="Noto Sans CJK SC" w:eastAsia="Noto Sans CJK SC"/>
        </w:rPr>
        <w:t>同一 subject 在所有链上的 aggregate utilization 不得超过 global credit limit。</w:t>
      </w:r>
    </w:p>
    <w:p>
      <w:pPr>
        <w:pStyle w:val="ListBullet"/>
      </w:pPr>
      <w:r>
        <w:rPr>
          <w:rFonts w:ascii="Noto Sans CJK SC" w:hAnsi="Noto Sans CJK SC" w:eastAsia="Noto Sans CJK SC"/>
        </w:rPr>
        <w:t>同一 obligation_id 不得在不同链重复创建 funded active state。</w:t>
      </w:r>
    </w:p>
    <w:p>
      <w:pPr>
        <w:pStyle w:val="ListBullet"/>
      </w:pPr>
      <w:r>
        <w:rPr>
          <w:rFonts w:ascii="Noto Sans CJK SC" w:hAnsi="Noto Sans CJK SC" w:eastAsia="Noto Sans CJK SC"/>
        </w:rPr>
        <w:t>未 finalized 的 repayment event 不得释放更高额度。</w:t>
      </w:r>
    </w:p>
    <w:p>
      <w:pPr>
        <w:pStyle w:val="ListBullet"/>
      </w:pPr>
      <w:r>
        <w:rPr>
          <w:rFonts w:ascii="Noto Sans CJK SC" w:hAnsi="Noto Sans CJK SC" w:eastAsia="Noto Sans CJK SC"/>
        </w:rPr>
        <w:t>任意 cross-chain message 必须有 source chain、destination chain、nonce、expiry、payload hash、replay protection。</w:t>
      </w:r>
    </w:p>
    <w:p>
      <w:pPr>
        <w:pStyle w:val="ListBullet"/>
      </w:pPr>
      <w:r>
        <w:rPr>
          <w:rFonts w:ascii="Noto Sans CJK SC" w:hAnsi="Noto Sans CJK SC" w:eastAsia="Noto Sans CJK SC"/>
        </w:rPr>
        <w:t>桥或消息 adapter 发生异常时，相关链的 credit issuance 自动 pause，但 repayment route 可以保留安全入口。</w:t>
      </w:r>
    </w:p>
    <w:p>
      <w:pPr>
        <w:pStyle w:val="ListBullet"/>
      </w:pPr>
      <w:r>
        <w:rPr>
          <w:rFonts w:ascii="Noto Sans CJK SC" w:hAnsi="Noto Sans CJK SC" w:eastAsia="Noto Sans CJK SC"/>
        </w:rPr>
        <w:t>每条链的 asset whitelist、decimals、price/risk oracle、settlement time 必须独立配置。</w:t>
      </w:r>
    </w:p>
    <w:p>
      <w:pPr>
        <w:pStyle w:val="Heading2"/>
      </w:pPr>
      <w:r>
        <w:rPr>
          <w:rFonts w:ascii="Noto Sans CJK SC" w:hAnsi="Noto Sans CJK SC" w:eastAsia="Noto Sans CJK SC"/>
        </w:rPr>
        <w:t>16. MVP / V0 详细 PRD</w:t>
      </w:r>
    </w:p>
    <w:p>
      <w:pPr>
        <w:pStyle w:val="Heading3"/>
      </w:pPr>
      <w:r>
        <w:rPr>
          <w:rFonts w:ascii="Noto Sans CJK SC" w:hAnsi="Noto Sans CJK SC" w:eastAsia="Noto Sans CJK SC"/>
        </w:rPr>
        <w:t>16.1 MVP 用户旅程：Agent Developer</w:t>
      </w:r>
    </w:p>
    <w:p>
      <w:pPr>
        <w:pStyle w:val="ListNumber"/>
      </w:pPr>
      <w:r>
        <w:rPr>
          <w:rFonts w:ascii="Noto Sans CJK SC" w:hAnsi="Noto Sans CJK SC" w:eastAsia="Noto Sans CJK SC"/>
        </w:rPr>
        <w:t>Developer 使用钱包或组织账户登录 Developer Portal。</w:t>
      </w:r>
    </w:p>
    <w:p>
      <w:pPr>
        <w:pStyle w:val="ListNumber"/>
      </w:pPr>
      <w:r>
        <w:rPr>
          <w:rFonts w:ascii="Noto Sans CJK SC" w:hAnsi="Noto Sans CJK SC" w:eastAsia="Noto Sans CJK SC"/>
        </w:rPr>
        <w:t>创建 Agent Subject，绑定 Agent execution account、revenue account、developer principal。</w:t>
      </w:r>
    </w:p>
    <w:p>
      <w:pPr>
        <w:pStyle w:val="ListNumber"/>
      </w:pPr>
      <w:r>
        <w:rPr>
          <w:rFonts w:ascii="Noto Sans CJK SC" w:hAnsi="Noto Sans CJK SC" w:eastAsia="Noto Sans CJK SC"/>
        </w:rPr>
        <w:t>系统读取历史收入、provider spend、收入捕获率、调用成功率，给出初始小额 credit line。</w:t>
      </w:r>
    </w:p>
    <w:p>
      <w:pPr>
        <w:pStyle w:val="ListNumber"/>
      </w:pPr>
      <w:r>
        <w:rPr>
          <w:rFonts w:ascii="Noto Sans CJK SC" w:hAnsi="Noto Sans CJK SC" w:eastAsia="Noto Sans CJK SC"/>
        </w:rPr>
        <w:t>Developer 接受 EIP-712 typed authorization，创建 spend policy 和 cashflow route。</w:t>
      </w:r>
    </w:p>
    <w:p>
      <w:pPr>
        <w:pStyle w:val="ListNumber"/>
      </w:pPr>
      <w:r>
        <w:rPr>
          <w:rFonts w:ascii="Noto Sans CJK SC" w:hAnsi="Noto Sans CJK SC" w:eastAsia="Noto Sans CJK SC"/>
        </w:rPr>
        <w:t>Agent 使用 credit line 支付白名单 API / compute / model provider。</w:t>
      </w:r>
    </w:p>
    <w:p>
      <w:pPr>
        <w:pStyle w:val="ListNumber"/>
      </w:pPr>
      <w:r>
        <w:rPr>
          <w:rFonts w:ascii="Noto Sans CJK SC" w:hAnsi="Noto Sans CJK SC" w:eastAsia="Noto Sans CJK SC"/>
        </w:rPr>
        <w:t>Agent 收入进入 Lockbox；Repayment Router 按 waterfall 自动还 fee/principal。</w:t>
      </w:r>
    </w:p>
    <w:p>
      <w:pPr>
        <w:pStyle w:val="ListNumber"/>
      </w:pPr>
      <w:r>
        <w:rPr>
          <w:rFonts w:ascii="Noto Sans CJK SC" w:hAnsi="Noto Sans CJK SC" w:eastAsia="Noto Sans CJK SC"/>
        </w:rPr>
        <w:t>还款成功后生成 RepaymentEvent 和 Attestation；剩余余额释放给 developer。</w:t>
      </w:r>
    </w:p>
    <w:p>
      <w:pPr>
        <w:pStyle w:val="ListNumber"/>
      </w:pPr>
      <w:r>
        <w:rPr>
          <w:rFonts w:ascii="Noto Sans CJK SC" w:hAnsi="Noto Sans CJK SC" w:eastAsia="Noto Sans CJK SC"/>
        </w:rPr>
        <w:t>若收入捕获率下降、逾期或异常支出，系统自动降额、冻结或触发 review。</w:t>
      </w:r>
    </w:p>
    <w:p>
      <w:pPr>
        <w:pStyle w:val="Heading3"/>
      </w:pPr>
      <w:r>
        <w:rPr>
          <w:rFonts w:ascii="Noto Sans CJK SC" w:hAnsi="Noto Sans CJK SC" w:eastAsia="Noto Sans CJK SC"/>
        </w:rPr>
        <w:t>16.2 MVP 功能清单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top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3"/>
              </w:rPr>
              <w:t>模块</w:t>
            </w:r>
          </w:p>
        </w:tc>
        <w:tc>
          <w:tcPr>
            <w:tcW w:type="dxa" w:w="3475"/>
            <w:vAlign w:val="top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3"/>
              </w:rPr>
              <w:t>P0 功能</w:t>
            </w:r>
          </w:p>
        </w:tc>
        <w:tc>
          <w:tcPr>
            <w:tcW w:type="dxa" w:w="3475"/>
            <w:vAlign w:val="top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3"/>
              </w:rPr>
              <w:t>验收标准</w:t>
            </w:r>
          </w:p>
        </w:tc>
        <w:trPr>
          <w:tblHeader/>
        </w:trPr>
      </w:tr>
      <w:tr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Developer Portal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登录、Agent 创建、账户绑定、credit line、obligation、repayment history、API key。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开发者可在 10 分钟内完成 Agent 注册和 Lockbox 接入。</w:t>
            </w:r>
          </w:p>
        </w:tc>
      </w:tr>
      <w:tr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Agent Lockbox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收入接收、还款 waterfall、余额释放、冻结、emergency pause。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任意 outstanding obligation 未还清前，Lockbox 收入优先还款。</w:t>
            </w:r>
          </w:p>
        </w:tc>
      </w:tr>
      <w:tr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Spend Policy Engine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provider allowlist、per tx/daily/weekly limit、category limit。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100% 资金流向白名单 recipient；越权交易 revert。</w:t>
            </w:r>
          </w:p>
        </w:tc>
      </w:tr>
      <w:tr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Obligation Registry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create/authorize/fund/repay/default/freeze。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每笔 obligation 有 deterministic ID；事件完整可重建状态。</w:t>
            </w:r>
          </w:p>
        </w:tc>
      </w:tr>
      <w:tr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Repayment Router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自动计算 principal/fee/outstanding、生成事件。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还款金额、余额、释放金额与测试向量一致。</w:t>
            </w:r>
          </w:p>
        </w:tc>
      </w:tr>
      <w:tr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Risk Engine v0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规则额度、收入覆盖、capture ratio、repeat repayment 提额。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无收入 Agent 不进入 lending，只进入 prepaid spend management。</w:t>
            </w:r>
          </w:p>
        </w:tc>
      </w:tr>
      <w:tr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Admin/Risk Console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active obligation、exposure、loss、late、provider spend、chain cap。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风险团队可一键 freeze subject / obligation / chain。</w:t>
            </w:r>
          </w:p>
        </w:tc>
      </w:tr>
      <w:tr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Multi-chain Base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CAIP-2/10、account binding、event schema、per-chain cap。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至少支持 3 条 EVM 链账户绑定，1 条生产链执行。</w:t>
            </w:r>
          </w:p>
        </w:tc>
      </w:tr>
      <w:tr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Human Schema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Human subject、consent、originator、loan tape、DPD/default schema。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可用 simulator 跑完整 Human Obligation lifecycle。</w:t>
            </w:r>
          </w:p>
        </w:tc>
      </w:tr>
    </w:tbl>
    <w:p/>
    <w:p>
      <w:pPr>
        <w:pStyle w:val="Heading3"/>
      </w:pPr>
      <w:r>
        <w:rPr>
          <w:rFonts w:ascii="Noto Sans CJK SC" w:hAnsi="Noto Sans CJK SC" w:eastAsia="Noto Sans CJK SC"/>
        </w:rPr>
        <w:t>16.3 MVP Go / No-Go 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top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指标</w:t>
            </w:r>
          </w:p>
        </w:tc>
        <w:tc>
          <w:tcPr>
            <w:tcW w:type="dxa" w:w="3475"/>
            <w:vAlign w:val="top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目标</w:t>
            </w:r>
          </w:p>
        </w:tc>
        <w:tc>
          <w:tcPr>
            <w:tcW w:type="dxa" w:w="3475"/>
            <w:vAlign w:val="top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Fail 时动作</w:t>
            </w:r>
          </w:p>
        </w:tc>
        <w:trPr>
          <w:tblHeader/>
        </w:trPr>
      </w:tr>
      <w:tr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Active Agent Accounts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50-100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低于目标时不扩大 provider，先重做 onboarding 和定位。</w:t>
            </w:r>
          </w:p>
        </w:tc>
      </w:tr>
      <w:tr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Monthly Revenue per Active Agent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&gt; $5-$20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收入太低的 Agent 不授信，转 prepaid。</w:t>
            </w:r>
          </w:p>
        </w:tc>
      </w:tr>
      <w:tr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Gross Margin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&gt; 50%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链上/支付成本过高则调整 batch、gas sponsorship 或链选择。</w:t>
            </w:r>
          </w:p>
        </w:tc>
      </w:tr>
      <w:tr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Credit Line Utilization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&gt; 40%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低利用率说明额度或用途不匹配。</w:t>
            </w:r>
          </w:p>
        </w:tc>
      </w:tr>
      <w:tr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Repeat Borrowing / Reuse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&gt; 40%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低重复说明不是刚需。</w:t>
            </w:r>
          </w:p>
        </w:tc>
      </w:tr>
      <w:tr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Revenue Capture Ratio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&gt; 90%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低于阈值自动降额/冻结。</w:t>
            </w:r>
          </w:p>
        </w:tc>
      </w:tr>
      <w:tr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Automated Repayment Success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&gt; 95%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低于阈值暂停新增授信。</w:t>
            </w:r>
          </w:p>
        </w:tc>
      </w:tr>
      <w:tr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30-day Gross Loss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&lt; 3%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 risk review，降低额度/收紧 spend policy。</w:t>
            </w:r>
          </w:p>
        </w:tc>
      </w:tr>
      <w:tr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Allowlisted Spend Ratio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100%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任何越权 spend 为 P0 security incident。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17. V1-V5 版本 PRD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vAlign w:val="top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3"/>
              </w:rPr>
              <w:t>版本</w:t>
            </w:r>
          </w:p>
        </w:tc>
        <w:tc>
          <w:tcPr>
            <w:tcW w:type="dxa" w:w="2606"/>
            <w:vAlign w:val="top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3"/>
              </w:rPr>
              <w:t>产品范围</w:t>
            </w:r>
          </w:p>
        </w:tc>
        <w:tc>
          <w:tcPr>
            <w:tcW w:type="dxa" w:w="2606"/>
            <w:vAlign w:val="top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3"/>
              </w:rPr>
              <w:t>核心交付</w:t>
            </w:r>
          </w:p>
        </w:tc>
        <w:tc>
          <w:tcPr>
            <w:tcW w:type="dxa" w:w="2606"/>
            <w:vAlign w:val="top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3"/>
              </w:rPr>
              <w:t>非目标</w:t>
            </w:r>
          </w:p>
        </w:tc>
        <w:trPr>
          <w:tblHeader/>
        </w:trPr>
      </w:tr>
      <w:tr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V1 Agent Credit Network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商业化 Agent、SDK、provider network、Originator sandbox。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Developer SDK、Provider Dashboard、Webhook、Agent Metrics、Loan Tape Simulator、Borrower UI beta、多 EVM 测试。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不放松 Lockbox；不做人类大规模放贷。</w:t>
            </w:r>
          </w:p>
        </w:tc>
      </w:tr>
      <w:tr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V2 Human Credit Primitive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单国家、单资产、单 Originator 真实试点。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Originator Facility、Daily Loan Tape、First-loss、Stop-loss、LP Facility Dashboard、真实 Human DPD 状态。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不做多国并发；不接黑箱 Originator。</w:t>
            </w:r>
          </w:p>
        </w:tc>
      </w:tr>
      <w:tr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V3 Credit Attestation Network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信用证明网络和跨链 Credit Passport。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Attester Registry、Credit Passport API、Solana/SVM adapter、Wallet/DeFi integration。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不输出黑盒 score；不让 attester 权限泛化。</w:t>
            </w:r>
          </w:p>
        </w:tc>
      </w:tr>
      <w:tr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V4 Institutional Capital Routing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机构级资金池和跨链资本路由。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Risk-tiered pools、tranches、institutional vaults、multi-chain treasury、RWA/DAT/GMC integration。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不向不适当投资者开放高风险产品。</w:t>
            </w:r>
          </w:p>
        </w:tc>
      </w:tr>
      <w:tr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V5 Obligation Standard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开放标准与生态应用。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公共标准、第三方应用、生态基金、全链 credit state。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治理不先于真实 PMF。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18. 模块级 PRD 与验收标准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vAlign w:val="top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3"/>
              </w:rPr>
              <w:t>模块</w:t>
            </w:r>
          </w:p>
        </w:tc>
        <w:tc>
          <w:tcPr>
            <w:tcW w:type="dxa" w:w="2606"/>
            <w:vAlign w:val="top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3"/>
              </w:rPr>
              <w:t>目的</w:t>
            </w:r>
          </w:p>
        </w:tc>
        <w:tc>
          <w:tcPr>
            <w:tcW w:type="dxa" w:w="2606"/>
            <w:vAlign w:val="top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3"/>
              </w:rPr>
              <w:t>核心功能</w:t>
            </w:r>
          </w:p>
        </w:tc>
        <w:tc>
          <w:tcPr>
            <w:tcW w:type="dxa" w:w="2606"/>
            <w:vAlign w:val="top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3"/>
              </w:rPr>
              <w:t>验收标准</w:t>
            </w:r>
          </w:p>
        </w:tc>
        <w:trPr>
          <w:tblHeader/>
        </w:trPr>
      </w:tr>
      <w:tr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Subject Registry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统一管理 Human / Agent / Org / Originator subject。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createSubject, bindAccount, revokeAccount, freezeSubject, updateRiskTier。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subjectId deterministic；CAIP-10 account 唯一；被冻结 subject 不可创建新 obligation。</w:t>
            </w:r>
          </w:p>
        </w:tc>
      </w:tr>
      <w:tr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Principal Registry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记录最终责任主体和责任范围。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createPrincipal, linkSubject, updateResponsibilityScope。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每个 funded obligation 必须有 principalId；Agent obligation 必须绑定 developer/company principal。</w:t>
            </w:r>
          </w:p>
        </w:tc>
      </w:tr>
      <w:tr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Authorization Service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处理 EIP-712、人类 consent、Agent policy、VC/KYC reference。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createAuthorization, verifySignature, revokeAuthorization。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所有 obligation authorization 必须 domain-separated，包含 chainId / verifyingContract / expiry / nonce。</w:t>
            </w:r>
          </w:p>
        </w:tc>
      </w:tr>
      <w:tr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Chain Registry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管理多链配置。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addChain, updateFinalityPolicy, setAssetWhitelist, setChainCap, pauseChain。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暂停链后不能新增 spend/fund，但可允许安全还款入口。</w:t>
            </w:r>
          </w:p>
        </w:tc>
      </w:tr>
      <w:tr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Obligation Registry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记录标准化信用义务。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createObligation, authorize, fund, repay, default, restructure, close。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状态转换必须符合状态机；不能跳过 authorization；历史事件不可删除。</w:t>
            </w:r>
          </w:p>
        </w:tc>
      </w:tr>
      <w:tr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Agent Lockbox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捕获 Agent 收入并自动还款。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depositRevenue, executeSpend, repayWaterfall, releaseSurplus, freeze。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未清偿 obligation 前收入优先还款；spend 只允许白名单 recipient。</w:t>
            </w:r>
          </w:p>
        </w:tc>
      </w:tr>
      <w:tr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Spend Policy Manager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限制资金用途和交易限额。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createPolicy, setAllowlist, checkSpend, pausePolicy。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任何不符合 recipient/category/limit 的 spend 必须 revert。</w:t>
            </w:r>
          </w:p>
        </w:tc>
      </w:tr>
      <w:tr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Cashflow Router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定义未来现金流入口和 waterfall。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createRoute, updateStatus, postRevenue, routeRepayment。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route degraded 时自动降低额度；route failed 时冻结新增授信。</w:t>
            </w:r>
          </w:p>
        </w:tc>
      </w:tr>
      <w:tr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Repayment Router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计算还款、费用、余额与事件。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postRepayment, applyWaterfall, computeOutstanding。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outstanding = principal + fees - repayment - writeoff；所有计算使用整数和明确 rounding。</w:t>
            </w:r>
          </w:p>
        </w:tc>
      </w:tr>
      <w:tr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Attestation Registry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记录第三方证明。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issueAttestation, revokeAttestation, queryAttestation。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attester 权限最小化；每类 attestation 有 schema 和 expiry。</w:t>
            </w:r>
          </w:p>
        </w:tc>
      </w:tr>
      <w:tr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Risk Engine v0/v1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规则额度、风险层级、提额/降额、stop-loss。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scoreSubject, approveLimit, monitorRisk, triggerFreeze。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审批必须检查 global limit、per-chain cap、capture ratio、default history。</w:t>
            </w:r>
          </w:p>
        </w:tc>
      </w:tr>
      <w:tr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Originator Facility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人类信用执行方接入。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createFacility, setCovenants, ingestLoanTape, triggerStopLoss。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没有 first-loss 和 daily loan tape 不允许 facility active。</w:t>
            </w:r>
          </w:p>
        </w:tc>
      </w:tr>
      <w:tr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Loan Tape Oracle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同步 borrower-level loan tape。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submitLoanTapeHash, ingestRecords, validateTape, generateSummary。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每日同步；延迟或字段异常触发 facility warning/stop-loss。</w:t>
            </w:r>
          </w:p>
        </w:tc>
      </w:tr>
      <w:tr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Capital Vault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机构资金池和风险分层。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deposit, withdraw, allocate, reportNAV。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遵循 ERC-4626 where appropriate；tranche waterfall 清楚；withdrawal limits 可读。</w:t>
            </w:r>
          </w:p>
        </w:tc>
      </w:tr>
      <w:tr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Credit Passport API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对第三方提供信用状态。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getSubjectStatus, getRepaymentProof, getDefaultStatus, getAttestations。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V3 前不输出 score；只输出可验证状态与证明引用。</w:t>
            </w:r>
          </w:p>
        </w:tc>
      </w:tr>
      <w:tr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Admin/Risk Console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内部风险运营。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dashboards, freeze, override review, incident management。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所有人工操作有 audit log；高危操作需要 multisig / role approval。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19. 合约接口与数据接口</w:t>
      </w:r>
    </w:p>
    <w:p>
      <w:r>
        <w:rPr>
          <w:rFonts w:ascii="Noto Sans CJK SC" w:hAnsi="Noto Sans CJK SC" w:eastAsia="Noto Sans CJK SC"/>
        </w:rPr>
        <w:t>以下接口是 PRD 级接口，不是完整实现。工程实现必须补充 NatSpec、事件、错误类型、访问控制、测试向量、gas 优化和审计。</w:t>
      </w:r>
    </w:p>
    <w:p>
      <w:pPr>
        <w:pStyle w:val="Heading3"/>
      </w:pPr>
      <w:r>
        <w:rPr>
          <w:rFonts w:ascii="Noto Sans CJK SC" w:hAnsi="Noto Sans CJK SC" w:eastAsia="Noto Sans CJK SC"/>
        </w:rPr>
        <w:t>19.1 Solidity Interface Skeleton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>// SPDX-License-Identifier: MIT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>pragma solidity ^0.8.24;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>interface ISubjectRegistry {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  enum SubjectType { HUMAN, AGENT, ORG, ORIGINATOR }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  enum SubjectStatus { ACTIVE, FROZEN, SUSPENDED, CLOSED }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  event SubjectCreated(bytes32 indexed subjectId, SubjectType subjectType, bytes32 indexed principalId, string did);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  event AccountBound(bytes32 indexed subjectId, string caip10Account, bytes32 purposeHash);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  event SubjectStatusChanged(bytes32 indexed subjectId, SubjectStatus status, bytes32 reasonHash);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  function createSubject(SubjectType subjectType, bytes32 principalId, string calldata did) external returns (bytes32 subjectId);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  function bindAccount(bytes32 subjectId, string calldata caip10Account, bytes calldata signature, uint256 expiry) external;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  function setSubjectStatus(bytes32 subjectId, SubjectStatus status, bytes32 reasonHash) external;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  function getSubjectStatus(bytes32 subjectId) external view returns (SubjectStatus);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>}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>interface IObligationRegistry {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  enum Status { CREATED, AUTHORIZED, FUNDED, ACTIVE, PARTIALLY_REPAID, REPAID, GRACE_PERIOD, DPD_1_30, DPD_31_60, DPD_61_90, RESTRUCTURED, CURED, DEFAULTED, REPURCHASED, WRITTEN_OFF, DISPUTED, CLOSED, FROZEN }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  struct ObligationTerms {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      bytes32 subjectId;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      bytes32 principalId;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      bytes32 spendPolicyId;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      bytes32 cashflowRouteId;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      address asset;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      uint256 principalAmount;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      uint64 dueAt;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      uint32 feeBps;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      bytes32 termsHash;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  }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  event ObligationCreated(bytes32 indexed obligationId, bytes32 indexed subjectId, bytes32 indexed principalId, address asset, uint256 amount);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  event ObligationStatusChanged(bytes32 indexed obligationId, Status oldStatus, Status newStatus, bytes32 reasonHash);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  event RepaymentPosted(bytes32 indexed obligationId, address asset, uint256 amount, uint256 outstandingAfter);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  event DefaultRecorded(bytes32 indexed obligationId, bytes32 defaultEventHash);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  function createObligation(ObligationTerms calldata terms, bytes calldata authorization) external returns (bytes32 obligationId);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  function fundObligation(bytes32 obligationId) external;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  function postRepayment(bytes32 obligationId, uint256 amount, bytes32 paymentRef) external;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  function recordDefault(bytes32 obligationId, bytes32 defaultEventHash) external;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  function getStatus(bytes32 obligationId) external view returns (Status);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>}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>interface ISpendPolicyManager {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  event SpendPolicyCreated(bytes32 indexed spendPolicyId, bytes32 indexed subjectId, bytes32 policyHash);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  event SpendExecuted(bytes32 indexed obligationId, address indexed recipient, address asset, uint256 amount);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  function checkSpend(bytes32 spendPolicyId, address recipient, address asset, uint256 amount, bytes32 categoryHash) external view returns (bool);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  function executeSpend(bytes32 obligationId, address recipient, address asset, uint256 amount, bytes32 categoryHash) external;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>}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>interface IAgentLockbox {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  event RevenueDeposited(bytes32 indexed subjectId, address asset, uint256 amount, bytes32 sourceRef);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  event SurplusReleased(bytes32 indexed subjectId, address asset, uint256 amount, address to);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  event LockboxFrozen(bytes32 indexed subjectId, bytes32 reasonHash);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  function depositRevenue(bytes32 subjectId, address asset, uint256 amount, bytes32 sourceRef) external;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  function applyRepayment(bytes32 subjectId, bytes32 obligationId) external returns (uint256 repaidAmount);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  function releaseSurplus(bytes32 subjectId, address asset, address to, uint256 amount) external;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>}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>interface IAttestationRegistry {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  event AttestationIssued(bytes32 indexed attestationId, bytes32 indexed subjectId, bytes32 indexed schemaId, bytes32 payloadHash);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  event AttestationRevoked(bytes32 indexed attestationId, bytes32 reasonHash);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  function issueAttestation(bytes32 subjectId, bytes32 schemaId, bytes32 payloadHash, uint64 expiry) external returns (bytes32 attestationId);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  function revokeAttestation(bytes32 attestationId, bytes32 reasonHash) external;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>}</w:t>
      </w:r>
    </w:p>
    <w:p>
      <w:pPr>
        <w:pStyle w:val="Heading3"/>
      </w:pPr>
      <w:r>
        <w:rPr>
          <w:rFonts w:ascii="Noto Sans CJK SC" w:hAnsi="Noto Sans CJK SC" w:eastAsia="Noto Sans CJK SC"/>
        </w:rPr>
        <w:t>19.2 EIP-712 Obligation Authorization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>EIP712Domain(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string name,              // "IPO.one Obligation Protocol"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string version,           // "1"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uint256 chainId,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address verifyingContract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>)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>ObligationAuthorization(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bytes32 subjectId,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bytes32 principalId,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bytes32 spendPolicyId,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bytes32 cashflowRouteId,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address asset,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uint256 principalAmount,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uint64 dueAt,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uint32 feeBps,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uint256 nonce,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uint64 expiry,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bytes32 termsHash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>)</w:t>
      </w:r>
    </w:p>
    <w:p>
      <w:pPr>
        <w:pStyle w:val="Heading3"/>
      </w:pPr>
      <w:r>
        <w:rPr>
          <w:rFonts w:ascii="Noto Sans CJK SC" w:hAnsi="Noto Sans CJK SC" w:eastAsia="Noto Sans CJK SC"/>
        </w:rPr>
        <w:t>19.3 REST / API Surface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vAlign w:val="top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3"/>
              </w:rPr>
              <w:t>Endpoint</w:t>
            </w:r>
          </w:p>
        </w:tc>
        <w:tc>
          <w:tcPr>
            <w:tcW w:type="dxa" w:w="2606"/>
            <w:vAlign w:val="top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3"/>
              </w:rPr>
              <w:t>Method</w:t>
            </w:r>
          </w:p>
        </w:tc>
        <w:tc>
          <w:tcPr>
            <w:tcW w:type="dxa" w:w="2606"/>
            <w:vAlign w:val="top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3"/>
              </w:rPr>
              <w:t>Role</w:t>
            </w:r>
          </w:p>
        </w:tc>
        <w:tc>
          <w:tcPr>
            <w:tcW w:type="dxa" w:w="2606"/>
            <w:vAlign w:val="top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3"/>
              </w:rPr>
              <w:t>Purpose</w:t>
            </w:r>
          </w:p>
        </w:tc>
        <w:trPr>
          <w:tblHeader/>
        </w:trPr>
      </w:tr>
      <w:tr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/v1/subjects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POST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Developer / Originator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Create Human / Agent / Org / Originator subject.</w:t>
            </w:r>
          </w:p>
        </w:tc>
      </w:tr>
      <w:tr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/v1/subjects/{id}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GET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All authorized roles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Read subject profile and status.</w:t>
            </w:r>
          </w:p>
        </w:tc>
      </w:tr>
      <w:tr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/v1/accounts/bind-request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POST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Subject owner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Create account binding challenge.</w:t>
            </w:r>
          </w:p>
        </w:tc>
      </w:tr>
      <w:tr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/v1/accounts/bind-confirm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POST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Subject owner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Verify signature and bind CAIP-10 account.</w:t>
            </w:r>
          </w:p>
        </w:tc>
      </w:tr>
      <w:tr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/v1/credit-lines/quote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POST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Developer / Originator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Get credit line quote based on risk and cashflow.</w:t>
            </w:r>
          </w:p>
        </w:tc>
      </w:tr>
      <w:tr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/v1/obligations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POST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Authorized app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Create obligation draft.</w:t>
            </w:r>
          </w:p>
        </w:tc>
      </w:tr>
      <w:tr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/v1/obligations/{id}/authorize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POST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Principal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Submit EIP-712 / consent authorization.</w:t>
            </w:r>
          </w:p>
        </w:tc>
      </w:tr>
      <w:tr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/v1/obligations/{id}/spend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POST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Agent / App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Execute allowlisted spend.</w:t>
            </w:r>
          </w:p>
        </w:tc>
      </w:tr>
      <w:tr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/v1/lockboxes/{subjectId}/revenue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POST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Provider / Indexer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Post captured revenue.</w:t>
            </w:r>
          </w:p>
        </w:tc>
      </w:tr>
      <w:tr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/v1/repayments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POST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Lockbox / Originator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Post repayment event.</w:t>
            </w:r>
          </w:p>
        </w:tc>
      </w:tr>
      <w:tr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/v1/attestations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POST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Registered Attester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Issue attestation.</w:t>
            </w:r>
          </w:p>
        </w:tc>
      </w:tr>
      <w:tr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/v1/originators/{id}/loan-tape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POST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Originator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Submit daily loan tape hash / records.</w:t>
            </w:r>
          </w:p>
        </w:tc>
      </w:tr>
      <w:tr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/v1/credit-passport/{subjectId}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GET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Authorized third party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Read status/proofs, not raw sensitive data.</w:t>
            </w:r>
          </w:p>
        </w:tc>
      </w:tr>
      <w:tr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/v1/admin/freeze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POST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Risk Admin</w:t>
            </w:r>
          </w:p>
        </w:tc>
        <w:tc>
          <w:tcPr>
            <w:tcW w:type="dxa" w:w="260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Freeze subject/obligation/chain/policy.</w:t>
            </w:r>
          </w:p>
        </w:tc>
      </w:tr>
    </w:tbl>
    <w:p/>
    <w:p>
      <w:pPr>
        <w:pStyle w:val="Heading3"/>
      </w:pPr>
      <w:r>
        <w:rPr>
          <w:rFonts w:ascii="Noto Sans CJK SC" w:hAnsi="Noto Sans CJK SC" w:eastAsia="Noto Sans CJK SC"/>
        </w:rPr>
        <w:t>19.4 SQL / Event Store Core Tables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>CREATE TABLE subjects (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subject_id TEXT PRIMARY KEY,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subject_type TEXT NOT NULL CHECK (subject_type IN ('HUMAN','AGENT','ORG','ORIGINATOR')),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principal_id TEXT NOT NULL,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did TEXT,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status TEXT NOT NULL,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risk_tier TEXT NOT NULL,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metadata_ref TEXT,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schema_version TEXT NOT NULL,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created_at TIMESTAMPTZ NOT NULL,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updated_at TIMESTAMPTZ NOT NULL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>);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>CREATE TABLE account_bindings (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subject_id TEXT NOT NULL REFERENCES subjects(subject_id),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caip10_account TEXT NOT NULL,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purpose TEXT NOT NULL,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verification_method TEXT NOT NULL,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status TEXT NOT NULL,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verified_at TIMESTAMPTZ NOT NULL,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PRIMARY KEY(subject_id, caip10_account)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>);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>CREATE TABLE obligations (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obligation_id TEXT PRIMARY KEY,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subject_id TEXT NOT NULL REFERENCES subjects(subject_id),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principal_id TEXT NOT NULL,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originator_id TEXT,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obligation_type TEXT NOT NULL,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asset_chain_id TEXT NOT NULL,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asset_address TEXT NOT NULL,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asset_decimals INT NOT NULL,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principal_amount NUMERIC(78,0) NOT NULL,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outstanding_principal NUMERIC(78,0) NOT NULL,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accrued_fees NUMERIC(78,0) NOT NULL,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repaid_amount NUMERIC(78,0) NOT NULL DEFAULT 0,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due_at TIMESTAMPTZ NOT NULL,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status TEXT NOT NULL,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spend_policy_id TEXT NOT NULL,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cashflow_route_id TEXT NOT NULL,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schema_version TEXT NOT NULL,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created_at TIMESTAMPTZ NOT NULL,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updated_at TIMESTAMPTZ NOT NULL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>);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>CREATE TABLE credit_events (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event_id TEXT PRIMARY KEY,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event_type TEXT NOT NULL,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subject_id TEXT NOT NULL,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obligation_id TEXT,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chain_id TEXT,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tx_hash TEXT,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log_index INT,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block_number BIGINT,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finality_status TEXT NOT NULL,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payload_hash TEXT NOT NULL,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payload_ref TEXT,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occurred_at TIMESTAMPTZ NOT NULL,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indexed_at TIMESTAMPTZ NOT NULL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>);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>CREATE TABLE loan_tape_records (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facility_id TEXT NOT NULL,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originator_id TEXT NOT NULL,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tape_date DATE NOT NULL,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borrower_ref TEXT NOT NULL,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loan_ref TEXT NOT NULL,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origination_date DATE,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original_amount NUMERIC(78,0) NOT NULL,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outstanding_principal NUMERIC(78,0) NOT NULL,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days_past_due INT NOT NULL DEFAULT 0,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status TEXT NOT NULL,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record_hash TEXT NOT NULL,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PRIMARY KEY(facility_id, tape_date, loan_ref)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>);</w:t>
      </w:r>
    </w:p>
    <w:p>
      <w:pPr>
        <w:pStyle w:val="Heading2"/>
      </w:pPr>
      <w:r>
        <w:rPr>
          <w:rFonts w:ascii="Noto Sans CJK SC" w:hAnsi="Noto Sans CJK SC" w:eastAsia="Noto Sans CJK SC"/>
        </w:rPr>
        <w:t>20. 安全、风控、测试、运维</w:t>
      </w:r>
    </w:p>
    <w:p>
      <w:pPr>
        <w:pStyle w:val="Heading3"/>
      </w:pPr>
      <w:r>
        <w:rPr>
          <w:rFonts w:ascii="Noto Sans CJK SC" w:hAnsi="Noto Sans CJK SC" w:eastAsia="Noto Sans CJK SC"/>
        </w:rPr>
        <w:t>20.1 安全基线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top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层</w:t>
            </w:r>
          </w:p>
        </w:tc>
        <w:tc>
          <w:tcPr>
            <w:tcW w:type="dxa" w:w="5213"/>
            <w:vAlign w:val="top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要求</w:t>
            </w:r>
          </w:p>
        </w:tc>
        <w:trPr>
          <w:tblHeader/>
        </w:trPr>
      </w:tr>
      <w:tr>
        <w:tc>
          <w:tcPr>
            <w:tcW w:type="dxa" w:w="521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Smart Contracts</w:t>
            </w:r>
          </w:p>
        </w:tc>
        <w:tc>
          <w:tcPr>
            <w:tcW w:type="dxa" w:w="521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Solidity ^0.8.24；OpenZeppelin 5.x；SafeERC20；ReentrancyGuard；Pausable；AccessControl；自定义错误；NatSpec；事件完整；禁止未审计库。</w:t>
            </w:r>
          </w:p>
        </w:tc>
      </w:tr>
      <w:tr>
        <w:tc>
          <w:tcPr>
            <w:tcW w:type="dxa" w:w="521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Upgradeability</w:t>
            </w:r>
          </w:p>
        </w:tc>
        <w:tc>
          <w:tcPr>
            <w:tcW w:type="dxa" w:w="521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只在必要模块使用 UUPS/Transparent proxy；storage layout append-only；升级必须 timelock + multisig + audit；历史 events 不可重写。</w:t>
            </w:r>
          </w:p>
        </w:tc>
      </w:tr>
      <w:tr>
        <w:tc>
          <w:tcPr>
            <w:tcW w:type="dxa" w:w="521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Funds Movement</w:t>
            </w:r>
          </w:p>
        </w:tc>
        <w:tc>
          <w:tcPr>
            <w:tcW w:type="dxa" w:w="521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所有资金转移必须经过 spend policy / repayment waterfall / cap check；所有 token decimals normalize；禁止任意 recipient。</w:t>
            </w:r>
          </w:p>
        </w:tc>
      </w:tr>
      <w:tr>
        <w:tc>
          <w:tcPr>
            <w:tcW w:type="dxa" w:w="521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Cross-chain</w:t>
            </w:r>
          </w:p>
        </w:tc>
        <w:tc>
          <w:tcPr>
            <w:tcW w:type="dxa" w:w="521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adapter allowlist；message nonce；expiry；source/destination chain verification；replay protection；bridge exposure cap。</w:t>
            </w:r>
          </w:p>
        </w:tc>
      </w:tr>
      <w:tr>
        <w:tc>
          <w:tcPr>
            <w:tcW w:type="dxa" w:w="521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Identity</w:t>
            </w:r>
          </w:p>
        </w:tc>
        <w:tc>
          <w:tcPr>
            <w:tcW w:type="dxa" w:w="521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EIP-712 domain separation；签名 nonce；expiry；device/KYC reference 不上链；账户撤销与恢复流程。</w:t>
            </w:r>
          </w:p>
        </w:tc>
      </w:tr>
      <w:tr>
        <w:tc>
          <w:tcPr>
            <w:tcW w:type="dxa" w:w="521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Operations</w:t>
            </w:r>
          </w:p>
        </w:tc>
        <w:tc>
          <w:tcPr>
            <w:tcW w:type="dxa" w:w="521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role-based access；break-glass pause；incident runbook；audit log；admin action approval。</w:t>
            </w:r>
          </w:p>
        </w:tc>
      </w:tr>
      <w:tr>
        <w:tc>
          <w:tcPr>
            <w:tcW w:type="dxa" w:w="521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Data</w:t>
            </w:r>
          </w:p>
        </w:tc>
        <w:tc>
          <w:tcPr>
            <w:tcW w:type="dxa" w:w="521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PII encrypted offchain；hash/reference onchain；least privilege access；data retention policy；DPA review。</w:t>
            </w:r>
          </w:p>
        </w:tc>
      </w:tr>
    </w:tbl>
    <w:p/>
    <w:p>
      <w:pPr>
        <w:pStyle w:val="Heading3"/>
      </w:pPr>
      <w:r>
        <w:rPr>
          <w:rFonts w:ascii="Noto Sans CJK SC" w:hAnsi="Noto Sans CJK SC" w:eastAsia="Noto Sans CJK SC"/>
        </w:rPr>
        <w:t>20.2 风控不变量</w:t>
      </w:r>
    </w:p>
    <w:p>
      <w:pPr>
        <w:pStyle w:val="ListNumber"/>
      </w:pPr>
      <w:r>
        <w:rPr>
          <w:rFonts w:ascii="Noto Sans CJK SC" w:hAnsi="Noto Sans CJK SC" w:eastAsia="Noto Sans CJK SC"/>
        </w:rPr>
        <w:t>outstanding = principal + accrued_fees + penalties - repayments - writeoffs。</w:t>
      </w:r>
    </w:p>
    <w:p>
      <w:pPr>
        <w:pStyle w:val="ListNumber"/>
      </w:pPr>
      <w:r>
        <w:rPr>
          <w:rFonts w:ascii="Noto Sans CJK SC" w:hAnsi="Noto Sans CJK SC" w:eastAsia="Noto Sans CJK SC"/>
        </w:rPr>
        <w:t>任意 obligation 的 spend 必须满足 spendPolicy.checkSpend == true。</w:t>
      </w:r>
    </w:p>
    <w:p>
      <w:pPr>
        <w:pStyle w:val="ListNumber"/>
      </w:pPr>
      <w:r>
        <w:rPr>
          <w:rFonts w:ascii="Noto Sans CJK SC" w:hAnsi="Noto Sans CJK SC" w:eastAsia="Noto Sans CJK SC"/>
        </w:rPr>
        <w:t>subject aggregate utilization across all chains &lt;= global credit limit。</w:t>
      </w:r>
    </w:p>
    <w:p>
      <w:pPr>
        <w:pStyle w:val="ListNumber"/>
      </w:pPr>
      <w:r>
        <w:rPr>
          <w:rFonts w:ascii="Noto Sans CJK SC" w:hAnsi="Noto Sans CJK SC" w:eastAsia="Noto Sans CJK SC"/>
        </w:rPr>
        <w:t>per-chain utilization &lt;= chain cap；per-asset utilization &lt;= asset cap；per-provider spend &lt;= provider cap。</w:t>
      </w:r>
    </w:p>
    <w:p>
      <w:pPr>
        <w:pStyle w:val="ListNumber"/>
      </w:pPr>
      <w:r>
        <w:rPr>
          <w:rFonts w:ascii="Noto Sans CJK SC" w:hAnsi="Noto Sans CJK SC" w:eastAsia="Noto Sans CJK SC"/>
        </w:rPr>
        <w:t>没有 active cashflow route 的 subject 不能获得 lending，只能获得 prepaid spend management。</w:t>
      </w:r>
    </w:p>
    <w:p>
      <w:pPr>
        <w:pStyle w:val="ListNumber"/>
      </w:pPr>
      <w:r>
        <w:rPr>
          <w:rFonts w:ascii="Noto Sans CJK SC" w:hAnsi="Noto Sans CJK SC" w:eastAsia="Noto Sans CJK SC"/>
        </w:rPr>
        <w:t>Agent obligation 必须绑定经济责任主体 principal。</w:t>
      </w:r>
    </w:p>
    <w:p>
      <w:pPr>
        <w:pStyle w:val="ListNumber"/>
      </w:pPr>
      <w:r>
        <w:rPr>
          <w:rFonts w:ascii="Noto Sans CJK SC" w:hAnsi="Noto Sans CJK SC" w:eastAsia="Noto Sans CJK SC"/>
        </w:rPr>
        <w:t>Human production obligation 必须绑定 originatorId 和 facilityId。</w:t>
      </w:r>
    </w:p>
    <w:p>
      <w:pPr>
        <w:pStyle w:val="ListNumber"/>
      </w:pPr>
      <w:r>
        <w:rPr>
          <w:rFonts w:ascii="Noto Sans CJK SC" w:hAnsi="Noto Sans CJK SC" w:eastAsia="Noto Sans CJK SC"/>
        </w:rPr>
        <w:t>Originator facility 没有 first-loss、daily loan tape、stop-loss covenant 时不得 active。</w:t>
      </w:r>
    </w:p>
    <w:p>
      <w:pPr>
        <w:pStyle w:val="ListNumber"/>
      </w:pPr>
      <w:r>
        <w:rPr>
          <w:rFonts w:ascii="Noto Sans CJK SC" w:hAnsi="Noto Sans CJK SC" w:eastAsia="Noto Sans CJK SC"/>
        </w:rPr>
        <w:t>stop-loss 触发后不得新增放款，但可以继续收款和还款。</w:t>
      </w:r>
    </w:p>
    <w:p>
      <w:pPr>
        <w:pStyle w:val="ListNumber"/>
      </w:pPr>
      <w:r>
        <w:rPr>
          <w:rFonts w:ascii="Noto Sans CJK SC" w:hAnsi="Noto Sans CJK SC" w:eastAsia="Noto Sans CJK SC"/>
        </w:rPr>
        <w:t>原始 PII、KYC、passport、device fingerprint 不得写入链上 event payload。</w:t>
      </w:r>
    </w:p>
    <w:p>
      <w:pPr>
        <w:pStyle w:val="Heading3"/>
      </w:pPr>
      <w:r>
        <w:rPr>
          <w:rFonts w:ascii="Noto Sans CJK SC" w:hAnsi="Noto Sans CJK SC" w:eastAsia="Noto Sans CJK SC"/>
        </w:rPr>
        <w:t>20.3 测试策略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top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3"/>
              </w:rPr>
              <w:t>测试类型</w:t>
            </w:r>
          </w:p>
        </w:tc>
        <w:tc>
          <w:tcPr>
            <w:tcW w:type="dxa" w:w="3475"/>
            <w:vAlign w:val="top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3"/>
              </w:rPr>
              <w:t>范围</w:t>
            </w:r>
          </w:p>
        </w:tc>
        <w:tc>
          <w:tcPr>
            <w:tcW w:type="dxa" w:w="3475"/>
            <w:vAlign w:val="top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3"/>
              </w:rPr>
              <w:t>必须覆盖</w:t>
            </w:r>
          </w:p>
        </w:tc>
        <w:trPr>
          <w:tblHeader/>
        </w:trPr>
      </w:tr>
      <w:tr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Unit Tests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每个合约 / service / schema。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状态转换、权限、签名、rounding、fee accrual、spend check。</w:t>
            </w:r>
          </w:p>
        </w:tc>
      </w:tr>
      <w:tr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Fuzz / Property Tests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资金和状态机。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任意输入下不违反 outstanding、cap、policy、status machine 不变量。</w:t>
            </w:r>
          </w:p>
        </w:tc>
      </w:tr>
      <w:tr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Invariant Tests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Foundry / Echidna。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锁仓、还款、释放、freeze、default、tranche waterfall。</w:t>
            </w:r>
          </w:p>
        </w:tc>
      </w:tr>
      <w:tr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Integration Tests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Portal + backend + contracts + indexer。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完整 Agent onboarding → spend → revenue → repayment → release。</w:t>
            </w:r>
          </w:p>
        </w:tc>
      </w:tr>
      <w:tr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Cross-chain Simulation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多链 indexer + finality + cap。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同一 subject 多链重复授信、reorg、message replay、bridge delay。</w:t>
            </w:r>
          </w:p>
        </w:tc>
      </w:tr>
      <w:tr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Loan Tape Tests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Originator facility。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缺字段、重复 loan、DPD 异常、延迟、hash mismatch、stop-loss。</w:t>
            </w:r>
          </w:p>
        </w:tc>
      </w:tr>
      <w:tr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Security Tests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资金转移与权限。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reentrancy、ERC20 false return、malicious token、paused state、role escalation。</w:t>
            </w:r>
          </w:p>
        </w:tc>
      </w:tr>
      <w:tr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Load Tests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API、indexer、event store。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高频 Agent spend、x402 provider events、webhook retry。</w:t>
            </w:r>
          </w:p>
        </w:tc>
      </w:tr>
      <w:tr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Chaos Tests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RPC down、chain reorg、provider outage。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系统进入 degraded / paused，不产生重复授信。</w:t>
            </w:r>
          </w:p>
        </w:tc>
      </w:tr>
    </w:tbl>
    <w:p/>
    <w:p>
      <w:pPr>
        <w:pStyle w:val="Heading3"/>
      </w:pPr>
      <w:r>
        <w:rPr>
          <w:rFonts w:ascii="Noto Sans CJK SC" w:hAnsi="Noto Sans CJK SC" w:eastAsia="Noto Sans CJK SC"/>
        </w:rPr>
        <w:t>20.4 监控与告警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top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Metric</w:t>
            </w:r>
          </w:p>
        </w:tc>
        <w:tc>
          <w:tcPr>
            <w:tcW w:type="dxa" w:w="3475"/>
            <w:vAlign w:val="top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Alert Threshold</w:t>
            </w:r>
          </w:p>
        </w:tc>
        <w:tc>
          <w:tcPr>
            <w:tcW w:type="dxa" w:w="3475"/>
            <w:vAlign w:val="top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Action</w:t>
            </w:r>
          </w:p>
        </w:tc>
        <w:trPr>
          <w:tblHeader/>
        </w:trPr>
      </w:tr>
      <w:tr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revenue_capture_ratio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&lt; 90% for subject / route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Auto downgrade limit; risk review.</w:t>
            </w:r>
          </w:p>
        </w:tc>
      </w:tr>
      <w:tr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repayment_success_rate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&lt; 95% rolling 7 days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Pause new credit for affected cohort.</w:t>
            </w:r>
          </w:p>
        </w:tc>
      </w:tr>
      <w:tr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gross_loss_30d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&gt; 3%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Risk committee review; cap reduction.</w:t>
            </w:r>
          </w:p>
        </w:tc>
      </w:tr>
      <w:tr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chain_exposure_utilization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&gt; 80% of cap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Block new issuance on chain.</w:t>
            </w:r>
          </w:p>
        </w:tc>
      </w:tr>
      <w:tr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loan_tape_delay_hours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&gt; 24h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Facility warning; &gt;48h stop-loss.</w:t>
            </w:r>
          </w:p>
        </w:tc>
      </w:tr>
      <w:tr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dpd_30_rate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&gt; covenant threshold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Stop-loss; originator review.</w:t>
            </w:r>
          </w:p>
        </w:tc>
      </w:tr>
      <w:tr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unexpected_recipient_spend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&gt; 0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P0 incident; freeze policy.</w:t>
            </w:r>
          </w:p>
        </w:tc>
      </w:tr>
      <w:tr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indexer_lag_blocks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&gt; finality threshold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Mark chain degraded; stop credit increases.</w:t>
            </w:r>
          </w:p>
        </w:tc>
      </w:tr>
      <w:tr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admin_high_risk_action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any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Require audit log + multisig evidence.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21. 交付计划与工程组织</w:t>
      </w:r>
    </w:p>
    <w:p>
      <w:pPr>
        <w:pStyle w:val="Heading3"/>
      </w:pPr>
      <w:r>
        <w:rPr>
          <w:rFonts w:ascii="Noto Sans CJK SC" w:hAnsi="Noto Sans CJK SC" w:eastAsia="Noto Sans CJK SC"/>
        </w:rPr>
        <w:t>21.1 推荐团队结构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top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团队</w:t>
            </w:r>
          </w:p>
        </w:tc>
        <w:tc>
          <w:tcPr>
            <w:tcW w:type="dxa" w:w="3475"/>
            <w:vAlign w:val="top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职责</w:t>
            </w:r>
          </w:p>
        </w:tc>
        <w:tc>
          <w:tcPr>
            <w:tcW w:type="dxa" w:w="3475"/>
            <w:vAlign w:val="top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MVP 人员建议</w:t>
            </w:r>
          </w:p>
        </w:tc>
        <w:trPr>
          <w:tblHeader/>
        </w:trPr>
      </w:tr>
      <w:tr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Protocol / Smart Contract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合约架构、资金安全、接口、测试、审计。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2-3 senior Solidity engineers + 1 security lead</w:t>
            </w:r>
          </w:p>
        </w:tc>
      </w:tr>
      <w:tr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Backend / Data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API、event store、indexer、risk engine、loan tape。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3 backend/data engineers</w:t>
            </w:r>
          </w:p>
        </w:tc>
      </w:tr>
      <w:tr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Frontend / Product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Developer Portal、Admin/Risk Console、Borrower prototype。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 frontend engineers + 1 product designer</w:t>
            </w:r>
          </w:p>
        </w:tc>
      </w:tr>
      <w:tr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Risk / Quant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规则额度、现金流覆盖、cohort analysis、loss monitoring。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1-2 risk/quant specialists</w:t>
            </w:r>
          </w:p>
        </w:tc>
      </w:tr>
      <w:tr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DevRel / SDK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TypeScript/Python SDK、docs、provider integration。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1-2 developer relations engineers</w:t>
            </w:r>
          </w:p>
        </w:tc>
      </w:tr>
      <w:tr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Security / QA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test strategy、fuzzing、monitoring、incident runbook。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 security engineer + QA automation</w:t>
            </w:r>
          </w:p>
        </w:tc>
      </w:tr>
      <w:tr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Compliance / Ops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Originator contracts、KYC/VC boundary、market review。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 compliance ops + external counsel</w:t>
            </w:r>
          </w:p>
        </w:tc>
      </w:tr>
    </w:tbl>
    <w:p/>
    <w:p>
      <w:pPr>
        <w:pStyle w:val="Heading3"/>
      </w:pPr>
      <w:r>
        <w:rPr>
          <w:rFonts w:ascii="Noto Sans CJK SC" w:hAnsi="Noto Sans CJK SC" w:eastAsia="Noto Sans CJK SC"/>
        </w:rPr>
        <w:t>21.2 Repository Structure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>ipo-one/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contracts/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  src/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    registry/SubjectRegistry.sol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    registry/PrincipalRegistry.sol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    obligation/ObligationRegistry.sol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    lockbox/AgentLockbox.sol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    policy/SpendPolicyManager.sol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    repayment/RepaymentRouter.sol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    attestation/AttestationRegistry.sol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    facility/OriginatorFacility.sol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    vault/CapitalVault.sol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    chain/ChainRegistry.sol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  test/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  script/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  audits/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services/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  api-gateway/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  risk-engine/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  event-indexer/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  repayment-service/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  loan-tape-service/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  attestation-service/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  reconciliation-service/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apps/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  developer-portal/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  admin-risk-console/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  originator-console/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  borrower-prototype/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sdk/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  typescript/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  python/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  go/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schemas/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  json-schema/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  protobuf/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  openapi/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docs/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  adr/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  runbooks/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  integration-guides/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  security/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infra/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  terraform/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  k8s/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  monitoring/</w:t>
      </w:r>
    </w:p>
    <w:p>
      <w:pPr>
        <w:pStyle w:val="CodeBlock"/>
        <w:shd w:fill="F6F6F6"/>
      </w:pPr>
      <w:r>
        <w:rPr>
          <w:rFonts w:ascii="Courier New" w:hAnsi="Courier New" w:eastAsia="Courier New"/>
          <w:sz w:val="14"/>
        </w:rPr>
        <w:t xml:space="preserve">    ci-cd/</w:t>
      </w:r>
    </w:p>
    <w:p>
      <w:pPr>
        <w:pStyle w:val="Heading3"/>
      </w:pPr>
      <w:r>
        <w:rPr>
          <w:rFonts w:ascii="Noto Sans CJK SC" w:hAnsi="Noto Sans CJK SC" w:eastAsia="Noto Sans CJK SC"/>
        </w:rPr>
        <w:t>21.3 24 周 MVP 交付节奏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top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周期</w:t>
            </w:r>
          </w:p>
        </w:tc>
        <w:tc>
          <w:tcPr>
            <w:tcW w:type="dxa" w:w="3475"/>
            <w:vAlign w:val="top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交付</w:t>
            </w:r>
          </w:p>
        </w:tc>
        <w:tc>
          <w:tcPr>
            <w:tcW w:type="dxa" w:w="3475"/>
            <w:vAlign w:val="top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验收</w:t>
            </w:r>
          </w:p>
        </w:tc>
        <w:trPr>
          <w:tblHeader/>
        </w:trPr>
      </w:tr>
      <w:tr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Week 0-2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ADR finalized、schema v1、repo scaffolding、threat model。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所有核心对象和状态机 freeze v1。</w:t>
            </w:r>
          </w:p>
        </w:tc>
      </w:tr>
      <w:tr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Week 3-6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Subject/Principal/Obligation/SpendPolicy/ChainRegistry 合约和服务。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unit + property tests；account binding test vectors。</w:t>
            </w:r>
          </w:p>
        </w:tc>
      </w:tr>
      <w:tr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Week 7-10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Agent Lockbox、Repayment Router、provider allowlist、risk rules v0。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完整 local e2e：create → spend → revenue → repay。</w:t>
            </w:r>
          </w:p>
        </w:tc>
      </w:tr>
      <w:tr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Week 11-14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Developer Portal alpha、Admin/Risk Console alpha、indexer alpha。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内部团队可操作 Agent lifecycle；事件可重建状态。</w:t>
            </w:r>
          </w:p>
        </w:tc>
      </w:tr>
      <w:tr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Week 15-18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Testnet launch、SDK alpha、provider integration pilot。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10-20 pilot agents 跑测试网闭环。</w:t>
            </w:r>
          </w:p>
        </w:tc>
      </w:tr>
      <w:tr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Week 19-22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Security review、fuzz/invariant、monitoring、incident runbook。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无 P0/P1 unresolved；pause/freeze 演练通过。</w:t>
            </w:r>
          </w:p>
        </w:tc>
      </w:tr>
      <w:tr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Week 23-24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Limited mainnet production。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small capital cap；50-100 Agent onboarding 计划；daily risk report。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22. 附录：参考资料与核验清单</w:t>
      </w:r>
    </w:p>
    <w:p>
      <w:pPr>
        <w:pStyle w:val="Heading3"/>
      </w:pPr>
      <w:r>
        <w:rPr>
          <w:rFonts w:ascii="Noto Sans CJK SC" w:hAnsi="Noto Sans CJK SC" w:eastAsia="Noto Sans CJK SC"/>
        </w:rPr>
        <w:t>22.1 内部资料依据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top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资料</w:t>
            </w:r>
          </w:p>
        </w:tc>
        <w:tc>
          <w:tcPr>
            <w:tcW w:type="dxa" w:w="5213"/>
            <w:vAlign w:val="top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提取出的约束</w:t>
            </w:r>
          </w:p>
        </w:tc>
        <w:trPr>
          <w:tblHeader/>
        </w:trPr>
      </w:tr>
      <w:tr>
        <w:tc>
          <w:tcPr>
            <w:tcW w:type="dxa" w:w="521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Principle.txt</w:t>
            </w:r>
          </w:p>
        </w:tc>
        <w:tc>
          <w:tcPr>
            <w:tcW w:type="dxa" w:w="521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第一性原理、参考 Aave/Goldfinch/Compound/OpenZeppelin/ERC-4626、hybrid PD、risk-tiered pools、tranching、KYC via partners、DID/anti-sybil、production-grade Solidity、ADR-first 输出。</w:t>
            </w:r>
          </w:p>
        </w:tc>
      </w:tr>
      <w:tr>
        <w:tc>
          <w:tcPr>
            <w:tcW w:type="dxa" w:w="521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IPO_one_Comprehensive_Startup_Proposal.md</w:t>
            </w:r>
          </w:p>
        </w:tc>
        <w:tc>
          <w:tcPr>
            <w:tcW w:type="dxa" w:w="521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放弃直接放贷，做信用与流动性路由；Agent PayFi 是第一破局点；渐进式信任；Originator first-loss；五层复合商业模式。</w:t>
            </w:r>
          </w:p>
        </w:tc>
      </w:tr>
      <w:tr>
        <w:tc>
          <w:tcPr>
            <w:tcW w:type="dxa" w:w="521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IPO_one_v3_2_Startup_Proposal.md</w:t>
            </w:r>
          </w:p>
        </w:tc>
        <w:tc>
          <w:tcPr>
            <w:tcW w:type="dxa" w:w="521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IPO.one 是人机经济信用协议层；Obligation 是最小原语；I-P-O primitive；统一 Human/Agent lifecycle；Obligation Graph、Cashflow Routing、Attester Registry、Risk + Capital Routing 四层护城河。</w:t>
            </w:r>
          </w:p>
        </w:tc>
      </w:tr>
      <w:tr>
        <w:tc>
          <w:tcPr>
            <w:tcW w:type="dxa" w:w="521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本轮对话产品规划</w:t>
            </w:r>
          </w:p>
        </w:tc>
        <w:tc>
          <w:tcPr>
            <w:tcW w:type="dxa" w:w="521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Agent-first 但 Human-compatible from Day 1；Base-supported not Base-only；多链从 CAIP-2/10、chain-agnostic obligation ID、event indexing、per-chain caps 开始。</w:t>
            </w:r>
          </w:p>
        </w:tc>
      </w:tr>
    </w:tbl>
    <w:p/>
    <w:p>
      <w:pPr>
        <w:pStyle w:val="Heading3"/>
      </w:pPr>
      <w:r>
        <w:rPr>
          <w:rFonts w:ascii="Noto Sans CJK SC" w:hAnsi="Noto Sans CJK SC" w:eastAsia="Noto Sans CJK SC"/>
        </w:rPr>
        <w:t>22.2 外部标准与事实核验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top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3"/>
              </w:rPr>
              <w:t>来源</w:t>
            </w:r>
          </w:p>
        </w:tc>
        <w:tc>
          <w:tcPr>
            <w:tcW w:type="dxa" w:w="3475"/>
            <w:vAlign w:val="top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3"/>
              </w:rPr>
              <w:t>核验内容</w:t>
            </w:r>
          </w:p>
        </w:tc>
        <w:tc>
          <w:tcPr>
            <w:tcW w:type="dxa" w:w="3475"/>
            <w:vAlign w:val="top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3"/>
              </w:rPr>
              <w:t>URL</w:t>
            </w:r>
          </w:p>
        </w:tc>
        <w:trPr>
          <w:tblHeader/>
        </w:trPr>
      </w:tr>
      <w:tr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W3C DID Core v1.0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W3C Recommendation, 19 July 2022；DID 支持人、组织、事物等主体并通过 DID document 表达验证方法。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https://www.w3.org/TR/did-core/</w:t>
            </w:r>
          </w:p>
        </w:tc>
      </w:tr>
      <w:tr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W3C Verifiable Credentials Data Model v2.0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W3C Recommendation, 15 May 2025；VC 用 issuer-holder-verifier 模型表达可验证 claims。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https://www.w3.org/TR/vc-data-model-2.0/</w:t>
            </w:r>
          </w:p>
        </w:tc>
      </w:tr>
      <w:tr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CAIP-2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Final standard；定义跨生态 blockchain ID，例如 eip155:1。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https://standards.chainagnostic.org/CAIPs/caip-2</w:t>
            </w:r>
          </w:p>
        </w:tc>
      </w:tr>
      <w:tr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CAIP-10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Final standard；定义任意 CAIP-2 链上的 account ID，例如 eip155:1:0x...。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https://standards.chainagnostic.org/CAIPs/caip-10</w:t>
            </w:r>
          </w:p>
        </w:tc>
      </w:tr>
      <w:tr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EIP-155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Simple replay attack protection；将 chain ID 加入交易签名。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https://eips.ethereum.org/EIPS/eip-155</w:t>
            </w:r>
          </w:p>
        </w:tc>
      </w:tr>
      <w:tr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EIP-712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Typed structured data hashing and signing；包含 domain separator 和 chainId 字段。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https://eips.ethereum.org/EIPS/eip-712</w:t>
            </w:r>
          </w:p>
        </w:tc>
      </w:tr>
      <w:tr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ERC-4626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Tokenized Vaults standard；标准化 vault deposit/withdraw/share accounting。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https://eips.ethereum.org/EIPS/eip-4626</w:t>
            </w:r>
          </w:p>
        </w:tc>
      </w:tr>
      <w:tr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OpenZeppelin Contracts 5.x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Secure smart contract library；role-based permissioning、standards implementations、audited releases。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https://docs.openzeppelin.com/contracts/5.x/</w:t>
            </w:r>
          </w:p>
        </w:tc>
      </w:tr>
      <w:tr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Coinbase x402 Docs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Open payment protocol for instant automatic stablecoin payments over HTTP；supports human developers and AI agents, multi-network, CAIP-2, EVM/Solana。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https://docs.cdp.coinbase.com/x402/welcome</w:t>
            </w:r>
          </w:p>
        </w:tc>
      </w:tr>
      <w:tr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Circle CCTP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Native USDC cross-chain transfer via burn on source and mint on destination, without traditional bridge liquidity pools or wrapped tokens。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https://developers.circle.com/cctp</w:t>
            </w:r>
          </w:p>
        </w:tc>
      </w:tr>
      <w:tr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Chainlink CCIP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Cross-chain token/message/programmable transfer；includes rate limiting and timelocked upgrades in security model。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https://docs.chain.link/ccip</w:t>
            </w:r>
          </w:p>
        </w:tc>
      </w:tr>
      <w:tr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DefiLlama Stablecoins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Market data source；2026-07-01 page showed total stablecoin market cap about $311.485B. Dynamic figure, refresh before publication。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https://defillama.com/stablecoins</w:t>
            </w:r>
          </w:p>
        </w:tc>
      </w:tr>
      <w:tr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Visa Onchain Analytics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Dashboard for fiat-backed stablecoin flows across public blockchains, powered with Allium data。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https://visaonchainanalytics.com/</w:t>
            </w:r>
          </w:p>
        </w:tc>
      </w:tr>
      <w:tr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RWA.xyz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Industry data platform for tokenized real-world assets across public blockchains。</w:t>
            </w:r>
          </w:p>
        </w:tc>
        <w:tc>
          <w:tcPr>
            <w:tcW w:type="dxa" w:w="347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https://rwa.xyz/</w:t>
            </w:r>
          </w:p>
        </w:tc>
      </w:tr>
    </w:tbl>
    <w:p/>
    <w:p>
      <w:pPr>
        <w:pStyle w:val="Heading3"/>
      </w:pPr>
      <w:r>
        <w:rPr>
          <w:rFonts w:ascii="Noto Sans CJK SC" w:hAnsi="Noto Sans CJK SC" w:eastAsia="Noto Sans CJK SC"/>
        </w:rPr>
        <w:t>22.3 交叉检查结论</w:t>
      </w:r>
    </w:p>
    <w:p>
      <w:pPr>
        <w:pStyle w:val="ListNumber"/>
      </w:pPr>
      <w:r>
        <w:rPr>
          <w:rFonts w:ascii="Noto Sans CJK SC" w:hAnsi="Noto Sans CJK SC" w:eastAsia="Noto Sans CJK SC"/>
        </w:rPr>
        <w:t>商业定位与工程架构一致：不是 lending app，而是 obligation protocol。</w:t>
      </w:r>
    </w:p>
    <w:p>
      <w:pPr>
        <w:pStyle w:val="ListNumber"/>
      </w:pPr>
      <w:r>
        <w:rPr>
          <w:rFonts w:ascii="Noto Sans CJK SC" w:hAnsi="Noto Sans CJK SC" w:eastAsia="Noto Sans CJK SC"/>
        </w:rPr>
        <w:t>MVP 收敛足够窄：只做有收入 Agent 的小额用途限定 credit，不做人类真实放贷。</w:t>
      </w:r>
    </w:p>
    <w:p>
      <w:pPr>
        <w:pStyle w:val="ListNumber"/>
      </w:pPr>
      <w:r>
        <w:rPr>
          <w:rFonts w:ascii="Noto Sans CJK SC" w:hAnsi="Noto Sans CJK SC" w:eastAsia="Noto Sans CJK SC"/>
        </w:rPr>
        <w:t>Human 扩展没有被推迟到 V2 才设计：V0 schema 即支持 Human lifecycle。</w:t>
      </w:r>
    </w:p>
    <w:p>
      <w:pPr>
        <w:pStyle w:val="ListNumber"/>
      </w:pPr>
      <w:r>
        <w:rPr>
          <w:rFonts w:ascii="Noto Sans CJK SC" w:hAnsi="Noto Sans CJK SC" w:eastAsia="Noto Sans CJK SC"/>
        </w:rPr>
        <w:t>多链兼容没有依赖某一条链：Base 只是首发候选，核心 ID 与事件模型使用链无关标准。</w:t>
      </w:r>
    </w:p>
    <w:p>
      <w:pPr>
        <w:pStyle w:val="ListNumber"/>
      </w:pPr>
      <w:r>
        <w:rPr>
          <w:rFonts w:ascii="Noto Sans CJK SC" w:hAnsi="Noto Sans CJK SC" w:eastAsia="Noto Sans CJK SC"/>
        </w:rPr>
        <w:t>风险纪律嵌入产品：first-loss、loan tape、stop-loss、cap、pause、finality policy 都是系统功能。</w:t>
      </w:r>
    </w:p>
    <w:p>
      <w:pPr>
        <w:pStyle w:val="ListNumber"/>
      </w:pPr>
      <w:r>
        <w:rPr>
          <w:rFonts w:ascii="Noto Sans CJK SC" w:hAnsi="Noto Sans CJK SC" w:eastAsia="Noto Sans CJK SC"/>
        </w:rPr>
        <w:t>没有把未经验证的市场预测写成确定事实：商业预测以假设和 KPI 表达，需在融资材料中继续做实时市场数据刷新。</w:t>
      </w:r>
    </w:p>
    <w:p>
      <w:pPr>
        <w:pStyle w:val="ListNumber"/>
      </w:pPr>
      <w:r>
        <w:rPr>
          <w:rFonts w:ascii="Noto Sans CJK SC" w:hAnsi="Noto Sans CJK SC" w:eastAsia="Noto Sans CJK SC"/>
        </w:rPr>
        <w:t>架构避免“未来推倒重来”的关键是：versioned schemas、adapter pattern、event-sourced state、immutable history、limited upgradeability、chain-agnostic identifiers。</w:t>
      </w:r>
    </w:p>
    <w:p>
      <w:r>
        <w:rPr>
          <w:rFonts w:ascii="Noto Sans CJK SC" w:hAnsi="Noto Sans CJK SC" w:eastAsia="Noto Sans CJK SC"/>
        </w:rPr>
        <w:t>最后判断：这份文档定义的是一个可从 MVP 开始、同时不堵死人类扩张、多链扩张、Originator facility、RWA credit、机构资本路由和 Credit Passport 的产品架构。它不能保证未来永远不发生任何演进，但已经把未来变化隔离在 adapter、schema version、policy module、facility module 和 chain execution layer 内，避免核心协议对象被推倒重建。</w:t>
      </w:r>
    </w:p>
    <w:p>
      <w:pPr>
        <w:pStyle w:val="Heading2"/>
      </w:pPr>
      <w:r>
        <w:rPr>
          <w:rFonts w:ascii="Noto Sans CJK SC" w:hAnsi="Noto Sans CJK SC" w:eastAsia="Noto Sans CJK SC"/>
        </w:rPr>
        <w:t>End State</w:t>
      </w:r>
    </w:p>
    <w:p>
      <w:r>
        <w:rPr>
          <w:rFonts w:ascii="Noto Sans CJK SC" w:hAnsi="Noto Sans CJK SC" w:eastAsia="Noto Sans CJK SC"/>
        </w:rPr>
        <w:t>IPO.one 的最终形态是 Human-Agent Economy 的默认 Obligation Standard：人类、AI Agent、开发者、商户、Originator、钱包、DeFi 协议、机构资金和 RWA 市场，都可以用同一套机器可读规则表达信用义务、现金流、还款、违约与信用证明。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5" w:right="907" w:bottom="822" w:left="90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46464"/>
        <w:sz w:val="16"/>
      </w:rPr>
      <w:t>IPO.one Product Description + Business Plan + Technical PRD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64"/>
    </w:pPr>
    <w:rPr>
      <w:rFonts w:ascii="Noto Sans CJK SC" w:hAnsi="Noto Sans CJK SC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E1E1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E1E1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8282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2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E1E1E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80" w:line="240" w:lineRule="auto"/>
      <w:ind w:left="198" w:right="113"/>
    </w:pPr>
    <w:rPr>
      <w:rFonts w:ascii="Courier New" w:hAnsi="Courier New" w:eastAsia="Courier New"/>
      <w:sz w:val="14"/>
    </w:rPr>
  </w:style>
  <w:style w:type="paragraph" w:customStyle="1" w:styleId="Small">
    <w:name w:val="Small"/>
    <w:pPr>
      <w:spacing w:after="40"/>
    </w:pPr>
    <w:rPr>
      <w:rFonts w:ascii="Noto Sans CJK SC" w:hAnsi="Noto Sans CJK SC" w:eastAsia="Noto Sans CJK S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IPO.one Product Description and Technical PRD</dc:title>
  <dc:subject>Business Plan + Technical PRD for IPO.one / IPo1</dc:subject>
  <dc:creator>OpenAI GPT-5.5 Pro</dc:creator>
  <cp:keywords/>
  <dc:description>Generated for IPO.one project; source-validated with internal documents and public standards.</dc:description>
  <cp:lastModifiedBy/>
  <cp:revision>1</cp:revision>
  <dcterms:created xsi:type="dcterms:W3CDTF">2026-07-01T14:34:27Z</dcterms:created>
  <dcterms:modified xsi:type="dcterms:W3CDTF">2026-07-01T14:34:27Z</dcterms:modified>
  <cp:category/>
</cp:coreProperties>
</file>