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rFonts w:ascii="Noto Sans" w:hAnsi="Noto Sans"/>
          <w:b/>
          <w:color w:val="0B1F33"/>
          <w:sz w:val="64"/>
        </w:rPr>
        <w:t>IPO.ONE</w:t>
      </w:r>
    </w:p>
    <w:p>
      <w:pPr>
        <w:pStyle w:val="Subtitle"/>
        <w:jc w:val="center"/>
      </w:pPr>
      <w:r>
        <w:rPr>
          <w:rFonts w:ascii="Noto Sans" w:hAnsi="Noto Sans" w:eastAsia="Noto Sans"/>
          <w:b/>
          <w:i w:val="0"/>
          <w:smallCaps w:val="0"/>
          <w:color w:val="4A5864"/>
          <w:sz w:val="25"/>
        </w:rPr>
        <w:t>OFFICIAL WHITEPAPER</w:t>
      </w:r>
    </w:p>
    <w:p/>
    <w:p>
      <w:pPr>
        <w:jc w:val="center"/>
      </w:pPr>
      <w:r>
        <w:rPr>
          <w:rFonts w:ascii="Noto Sans" w:hAnsi="Noto Sans" w:eastAsia="Noto Sans"/>
          <w:b/>
          <w:color w:val="0B1F33"/>
          <w:sz w:val="36"/>
        </w:rPr>
        <w:t>The Native Credit &amp; Obligation Protocol for the Human-Agent Economy</w:t>
      </w:r>
    </w:p>
    <w:p>
      <w:pPr>
        <w:jc w:val="center"/>
      </w:pPr>
      <w:r>
        <w:rPr>
          <w:rFonts w:ascii="Noto Sans" w:hAnsi="Noto Sans" w:eastAsia="Noto Sans"/>
          <w:b/>
          <w:color w:val="00A7A5"/>
          <w:sz w:val="25"/>
        </w:rPr>
        <w:t>One kernel. Dual-native access. Continuous intelligence. Interoperable capital and settlement.</w:t>
      </w:r>
    </w:p>
    <w:p/>
    <w:p>
      <w:pPr>
        <w:jc w:val="center"/>
      </w:pPr>
      <w:r>
        <w:rPr>
          <w:rFonts w:ascii="Noto Sans" w:hAnsi="Noto Sans" w:eastAsia="Noto Sans"/>
          <w:color w:val="364450"/>
          <w:sz w:val="22"/>
        </w:rPr>
        <w:t>IPO.ONE enables humans and autonomous Agents to build portable credit, access competitive lender-funded offers, and carry verified performance across applications, institutions and rails.</w:t>
      </w:r>
    </w:p>
    <w:p/>
    <w:p/>
    <w:tbl>
      <w:tblPr>
        <w:tblW w:type="auto" w:w="0"/>
        <w:jc w:val="center"/>
        <w:tblLayout w:type="autofit"/>
        <w:tblLook w:firstColumn="1" w:firstRow="1" w:lastColumn="0" w:lastRow="0" w:noHBand="0" w:noVBand="1" w:val="04A0"/>
      </w:tblPr>
      <w:tblGrid>
        <w:gridCol w:w="9835"/>
      </w:tblGrid>
      <w:tr>
        <w:tc>
          <w:tcPr>
            <w:tcW w:type="dxa" w:w="9835"/>
            <w:shd w:fill="E7F8F6"/>
            <w:tcMar>
              <w:top w:w="110" w:type="dxa"/>
              <w:start w:w="140" w:type="dxa"/>
              <w:bottom w:w="110" w:type="dxa"/>
              <w:end w:w="140" w:type="dxa"/>
            </w:tcMar>
            <w:tcBorders>
              <w:top w:val="single" w:sz="8" w:color="00A7A5"/>
              <w:left w:val="single" w:sz="8" w:color="00A7A5"/>
              <w:bottom w:val="single" w:sz="8" w:color="00A7A5"/>
              <w:right w:val="single" w:sz="8" w:color="00A7A5"/>
            </w:tcBorders>
          </w:tcPr>
          <w:p>
            <w:pPr>
              <w:spacing w:after="40"/>
            </w:pPr>
            <w:r>
              <w:rPr>
                <w:rFonts w:ascii="Noto Sans" w:hAnsi="Noto Sans" w:eastAsia="Noto Sans"/>
                <w:b/>
                <w:color w:val="00A7A5"/>
                <w:sz w:val="16"/>
              </w:rPr>
              <w:t>FOUNDATIONAL PROPOSITION</w:t>
            </w:r>
          </w:p>
          <w:p>
            <w:pPr>
              <w:spacing w:after="0"/>
            </w:pPr>
            <w:r>
              <w:rPr>
                <w:rFonts w:ascii="Noto Sans" w:hAnsi="Noto Sans" w:eastAsia="Noto Sans"/>
                <w:b/>
                <w:color w:val="0B1F33"/>
                <w:sz w:val="18"/>
              </w:rPr>
              <w:t>Credit should be programmable, portable and progressively earned. IPO.ONE coordinates identity, evidence, intelligence, authorization, obligations, capital and settlement, without requiring IPO.ONE to become the balance-sheet lender.</w:t>
            </w:r>
          </w:p>
        </w:tc>
        <w:trPr>
          <w:tblHeader/>
        </w:trPr>
      </w:tr>
    </w:tbl>
    <w:p>
      <w:pPr>
        <w:spacing w:after="0"/>
      </w:pPr>
    </w:p>
    <w:p/>
    <w:p>
      <w:pPr>
        <w:jc w:val="center"/>
      </w:pPr>
      <w:r>
        <w:rPr>
          <w:rFonts w:ascii="Noto Sans" w:hAnsi="Noto Sans" w:eastAsia="Noto Sans"/>
          <w:b/>
          <w:color w:val="5E6A75"/>
          <w:sz w:val="17"/>
        </w:rPr>
        <w:t>FOUNDING EDITION  |  JULY 2026</w:t>
      </w:r>
    </w:p>
    <w:p>
      <w:r>
        <w:rPr>
          <w:rFonts w:ascii="Noto Sans" w:hAnsi="Noto Sans"/>
        </w:rPr>
        <w:br w:type="page"/>
      </w:r>
    </w:p>
    <w:p>
      <w:pPr>
        <w:pStyle w:val="Heading1"/>
        <w:keepNext/>
      </w:pPr>
      <w:r>
        <w:rPr>
          <w:rFonts w:ascii="Noto Sans" w:hAnsi="Noto Sans" w:eastAsia="Noto Sans"/>
        </w:rPr>
        <w:t>Foundational Thesis and Scope</w:t>
      </w:r>
    </w:p>
    <w:p>
      <w:r>
        <w:rPr>
          <w:rFonts w:ascii="Noto Sans" w:hAnsi="Noto Sans" w:eastAsia="Noto Sans"/>
        </w:rPr>
        <w:t>The next economy will be shaped by humans and autonomous Agents acting in the same markets. IPO.ONE provides the native credit and obligation protocol for that mixed economy: one deterministic kernel through which both can establish responsibility, connect permitted evidence, access competing external capital, create bounded obligations, settle across interoperable rails and convert verified performance into better future terms. This whitepaper defines the founding product thesis, protocol architecture, commercial entry strategy, risk boundaries and evidence-gated roadmap. It is not an offer of credit or securities, or legal or investment advice.</w:t>
      </w:r>
    </w:p>
    <w:p>
      <w:pPr>
        <w:pStyle w:val="Heading2"/>
        <w:keepNext/>
      </w:pPr>
      <w:r>
        <w:rPr>
          <w:rFonts w:ascii="Noto Sans" w:hAnsi="Noto Sans" w:eastAsia="Noto Sans"/>
        </w:rPr>
        <w:t>Six Founding Commitments</w:t>
      </w:r>
    </w:p>
    <w:p>
      <w:r>
        <w:rPr>
          <w:rFonts w:ascii="Noto Sans" w:hAnsi="Noto Sans" w:eastAsia="Noto Sans"/>
        </w:rPr>
        <w:t>IPO.ONE is built around six enduring commitments:</w:t>
      </w:r>
    </w:p>
    <w:p>
      <w:pPr>
        <w:pStyle w:val="ListBullet"/>
        <w:spacing w:after="32"/>
      </w:pPr>
      <w:r>
        <w:rPr>
          <w:rFonts w:ascii="Noto Sans" w:hAnsi="Noto Sans" w:eastAsia="Noto Sans"/>
          <w:b/>
        </w:rPr>
        <w:t xml:space="preserve">Dual-native by design. </w:t>
      </w:r>
      <w:r>
        <w:rPr>
          <w:rFonts w:ascii="Noto Sans" w:hAnsi="Noto Sans" w:eastAsia="Noto Sans"/>
        </w:rPr>
        <w:t>Humans and autonomous Agents are equal first-class Subjects; their entry paths normalize into the same canonical credit objects, obligations and state transitions.</w:t>
      </w:r>
    </w:p>
    <w:p>
      <w:pPr>
        <w:pStyle w:val="ListBullet"/>
        <w:spacing w:after="32"/>
      </w:pPr>
      <w:r>
        <w:rPr>
          <w:rFonts w:ascii="Noto Sans" w:hAnsi="Noto Sans" w:eastAsia="Noto Sans"/>
          <w:b/>
        </w:rPr>
        <w:t xml:space="preserve">External capital, neutral coordination. </w:t>
      </w:r>
      <w:r>
        <w:rPr>
          <w:rFonts w:ascii="Noto Sans" w:hAnsi="Noto Sans" w:eastAsia="Noto Sans"/>
        </w:rPr>
        <w:t>Banks, fintechs, Originators, private credit and on-chain facilities provide capital; IPO.ONE provides intelligence, routing, evidence and canonical state.</w:t>
      </w:r>
    </w:p>
    <w:p>
      <w:pPr>
        <w:pStyle w:val="ListBullet"/>
        <w:spacing w:after="32"/>
      </w:pPr>
      <w:r>
        <w:rPr>
          <w:rFonts w:ascii="Noto Sans" w:hAnsi="Noto Sans" w:eastAsia="Noto Sans"/>
          <w:b/>
        </w:rPr>
        <w:t xml:space="preserve">Continuous intelligence, bounded authority. </w:t>
      </w:r>
      <w:r>
        <w:rPr>
          <w:rFonts w:ascii="Noto Sans" w:hAnsi="Noto Sans" w:eastAsia="Noto Sans"/>
        </w:rPr>
        <w:t>Verified outcomes improve credit conditions and capital allocation, while lender-approved policy and the deterministic kernel remain the execution boundary.</w:t>
      </w:r>
    </w:p>
    <w:p>
      <w:pPr>
        <w:pStyle w:val="ListBullet"/>
        <w:spacing w:after="32"/>
      </w:pPr>
      <w:r>
        <w:rPr>
          <w:rFonts w:ascii="Noto Sans" w:hAnsi="Noto Sans" w:eastAsia="Noto Sans"/>
          <w:b/>
        </w:rPr>
        <w:t xml:space="preserve">Rail-agnostic from inception. </w:t>
      </w:r>
      <w:r>
        <w:rPr>
          <w:rFonts w:ascii="Noto Sans" w:hAnsi="Noto Sans" w:eastAsia="Noto Sans"/>
        </w:rPr>
        <w:t>Traditional and on-chain environments are native execution domains connected through replaceable, monitored adapters.</w:t>
      </w:r>
    </w:p>
    <w:p>
      <w:pPr>
        <w:pStyle w:val="ListBullet"/>
        <w:spacing w:after="32"/>
      </w:pPr>
      <w:r>
        <w:rPr>
          <w:rFonts w:ascii="Noto Sans" w:hAnsi="Noto Sans" w:eastAsia="Noto Sans"/>
          <w:b/>
        </w:rPr>
        <w:t xml:space="preserve">Portable progress. </w:t>
      </w:r>
      <w:r>
        <w:rPr>
          <w:rFonts w:ascii="Noto Sans" w:hAnsi="Noto Sans" w:eastAsia="Noto Sans"/>
        </w:rPr>
        <w:t>Responsible economic behavior becomes reusable credit history, allowing previously invisible humans and Agents to earn better access over time.</w:t>
      </w:r>
    </w:p>
    <w:p>
      <w:pPr>
        <w:pStyle w:val="ListBullet"/>
        <w:spacing w:after="32"/>
      </w:pPr>
      <w:r>
        <w:rPr>
          <w:rFonts w:ascii="Noto Sans" w:hAnsi="Noto Sans" w:eastAsia="Noto Sans"/>
          <w:b/>
        </w:rPr>
        <w:t xml:space="preserve">Evidence before expansion. </w:t>
      </w:r>
      <w:r>
        <w:rPr>
          <w:rFonts w:ascii="Noto Sans" w:hAnsi="Noto Sans" w:eastAsia="Noto Sans"/>
        </w:rPr>
        <w:t>Product scope, capital and autonomy scale only when real cohorts demonstrate demand, safety, fairness, resilience and positive risk-adjusted economics.</w:t>
      </w:r>
    </w:p>
    <w:tbl>
      <w:tblPr>
        <w:tblStyle w:val="TableGrid"/>
        <w:tblW w:type="auto" w:w="0"/>
        <w:jc w:val="center"/>
        <w:tblLayout w:type="autofit"/>
        <w:tblLook w:firstColumn="1" w:firstRow="1" w:lastColumn="0" w:lastRow="0" w:noHBand="0" w:noVBand="1" w:val="04A0"/>
      </w:tblPr>
      <w:tblGrid>
        <w:gridCol w:w="4917"/>
        <w:gridCol w:w="4917"/>
      </w:tblGrid>
      <w:tr>
        <w:trPr>
          <w:tblHeader w:val="true"/>
          <w:cantSplit/>
        </w:trPr>
        <w:tc>
          <w:tcPr>
            <w:tcW w:type="dxa" w:w="4917"/>
            <w:shd w:fill="0B1F33"/>
            <w:tcMar>
              <w:top w:w="70" w:type="dxa"/>
              <w:start w:w="85" w:type="dxa"/>
              <w:bottom w:w="70" w:type="dxa"/>
              <w:end w:w="85" w:type="dxa"/>
            </w:tcMar>
            <w:vAlign w:val="center"/>
          </w:tcPr>
          <w:p>
            <w:r>
              <w:rPr>
                <w:rFonts w:ascii="Noto Sans" w:hAnsi="Noto Sans" w:eastAsia="Noto Sans"/>
                <w:b/>
                <w:color w:val="FFFFFF"/>
                <w:sz w:val="17"/>
              </w:rPr>
              <w:t>Interpretive category</w:t>
            </w:r>
          </w:p>
        </w:tc>
        <w:tc>
          <w:tcPr>
            <w:tcW w:type="dxa" w:w="4917"/>
            <w:shd w:fill="0B1F33"/>
            <w:tcMar>
              <w:top w:w="70" w:type="dxa"/>
              <w:start w:w="85" w:type="dxa"/>
              <w:bottom w:w="70" w:type="dxa"/>
              <w:end w:w="85" w:type="dxa"/>
            </w:tcMar>
            <w:vAlign w:val="center"/>
          </w:tcPr>
          <w:p>
            <w:r>
              <w:rPr>
                <w:rFonts w:ascii="Noto Sans" w:hAnsi="Noto Sans" w:eastAsia="Noto Sans"/>
                <w:b/>
                <w:color w:val="FFFFFF"/>
                <w:sz w:val="17"/>
              </w:rPr>
              <w:t>Meaning</w:t>
            </w:r>
          </w:p>
        </w:tc>
      </w:tr>
      <w:tr>
        <w:trPr>
          <w:cantSplit/>
        </w:trPr>
        <w:tc>
          <w:tcPr>
            <w:tcW w:type="dxa" w:w="4917"/>
            <w:tcMar>
              <w:top w:w="70" w:type="dxa"/>
              <w:start w:w="85" w:type="dxa"/>
              <w:bottom w:w="70" w:type="dxa"/>
              <w:end w:w="85" w:type="dxa"/>
            </w:tcMar>
            <w:vAlign w:val="top"/>
          </w:tcPr>
          <w:p>
            <w:r>
              <w:rPr>
                <w:rFonts w:ascii="Noto Sans" w:hAnsi="Noto Sans" w:eastAsia="Noto Sans"/>
                <w:sz w:val="16"/>
              </w:rPr>
              <w:t>Protocol requirement</w:t>
            </w:r>
          </w:p>
        </w:tc>
        <w:tc>
          <w:tcPr>
            <w:tcW w:type="dxa" w:w="4917"/>
            <w:tcMar>
              <w:top w:w="70" w:type="dxa"/>
              <w:start w:w="85" w:type="dxa"/>
              <w:bottom w:w="70" w:type="dxa"/>
              <w:end w:w="85" w:type="dxa"/>
            </w:tcMar>
            <w:vAlign w:val="top"/>
          </w:tcPr>
          <w:p>
            <w:r>
              <w:rPr>
                <w:rFonts w:ascii="Noto Sans" w:hAnsi="Noto Sans" w:eastAsia="Noto Sans"/>
                <w:sz w:val="16"/>
              </w:rPr>
              <w:t>A compatibility, accountability or safety rule that implementations must preserve.</w:t>
            </w:r>
          </w:p>
        </w:tc>
      </w:tr>
      <w:tr>
        <w:trPr>
          <w:cantSplit/>
        </w:trPr>
        <w:tc>
          <w:tcPr>
            <w:tcW w:type="dxa" w:w="4917"/>
            <w:shd w:fill="F3F6F8"/>
            <w:tcMar>
              <w:top w:w="70" w:type="dxa"/>
              <w:start w:w="85" w:type="dxa"/>
              <w:bottom w:w="70" w:type="dxa"/>
              <w:end w:w="85" w:type="dxa"/>
            </w:tcMar>
            <w:vAlign w:val="top"/>
          </w:tcPr>
          <w:p>
            <w:r>
              <w:rPr>
                <w:rFonts w:ascii="Noto Sans" w:hAnsi="Noto Sans" w:eastAsia="Noto Sans"/>
                <w:sz w:val="16"/>
              </w:rPr>
              <w:t>Target system</w:t>
            </w:r>
          </w:p>
        </w:tc>
        <w:tc>
          <w:tcPr>
            <w:tcW w:type="dxa" w:w="4917"/>
            <w:shd w:fill="F3F6F8"/>
            <w:tcMar>
              <w:top w:w="70" w:type="dxa"/>
              <w:start w:w="85" w:type="dxa"/>
              <w:bottom w:w="70" w:type="dxa"/>
              <w:end w:w="85" w:type="dxa"/>
            </w:tcMar>
            <w:vAlign w:val="top"/>
          </w:tcPr>
          <w:p>
            <w:r>
              <w:rPr>
                <w:rFonts w:ascii="Noto Sans" w:hAnsi="Noto Sans" w:eastAsia="Noto Sans"/>
                <w:sz w:val="16"/>
              </w:rPr>
              <w:t>A staged system capability; not a representation that every component is already deployed.</w:t>
            </w:r>
          </w:p>
        </w:tc>
      </w:tr>
      <w:tr>
        <w:trPr>
          <w:cantSplit/>
        </w:trPr>
        <w:tc>
          <w:tcPr>
            <w:tcW w:type="dxa" w:w="4917"/>
            <w:tcMar>
              <w:top w:w="70" w:type="dxa"/>
              <w:start w:w="85" w:type="dxa"/>
              <w:bottom w:w="70" w:type="dxa"/>
              <w:end w:w="85" w:type="dxa"/>
            </w:tcMar>
            <w:vAlign w:val="top"/>
          </w:tcPr>
          <w:p>
            <w:r>
              <w:rPr>
                <w:rFonts w:ascii="Noto Sans" w:hAnsi="Noto Sans" w:eastAsia="Noto Sans"/>
                <w:sz w:val="16"/>
              </w:rPr>
              <w:t>Commercial hypothesis</w:t>
            </w:r>
          </w:p>
        </w:tc>
        <w:tc>
          <w:tcPr>
            <w:tcW w:type="dxa" w:w="4917"/>
            <w:tcMar>
              <w:top w:w="70" w:type="dxa"/>
              <w:start w:w="85" w:type="dxa"/>
              <w:bottom w:w="70" w:type="dxa"/>
              <w:end w:w="85" w:type="dxa"/>
            </w:tcMar>
            <w:vAlign w:val="top"/>
          </w:tcPr>
          <w:p>
            <w:r>
              <w:rPr>
                <w:rFonts w:ascii="Noto Sans" w:hAnsi="Noto Sans" w:eastAsia="Noto Sans"/>
                <w:sz w:val="16"/>
              </w:rPr>
              <w:t>A market, pricing or risk proposition that must be validated with real cohorts and partners.</w:t>
            </w:r>
          </w:p>
        </w:tc>
      </w:tr>
      <w:tr>
        <w:trPr>
          <w:cantSplit/>
        </w:trPr>
        <w:tc>
          <w:tcPr>
            <w:tcW w:type="dxa" w:w="4917"/>
            <w:shd w:fill="F3F6F8"/>
            <w:tcMar>
              <w:top w:w="70" w:type="dxa"/>
              <w:start w:w="85" w:type="dxa"/>
              <w:bottom w:w="70" w:type="dxa"/>
              <w:end w:w="85" w:type="dxa"/>
            </w:tcMar>
            <w:vAlign w:val="top"/>
          </w:tcPr>
          <w:p>
            <w:r>
              <w:rPr>
                <w:rFonts w:ascii="Noto Sans" w:hAnsi="Noto Sans" w:eastAsia="Noto Sans"/>
                <w:sz w:val="16"/>
              </w:rPr>
              <w:t>Illustrative threshold</w:t>
            </w:r>
          </w:p>
        </w:tc>
        <w:tc>
          <w:tcPr>
            <w:tcW w:type="dxa" w:w="4917"/>
            <w:shd w:fill="F3F6F8"/>
            <w:tcMar>
              <w:top w:w="70" w:type="dxa"/>
              <w:start w:w="85" w:type="dxa"/>
              <w:bottom w:w="70" w:type="dxa"/>
              <w:end w:w="85" w:type="dxa"/>
            </w:tcMar>
            <w:vAlign w:val="top"/>
          </w:tcPr>
          <w:p>
            <w:r>
              <w:rPr>
                <w:rFonts w:ascii="Noto Sans" w:hAnsi="Noto Sans" w:eastAsia="Noto Sans"/>
                <w:sz w:val="16"/>
              </w:rPr>
              <w:t>A provisional evidence gate to be calibrated by product, jurisdiction, borrower protection and risk appetite.</w:t>
            </w:r>
          </w:p>
        </w:tc>
      </w:tr>
    </w:tbl>
    <w:p>
      <w:pPr>
        <w:spacing w:after="0"/>
      </w:pPr>
    </w:p>
    <w:p>
      <w:r>
        <w:rPr>
          <w:rFonts w:ascii="Noto Sans" w:hAnsi="Noto Sans"/>
        </w:rPr>
        <w:br w:type="page"/>
      </w:r>
    </w:p>
    <w:p>
      <w:pPr>
        <w:pStyle w:val="Heading1"/>
        <w:keepNext/>
      </w:pPr>
      <w:r>
        <w:rPr>
          <w:rFonts w:ascii="Noto Sans" w:hAnsi="Noto Sans"/>
        </w:rPr>
        <w:t>Abstract</w:t>
      </w:r>
    </w:p>
    <w:p>
      <w:r>
        <w:rPr>
          <w:rFonts w:ascii="Noto Sans" w:hAnsi="Noto Sans"/>
        </w:rPr>
        <w:t>IPO.ONE is a dual-native credit and obligation protocol designed from first principles for the human–Agent economy. Humans and autonomous Agents are equal first-class Subjects of one canonical system: each can establish identity and responsibility, connect permitted evidence, request credit, receive an explainable offer, create a bounded Obligation, repay through an approved rail and carry verified performance forward.</w:t>
      </w:r>
    </w:p>
    <w:p>
      <w:r>
        <w:rPr>
          <w:rFonts w:ascii="Noto Sans" w:hAnsi="Noto Sans"/>
        </w:rPr>
        <w:t>Account access alone does not complete financial inclusion. The World Bank reports that 79% of adults globally now have an account, while only 56% can reliably access extra money in an emergency; 84% of adults in low- and middle-income economies own a mobile phone. Many economically active people still lack a trusted mechanism that converts lawful cash flow and repayment into portable credit. Autonomous Agents face the parallel structural gap: they can transact, but usually lack portable credit state, explicit responsibility, bounded authority and a standardized path to borrow against verified future payment capacity. [1]</w:t>
      </w:r>
    </w:p>
    <w:p>
      <w:r>
        <w:rPr>
          <w:rFonts w:ascii="Noto Sans" w:hAnsi="Noto Sans"/>
        </w:rPr>
        <w:t>IPO.ONE implements Single Kernel, Dual Entry. Human applications and embedded interfaces, and Agent-native protocols including APIs, SDKs, MCP and A2A, enter through separate adapters but normalize into the same Subjects, Principals, Intents, Credit Profiles, Offers, Authorizations, Obligations, Repayment Events and Credit States. Product, legal and risk differences are expressed through versioned policy profiles rather than separate protocol forks.</w:t>
      </w:r>
    </w:p>
    <w:p>
      <w:r>
        <w:rPr>
          <w:rFonts w:ascii="Noto Sans" w:hAnsi="Noto Sans"/>
        </w:rPr>
        <w:t>The Credit Intelligence Network is a core product plane. It continuously learns from verified cash flow, repayment, utilization, execution quality, Mandate compliance, disputes, recoveries, rail performance and economic outcomes. It automatically improves risk estimates, score calibration, eligibility, capacity, tenor, pricing, next-best interventions and capital routing at individual, cohort and network levels. Models may observe, forecast and propose; only lender-approved policy inside the deterministic kernel may authorize exposure or alter financial state.</w:t>
      </w:r>
    </w:p>
    <w:p>
      <w:r>
        <w:rPr>
          <w:rFonts w:ascii="Noto Sans" w:hAnsi="Noto Sans"/>
        </w:rPr>
        <w:t>The protocol is rail-agnostic and supports traditional and on-chain environments from inception. External providers perform KYC/KYB and provide evidence; licensed Originators, lenders and capital facilities supply regulated credit and funds. Multi-Rail Adapters execute account binding, transaction submission, event observation, finality confirmation and reconciliation without making the kernel dependent on a bank, chain, wallet, payment protocol or Agent runtime.</w:t>
      </w:r>
    </w:p>
    <w:p>
      <w:r>
        <w:rPr>
          <w:rFonts w:ascii="Noto Sans" w:hAnsi="Noto Sans"/>
        </w:rPr>
        <w:t>The first PMF wedge remains cash-flow-backed productive credit for digitally observable humans and autonomous businesses with limited traditional credit history. The long-term objective is a neutral, continuously improving protocol through which humans and Agents build portable credit and multiple off-chain or on-chain capital providers compete to finance qualified obligations.</w:t>
      </w:r>
    </w:p>
    <w:p>
      <w:pPr>
        <w:jc w:val="center"/>
      </w:pPr>
      <w:r>
        <w:rPr>
          <w:rFonts w:ascii="Noto Sans" w:hAnsi="Noto Sans"/>
        </w:rPr>
        <w:drawing>
          <wp:inline xmlns:a="http://schemas.openxmlformats.org/drawingml/2006/main" xmlns:pic="http://schemas.openxmlformats.org/drawingml/2006/picture">
            <wp:extent cx="6172200" cy="3300462"/>
            <wp:docPr id="1" name="Picture 1" title="Figure 1 — IPO.ONE uses Single Kernel, Dual Entry: humans and Agents share canonical credit state, continuous intelligence and rail-agnostic execution." descr="Architecture showing human and Agent access adapters, a shared IPO.ONE credit and obligation kernel, external verification and lenders, and traditional and on-chain rail adapters."/>
            <wp:cNvGraphicFramePr>
              <a:graphicFrameLocks noChangeAspect="1"/>
            </wp:cNvGraphicFramePr>
            <a:graphic>
              <a:graphicData uri="http://schemas.openxmlformats.org/drawingml/2006/picture">
                <pic:pic>
                  <pic:nvPicPr>
                    <pic:cNvPr id="0" name="universal_credit_network.png"/>
                    <pic:cNvPicPr/>
                  </pic:nvPicPr>
                  <pic:blipFill>
                    <a:blip r:embed="rId11"/>
                    <a:stretch>
                      <a:fillRect/>
                    </a:stretch>
                  </pic:blipFill>
                  <pic:spPr>
                    <a:xfrm>
                      <a:off x="0" y="0"/>
                      <a:ext cx="6172200" cy="3300462"/>
                    </a:xfrm>
                    <a:prstGeom prst="rect"/>
                  </pic:spPr>
                </pic:pic>
              </a:graphicData>
            </a:graphic>
          </wp:inline>
        </w:drawing>
      </w:r>
    </w:p>
    <w:p>
      <w:pPr>
        <w:spacing w:after="80"/>
        <w:jc w:val="center"/>
      </w:pPr>
      <w:r>
        <w:rPr>
          <w:rFonts w:ascii="Noto Sans" w:hAnsi="Noto Sans"/>
          <w:i/>
          <w:color w:val="5E6A75"/>
          <w:sz w:val="15"/>
        </w:rPr>
        <w:t>Figure 1 — IPO.ONE uses Single Kernel, Dual Entry: humans and Agents share canonical credit state, continuous intelligence and rail-agnostic execution.</w:t>
      </w:r>
    </w:p>
    <w:p>
      <w:r>
        <w:rPr>
          <w:rFonts w:ascii="Noto Sans" w:hAnsi="Noto Sans"/>
        </w:rPr>
        <w:br w:type="page"/>
      </w:r>
    </w:p>
    <w:p>
      <w:pPr>
        <w:pStyle w:val="Heading1"/>
        <w:keepNext/>
      </w:pPr>
      <w:r>
        <w:rPr>
          <w:rFonts w:ascii="Noto Sans" w:hAnsi="Noto Sans"/>
        </w:rPr>
        <w:t>Contents</w:t>
      </w:r>
    </w:p>
    <w:tbl>
      <w:tblPr>
        <w:tblStyle w:val="TableGrid"/>
        <w:tblW w:type="auto" w:w="0"/>
        <w:jc w:val="center"/>
        <w:tblLayout w:type="autofit"/>
        <w:tblLook w:firstColumn="1" w:firstRow="1" w:lastColumn="0" w:lastRow="0" w:noHBand="0" w:noVBand="1" w:val="04A0"/>
      </w:tblPr>
      <w:tblGrid>
        <w:gridCol w:w="3278"/>
        <w:gridCol w:w="3278"/>
        <w:gridCol w:w="3278"/>
      </w:tblGrid>
      <w:tr>
        <w:trPr>
          <w:tblHeader w:val="true"/>
          <w:cantSplit/>
        </w:trPr>
        <w:tc>
          <w:tcPr>
            <w:tcW w:type="dxa" w:w="3278"/>
            <w:shd w:fill="0B1F33"/>
            <w:tcMar>
              <w:top w:w="70" w:type="dxa"/>
              <w:start w:w="85" w:type="dxa"/>
              <w:bottom w:w="70" w:type="dxa"/>
              <w:end w:w="85" w:type="dxa"/>
            </w:tcMar>
            <w:vAlign w:val="center"/>
          </w:tcPr>
          <w:p>
            <w:pPr>
              <w:spacing w:after="0"/>
            </w:pPr>
            <w:r/>
            <w:r>
              <w:rPr>
                <w:rFonts w:ascii="Noto Sans" w:hAnsi="Noto Sans"/>
                <w:b/>
                <w:color w:val="FFFFFF"/>
                <w:sz w:val="16"/>
              </w:rPr>
              <w:t>Part</w:t>
            </w:r>
          </w:p>
        </w:tc>
        <w:tc>
          <w:tcPr>
            <w:tcW w:type="dxa" w:w="3278"/>
            <w:shd w:fill="0B1F33"/>
            <w:tcMar>
              <w:top w:w="70" w:type="dxa"/>
              <w:start w:w="85" w:type="dxa"/>
              <w:bottom w:w="70" w:type="dxa"/>
              <w:end w:w="85" w:type="dxa"/>
            </w:tcMar>
            <w:vAlign w:val="center"/>
          </w:tcPr>
          <w:p>
            <w:pPr>
              <w:spacing w:after="0"/>
            </w:pPr>
            <w:r/>
            <w:r>
              <w:rPr>
                <w:rFonts w:ascii="Noto Sans" w:hAnsi="Noto Sans"/>
                <w:b/>
                <w:color w:val="FFFFFF"/>
                <w:sz w:val="16"/>
              </w:rPr>
              <w:t>Focus</w:t>
            </w:r>
          </w:p>
        </w:tc>
        <w:tc>
          <w:tcPr>
            <w:tcW w:type="dxa" w:w="3278"/>
            <w:shd w:fill="0B1F33"/>
            <w:tcMar>
              <w:top w:w="70" w:type="dxa"/>
              <w:start w:w="85" w:type="dxa"/>
              <w:bottom w:w="70" w:type="dxa"/>
              <w:end w:w="85" w:type="dxa"/>
            </w:tcMar>
            <w:vAlign w:val="center"/>
          </w:tcPr>
          <w:p>
            <w:pPr>
              <w:spacing w:after="0"/>
            </w:pPr>
            <w:r/>
            <w:r>
              <w:rPr>
                <w:rFonts w:ascii="Noto Sans" w:hAnsi="Noto Sans"/>
                <w:b/>
                <w:color w:val="FFFFFF"/>
                <w:sz w:val="16"/>
              </w:rPr>
              <w:t>Sections</w:t>
            </w:r>
          </w:p>
        </w:tc>
      </w:tr>
      <w:tr>
        <w:trPr>
          <w:cantSplit/>
        </w:trPr>
        <w:tc>
          <w:tcPr>
            <w:tcW w:type="dxa" w:w="3278"/>
            <w:tcMar>
              <w:top w:w="70" w:type="dxa"/>
              <w:start w:w="85" w:type="dxa"/>
              <w:bottom w:w="70" w:type="dxa"/>
              <w:end w:w="85" w:type="dxa"/>
            </w:tcMar>
            <w:vAlign w:val="top"/>
          </w:tcPr>
          <w:p>
            <w:pPr>
              <w:spacing w:after="0"/>
            </w:pPr>
            <w:r/>
            <w:r>
              <w:rPr>
                <w:rFonts w:ascii="Noto Sans" w:hAnsi="Noto Sans"/>
                <w:color w:val="18212B"/>
                <w:sz w:val="16"/>
              </w:rPr>
              <w:t>I — Product and Market Thesis</w:t>
            </w:r>
          </w:p>
        </w:tc>
        <w:tc>
          <w:tcPr>
            <w:tcW w:type="dxa" w:w="3278"/>
            <w:tcMar>
              <w:top w:w="70" w:type="dxa"/>
              <w:start w:w="85" w:type="dxa"/>
              <w:bottom w:w="70" w:type="dxa"/>
              <w:end w:w="85" w:type="dxa"/>
            </w:tcMar>
            <w:vAlign w:val="top"/>
          </w:tcPr>
          <w:p>
            <w:pPr>
              <w:spacing w:after="0"/>
            </w:pPr>
            <w:r/>
            <w:r>
              <w:rPr>
                <w:rFonts w:ascii="Noto Sans" w:hAnsi="Noto Sans"/>
                <w:color w:val="18212B"/>
                <w:sz w:val="16"/>
              </w:rPr>
              <w:t>Why credit access remains fragmented; what IPO.ONE is and is not.</w:t>
            </w:r>
          </w:p>
        </w:tc>
        <w:tc>
          <w:tcPr>
            <w:tcW w:type="dxa" w:w="3278"/>
            <w:tcMar>
              <w:top w:w="70" w:type="dxa"/>
              <w:start w:w="85" w:type="dxa"/>
              <w:bottom w:w="70" w:type="dxa"/>
              <w:end w:w="85" w:type="dxa"/>
            </w:tcMar>
            <w:vAlign w:val="top"/>
          </w:tcPr>
          <w:p>
            <w:pPr>
              <w:spacing w:after="0"/>
            </w:pPr>
            <w:r/>
            <w:r>
              <w:rPr>
                <w:rFonts w:ascii="Noto Sans" w:hAnsi="Noto Sans"/>
                <w:color w:val="18212B"/>
                <w:sz w:val="16"/>
              </w:rPr>
              <w:t>1–4</w:t>
            </w:r>
          </w:p>
        </w:tc>
      </w:tr>
      <w:tr>
        <w:trPr>
          <w:cantSplit/>
        </w:trPr>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II — Borrowers, Lenders and Product Journeys</w:t>
            </w:r>
          </w:p>
        </w:tc>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Human, Agent and capital-provider workflows; product surfaces.</w:t>
            </w:r>
          </w:p>
        </w:tc>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5–9</w:t>
            </w:r>
          </w:p>
        </w:tc>
      </w:tr>
      <w:tr>
        <w:trPr>
          <w:cantSplit/>
        </w:trPr>
        <w:tc>
          <w:tcPr>
            <w:tcW w:type="dxa" w:w="3278"/>
            <w:tcMar>
              <w:top w:w="70" w:type="dxa"/>
              <w:start w:w="85" w:type="dxa"/>
              <w:bottom w:w="70" w:type="dxa"/>
              <w:end w:w="85" w:type="dxa"/>
            </w:tcMar>
            <w:vAlign w:val="top"/>
          </w:tcPr>
          <w:p>
            <w:pPr>
              <w:spacing w:after="0"/>
            </w:pPr>
            <w:r/>
            <w:r>
              <w:rPr>
                <w:rFonts w:ascii="Noto Sans" w:hAnsi="Noto Sans"/>
                <w:color w:val="18212B"/>
                <w:sz w:val="16"/>
              </w:rPr>
              <w:t>III — Credit Protocol and Intelligence</w:t>
            </w:r>
          </w:p>
        </w:tc>
        <w:tc>
          <w:tcPr>
            <w:tcW w:type="dxa" w:w="3278"/>
            <w:tcMar>
              <w:top w:w="70" w:type="dxa"/>
              <w:start w:w="85" w:type="dxa"/>
              <w:bottom w:w="70" w:type="dxa"/>
              <w:end w:w="85" w:type="dxa"/>
            </w:tcMar>
            <w:vAlign w:val="top"/>
          </w:tcPr>
          <w:p>
            <w:pPr>
              <w:spacing w:after="0"/>
            </w:pPr>
            <w:r/>
            <w:r>
              <w:rPr>
                <w:rFonts w:ascii="Noto Sans" w:hAnsi="Noto Sans"/>
                <w:color w:val="18212B"/>
                <w:sz w:val="16"/>
              </w:rPr>
              <w:t>Canonical objects, scoring, decisioning, routing, obligations and learning.</w:t>
            </w:r>
          </w:p>
        </w:tc>
        <w:tc>
          <w:tcPr>
            <w:tcW w:type="dxa" w:w="3278"/>
            <w:tcMar>
              <w:top w:w="70" w:type="dxa"/>
              <w:start w:w="85" w:type="dxa"/>
              <w:bottom w:w="70" w:type="dxa"/>
              <w:end w:w="85" w:type="dxa"/>
            </w:tcMar>
            <w:vAlign w:val="top"/>
          </w:tcPr>
          <w:p>
            <w:pPr>
              <w:spacing w:after="0"/>
            </w:pPr>
            <w:r/>
            <w:r>
              <w:rPr>
                <w:rFonts w:ascii="Noto Sans" w:hAnsi="Noto Sans"/>
                <w:color w:val="18212B"/>
                <w:sz w:val="16"/>
              </w:rPr>
              <w:t>10–17</w:t>
            </w:r>
          </w:p>
        </w:tc>
      </w:tr>
      <w:tr>
        <w:trPr>
          <w:cantSplit/>
        </w:trPr>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IV — Commercialization and Network Evolution</w:t>
            </w:r>
          </w:p>
        </w:tc>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PMF, economics, moat, roadmap and non-goals.</w:t>
            </w:r>
          </w:p>
        </w:tc>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18–22</w:t>
            </w:r>
          </w:p>
        </w:tc>
      </w:tr>
      <w:tr>
        <w:trPr>
          <w:cantSplit/>
        </w:trPr>
        <w:tc>
          <w:tcPr>
            <w:tcW w:type="dxa" w:w="3278"/>
            <w:tcMar>
              <w:top w:w="70" w:type="dxa"/>
              <w:start w:w="85" w:type="dxa"/>
              <w:bottom w:w="70" w:type="dxa"/>
              <w:end w:w="85" w:type="dxa"/>
            </w:tcMar>
            <w:vAlign w:val="top"/>
          </w:tcPr>
          <w:p>
            <w:pPr>
              <w:spacing w:after="0"/>
            </w:pPr>
            <w:r/>
            <w:r>
              <w:rPr>
                <w:rFonts w:ascii="Noto Sans" w:hAnsi="Noto Sans"/>
                <w:color w:val="18212B"/>
                <w:sz w:val="16"/>
              </w:rPr>
              <w:t>Appendices</w:t>
            </w:r>
          </w:p>
        </w:tc>
        <w:tc>
          <w:tcPr>
            <w:tcW w:type="dxa" w:w="3278"/>
            <w:tcMar>
              <w:top w:w="70" w:type="dxa"/>
              <w:start w:w="85" w:type="dxa"/>
              <w:bottom w:w="70" w:type="dxa"/>
              <w:end w:w="85" w:type="dxa"/>
            </w:tcMar>
            <w:vAlign w:val="top"/>
          </w:tcPr>
          <w:p>
            <w:pPr>
              <w:spacing w:after="0"/>
            </w:pPr>
            <w:r/>
            <w:r>
              <w:rPr>
                <w:rFonts w:ascii="Noto Sans" w:hAnsi="Noto Sans"/>
                <w:color w:val="18212B"/>
                <w:sz w:val="16"/>
              </w:rPr>
              <w:t>Object model, formulas, pilot scorecard, interoperability API, glossary and references.</w:t>
            </w:r>
          </w:p>
        </w:tc>
        <w:tc>
          <w:tcPr>
            <w:tcW w:type="dxa" w:w="3278"/>
            <w:tcMar>
              <w:top w:w="70" w:type="dxa"/>
              <w:start w:w="85" w:type="dxa"/>
              <w:bottom w:w="70" w:type="dxa"/>
              <w:end w:w="85" w:type="dxa"/>
            </w:tcMar>
            <w:vAlign w:val="top"/>
          </w:tcPr>
          <w:p>
            <w:pPr>
              <w:spacing w:after="0"/>
            </w:pPr>
            <w:r/>
            <w:r>
              <w:rPr>
                <w:rFonts w:ascii="Noto Sans" w:hAnsi="Noto Sans"/>
                <w:color w:val="18212B"/>
                <w:sz w:val="16"/>
              </w:rPr>
              <w:t>A–E</w:t>
            </w:r>
          </w:p>
        </w:tc>
      </w:tr>
    </w:tbl>
    <w:p>
      <w:pPr>
        <w:spacing w:after="0"/>
      </w:pPr>
    </w:p>
    <w:tbl>
      <w:tblPr>
        <w:tblW w:type="auto" w:w="0"/>
        <w:jc w:val="center"/>
        <w:tblLayout w:type="autofit"/>
        <w:tblLook w:firstColumn="1" w:firstRow="1" w:lastColumn="0" w:lastRow="0" w:noHBand="0" w:noVBand="1" w:val="04A0"/>
      </w:tblPr>
      <w:tblGrid>
        <w:gridCol w:w="9835"/>
      </w:tblGrid>
      <w:tr>
        <w:tc>
          <w:tcPr>
            <w:tcW w:type="dxa" w:w="9835"/>
            <w:shd w:fill="EAF0FF"/>
            <w:tcMar>
              <w:top w:w="110" w:type="dxa"/>
              <w:start w:w="140" w:type="dxa"/>
              <w:bottom w:w="110" w:type="dxa"/>
              <w:end w:w="140" w:type="dxa"/>
            </w:tcMar>
            <w:tcBorders>
              <w:top w:val="single" w:sz="8" w:color="2F6BFF"/>
              <w:left w:val="single" w:sz="8" w:color="2F6BFF"/>
              <w:bottom w:val="single" w:sz="8" w:color="2F6BFF"/>
              <w:right w:val="single" w:sz="8" w:color="2F6BFF"/>
            </w:tcBorders>
          </w:tcPr>
          <w:p>
            <w:pPr>
              <w:spacing w:after="40"/>
            </w:pPr>
            <w:r>
              <w:rPr>
                <w:rFonts w:ascii="Noto Sans" w:hAnsi="Noto Sans"/>
                <w:b/>
                <w:color w:val="2F6BFF"/>
                <w:sz w:val="16"/>
              </w:rPr>
              <w:t>READING SHORTCUT</w:t>
            </w:r>
          </w:p>
          <w:p>
            <w:pPr>
              <w:spacing w:after="0"/>
            </w:pPr>
            <w:r>
              <w:rPr>
                <w:rFonts w:ascii="Noto Sans" w:hAnsi="Noto Sans"/>
                <w:b/>
                <w:color w:val="0B1F33"/>
                <w:sz w:val="18"/>
              </w:rPr>
              <w:t>Investors can read the Executive Summary, Sections 2–4, 18–21 and the Conclusion. Product and technical teams should continue through Sections 10–17.</w:t>
            </w:r>
          </w:p>
        </w:tc>
        <w:trPr>
          <w:tblHeader/>
        </w:trPr>
      </w:tr>
    </w:tbl>
    <w:p>
      <w:pPr>
        <w:spacing w:after="0"/>
      </w:pPr>
    </w:p>
    <w:p>
      <w:r>
        <w:rPr>
          <w:rFonts w:ascii="Noto Sans" w:hAnsi="Noto Sans"/>
        </w:rPr>
        <w:br w:type="page"/>
      </w:r>
    </w:p>
    <w:p>
      <w:pPr>
        <w:pStyle w:val="Heading1"/>
        <w:keepNext/>
      </w:pPr>
      <w:r>
        <w:rPr>
          <w:rFonts w:ascii="Noto Sans" w:hAnsi="Noto Sans"/>
        </w:rPr>
        <w:t>Executive Summary</w:t>
      </w:r>
    </w:p>
    <w:p>
      <w:pPr>
        <w:pStyle w:val="Heading2"/>
        <w:keepNext/>
      </w:pPr>
      <w:r>
        <w:rPr>
          <w:rFonts w:ascii="Noto Sans" w:hAnsi="Noto Sans"/>
        </w:rPr>
        <w:t>Mission</w:t>
      </w:r>
    </w:p>
    <w:p>
      <w:r>
        <w:rPr>
          <w:rFonts w:ascii="Noto Sans" w:hAnsi="Noto Sans"/>
        </w:rPr>
        <w:t>Build the native credit and obligation layer for an economy in which humans and autonomous Agents participate on equal protocol terms—including Subjects without traditional credit files—and improve access through verified performance.</w:t>
      </w:r>
    </w:p>
    <w:p>
      <w:pPr>
        <w:pStyle w:val="Heading2"/>
        <w:keepNext/>
      </w:pPr>
      <w:r>
        <w:rPr>
          <w:rFonts w:ascii="Noto Sans" w:hAnsi="Noto Sans"/>
        </w:rPr>
        <w:t>Core product</w:t>
      </w:r>
    </w:p>
    <w:p>
      <w:r>
        <w:rPr>
          <w:rFonts w:ascii="Noto Sans" w:hAnsi="Noto Sans"/>
        </w:rPr>
        <w:t>IPO.ONE combines two coordinated planes: a deterministic Credit and Obligation Kernel that preserves authority, exposure and state; and a governed Credit Intelligence Network that continuously improves profiles, scores, terms, interventions and capital allocation. A Credit Account and Passport, Offer and Capital Router, canonical repayment ledger and Multi-Rail Adapter layer complete the product system.</w:t>
      </w:r>
    </w:p>
    <w:p>
      <w:pPr>
        <w:pStyle w:val="Heading2"/>
        <w:keepNext/>
      </w:pPr>
      <w:r>
        <w:rPr>
          <w:rFonts w:ascii="Noto Sans" w:hAnsi="Noto Sans"/>
        </w:rPr>
        <w:t>Single Kernel, Dual Entry</w:t>
      </w:r>
    </w:p>
    <w:p>
      <w:r>
        <w:rPr>
          <w:rFonts w:ascii="Noto Sans" w:hAnsi="Noto Sans"/>
        </w:rPr>
        <w:t>Humans and Agents are equal first-class Subjects. Human interfaces and Agent-native protocols provide two entry classes, while one internal kernel preserves the same object model and state transitions. Identity assurance, authority, consumer protection, underwriting and legal responsibility differ through versioned adapters and policy profiles—not separate kernels.</w:t>
      </w:r>
    </w:p>
    <w:p>
      <w:pPr>
        <w:pStyle w:val="Heading2"/>
        <w:keepNext/>
      </w:pPr>
      <w:r>
        <w:rPr>
          <w:rFonts w:ascii="Noto Sans" w:hAnsi="Noto Sans"/>
        </w:rPr>
        <w:t>Core intelligence</w:t>
      </w:r>
    </w:p>
    <w:p>
      <w:r>
        <w:rPr>
          <w:rFonts w:ascii="Noto Sans" w:hAnsi="Noto Sans"/>
        </w:rPr>
        <w:t>The Credit Intelligence Network continuously learns from verified individual, cohort and network outcomes. It improves credit conditions, limits, tenor, pricing, behavioral recommendations, anomaly controls and lender matching for both humans and Agents, while remaining subordinate to consent, fairness, lender policy and deterministic execution.</w:t>
      </w:r>
    </w:p>
    <w:p>
      <w:pPr>
        <w:pStyle w:val="Heading2"/>
        <w:keepNext/>
      </w:pPr>
      <w:r>
        <w:rPr>
          <w:rFonts w:ascii="Noto Sans" w:hAnsi="Noto Sans"/>
        </w:rPr>
        <w:t>Role separation</w:t>
      </w:r>
    </w:p>
    <w:tbl>
      <w:tblPr>
        <w:tblStyle w:val="TableGrid"/>
        <w:tblW w:type="auto" w:w="0"/>
        <w:jc w:val="center"/>
        <w:tblLayout w:type="autofit"/>
        <w:tblLook w:firstColumn="1" w:firstRow="1" w:lastColumn="0" w:lastRow="0" w:noHBand="0" w:noVBand="1" w:val="04A0"/>
      </w:tblPr>
      <w:tblGrid>
        <w:gridCol w:w="3278"/>
        <w:gridCol w:w="3278"/>
        <w:gridCol w:w="3278"/>
      </w:tblGrid>
      <w:tr>
        <w:trPr>
          <w:tblHeader w:val="true"/>
          <w:cantSplit/>
        </w:trPr>
        <w:tc>
          <w:tcPr>
            <w:tcW w:type="dxa" w:w="3278"/>
            <w:shd w:fill="0B1F33"/>
            <w:tcMar>
              <w:top w:w="70" w:type="dxa"/>
              <w:start w:w="85" w:type="dxa"/>
              <w:bottom w:w="70" w:type="dxa"/>
              <w:end w:w="85" w:type="dxa"/>
            </w:tcMar>
            <w:vAlign w:val="center"/>
          </w:tcPr>
          <w:p>
            <w:pPr>
              <w:spacing w:after="0"/>
            </w:pPr>
            <w:r/>
            <w:r>
              <w:rPr>
                <w:rFonts w:ascii="Noto Sans" w:hAnsi="Noto Sans"/>
                <w:b/>
                <w:color w:val="FFFFFF"/>
                <w:sz w:val="16"/>
              </w:rPr>
              <w:t>Function</w:t>
            </w:r>
          </w:p>
        </w:tc>
        <w:tc>
          <w:tcPr>
            <w:tcW w:type="dxa" w:w="3278"/>
            <w:shd w:fill="0B1F33"/>
            <w:tcMar>
              <w:top w:w="70" w:type="dxa"/>
              <w:start w:w="85" w:type="dxa"/>
              <w:bottom w:w="70" w:type="dxa"/>
              <w:end w:w="85" w:type="dxa"/>
            </w:tcMar>
            <w:vAlign w:val="center"/>
          </w:tcPr>
          <w:p>
            <w:pPr>
              <w:spacing w:after="0"/>
            </w:pPr>
            <w:r/>
            <w:r>
              <w:rPr>
                <w:rFonts w:ascii="Noto Sans" w:hAnsi="Noto Sans"/>
                <w:b/>
                <w:color w:val="FFFFFF"/>
                <w:sz w:val="16"/>
              </w:rPr>
              <w:t>IPO.ONE role</w:t>
            </w:r>
          </w:p>
        </w:tc>
        <w:tc>
          <w:tcPr>
            <w:tcW w:type="dxa" w:w="3278"/>
            <w:shd w:fill="0B1F33"/>
            <w:tcMar>
              <w:top w:w="70" w:type="dxa"/>
              <w:start w:w="85" w:type="dxa"/>
              <w:bottom w:w="70" w:type="dxa"/>
              <w:end w:w="85" w:type="dxa"/>
            </w:tcMar>
            <w:vAlign w:val="center"/>
          </w:tcPr>
          <w:p>
            <w:pPr>
              <w:spacing w:after="0"/>
            </w:pPr>
            <w:r/>
            <w:r>
              <w:rPr>
                <w:rFonts w:ascii="Noto Sans" w:hAnsi="Noto Sans"/>
                <w:b/>
                <w:color w:val="FFFFFF"/>
                <w:sz w:val="16"/>
              </w:rPr>
              <w:t>External role</w:t>
            </w:r>
          </w:p>
        </w:tc>
      </w:tr>
      <w:tr>
        <w:trPr>
          <w:cantSplit/>
        </w:trPr>
        <w:tc>
          <w:tcPr>
            <w:tcW w:type="dxa" w:w="3278"/>
            <w:tcMar>
              <w:top w:w="70" w:type="dxa"/>
              <w:start w:w="85" w:type="dxa"/>
              <w:bottom w:w="70" w:type="dxa"/>
              <w:end w:w="85" w:type="dxa"/>
            </w:tcMar>
            <w:vAlign w:val="top"/>
          </w:tcPr>
          <w:p>
            <w:pPr>
              <w:spacing w:after="0"/>
            </w:pPr>
            <w:r/>
            <w:r>
              <w:rPr>
                <w:rFonts w:ascii="Noto Sans" w:hAnsi="Noto Sans"/>
                <w:color w:val="18212B"/>
                <w:sz w:val="16"/>
              </w:rPr>
              <w:t>Interaction</w:t>
            </w:r>
          </w:p>
        </w:tc>
        <w:tc>
          <w:tcPr>
            <w:tcW w:type="dxa" w:w="3278"/>
            <w:tcMar>
              <w:top w:w="70" w:type="dxa"/>
              <w:start w:w="85" w:type="dxa"/>
              <w:bottom w:w="70" w:type="dxa"/>
              <w:end w:w="85" w:type="dxa"/>
            </w:tcMar>
            <w:vAlign w:val="top"/>
          </w:tcPr>
          <w:p>
            <w:pPr>
              <w:spacing w:after="0"/>
            </w:pPr>
            <w:r/>
            <w:r>
              <w:rPr>
                <w:rFonts w:ascii="Noto Sans" w:hAnsi="Noto Sans"/>
                <w:color w:val="18212B"/>
                <w:sz w:val="16"/>
              </w:rPr>
              <w:t>Normalize human applications and Agent messages into canonical Intent, evidence and authorization objects.</w:t>
            </w:r>
          </w:p>
        </w:tc>
        <w:tc>
          <w:tcPr>
            <w:tcW w:type="dxa" w:w="3278"/>
            <w:tcMar>
              <w:top w:w="70" w:type="dxa"/>
              <w:start w:w="85" w:type="dxa"/>
              <w:bottom w:w="70" w:type="dxa"/>
              <w:end w:w="85" w:type="dxa"/>
            </w:tcMar>
            <w:vAlign w:val="top"/>
          </w:tcPr>
          <w:p>
            <w:pPr>
              <w:spacing w:after="0"/>
            </w:pPr>
            <w:r/>
            <w:r>
              <w:rPr>
                <w:rFonts w:ascii="Noto Sans" w:hAnsi="Noto Sans"/>
                <w:color w:val="18212B"/>
                <w:sz w:val="16"/>
              </w:rPr>
              <w:t>Apps, platforms, Agent runtimes and protocols such as MCP or A2A provide the external interaction environment.</w:t>
            </w:r>
          </w:p>
        </w:tc>
      </w:tr>
      <w:tr>
        <w:trPr>
          <w:cantSplit/>
        </w:trPr>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Identity / KYC / KYB</w:t>
            </w:r>
          </w:p>
        </w:tc>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Orchestrate consent; reference signed attestations; store minimum necessary status.</w:t>
            </w:r>
          </w:p>
        </w:tc>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Qualified identity provider or regulated lender performs verification and screening.</w:t>
            </w:r>
          </w:p>
        </w:tc>
      </w:tr>
      <w:tr>
        <w:trPr>
          <w:cantSplit/>
        </w:trPr>
        <w:tc>
          <w:tcPr>
            <w:tcW w:type="dxa" w:w="3278"/>
            <w:tcMar>
              <w:top w:w="70" w:type="dxa"/>
              <w:start w:w="85" w:type="dxa"/>
              <w:bottom w:w="70" w:type="dxa"/>
              <w:end w:w="85" w:type="dxa"/>
            </w:tcMar>
            <w:vAlign w:val="top"/>
          </w:tcPr>
          <w:p>
            <w:pPr>
              <w:spacing w:after="0"/>
            </w:pPr>
            <w:r/>
            <w:r>
              <w:rPr>
                <w:rFonts w:ascii="Noto Sans" w:hAnsi="Noto Sans"/>
                <w:color w:val="18212B"/>
                <w:sz w:val="16"/>
              </w:rPr>
              <w:t>Credit assessment</w:t>
            </w:r>
          </w:p>
        </w:tc>
        <w:tc>
          <w:tcPr>
            <w:tcW w:type="dxa" w:w="3278"/>
            <w:tcMar>
              <w:top w:w="70" w:type="dxa"/>
              <w:start w:w="85" w:type="dxa"/>
              <w:bottom w:w="70" w:type="dxa"/>
              <w:end w:w="85" w:type="dxa"/>
            </w:tcMar>
            <w:vAlign w:val="top"/>
          </w:tcPr>
          <w:p>
            <w:pPr>
              <w:spacing w:after="0"/>
            </w:pPr>
            <w:r/>
            <w:r>
              <w:rPr>
                <w:rFonts w:ascii="Noto Sans" w:hAnsi="Noto Sans"/>
                <w:color w:val="18212B"/>
                <w:sz w:val="16"/>
              </w:rPr>
              <w:t>Produce explainable profile, score, affordability, recommended limit, tenor and risk price.</w:t>
            </w:r>
          </w:p>
        </w:tc>
        <w:tc>
          <w:tcPr>
            <w:tcW w:type="dxa" w:w="3278"/>
            <w:tcMar>
              <w:top w:w="70" w:type="dxa"/>
              <w:start w:w="85" w:type="dxa"/>
              <w:bottom w:w="70" w:type="dxa"/>
              <w:end w:w="85" w:type="dxa"/>
            </w:tcMar>
            <w:vAlign w:val="top"/>
          </w:tcPr>
          <w:p>
            <w:pPr>
              <w:spacing w:after="0"/>
            </w:pPr>
            <w:r/>
            <w:r>
              <w:rPr>
                <w:rFonts w:ascii="Noto Sans" w:hAnsi="Noto Sans"/>
                <w:color w:val="18212B"/>
                <w:sz w:val="16"/>
              </w:rPr>
              <w:t>Lender owns risk appetite and legal approval; may delegate decisions inside a pre-approved policy.</w:t>
            </w:r>
          </w:p>
        </w:tc>
      </w:tr>
      <w:tr>
        <w:trPr>
          <w:cantSplit/>
        </w:trPr>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Loan capital</w:t>
            </w:r>
          </w:p>
        </w:tc>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Match requests to Capital Mandates and monitor exposure.</w:t>
            </w:r>
          </w:p>
        </w:tc>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Bank, fintech, MFI, private credit, Provider credit or on-chain facility supplies funds.</w:t>
            </w:r>
          </w:p>
        </w:tc>
      </w:tr>
      <w:tr>
        <w:trPr>
          <w:cantSplit/>
        </w:trPr>
        <w:tc>
          <w:tcPr>
            <w:tcW w:type="dxa" w:w="3278"/>
            <w:tcMar>
              <w:top w:w="70" w:type="dxa"/>
              <w:start w:w="85" w:type="dxa"/>
              <w:bottom w:w="70" w:type="dxa"/>
              <w:end w:w="85" w:type="dxa"/>
            </w:tcMar>
            <w:vAlign w:val="top"/>
          </w:tcPr>
          <w:p>
            <w:pPr>
              <w:spacing w:after="0"/>
            </w:pPr>
            <w:r/>
            <w:r>
              <w:rPr>
                <w:rFonts w:ascii="Noto Sans" w:hAnsi="Noto Sans"/>
                <w:color w:val="18212B"/>
                <w:sz w:val="16"/>
              </w:rPr>
              <w:t>Contract / disclosures</w:t>
            </w:r>
          </w:p>
        </w:tc>
        <w:tc>
          <w:tcPr>
            <w:tcW w:type="dxa" w:w="3278"/>
            <w:tcMar>
              <w:top w:w="70" w:type="dxa"/>
              <w:start w:w="85" w:type="dxa"/>
              <w:bottom w:w="70" w:type="dxa"/>
              <w:end w:w="85" w:type="dxa"/>
            </w:tcMar>
            <w:vAlign w:val="top"/>
          </w:tcPr>
          <w:p>
            <w:pPr>
              <w:spacing w:after="0"/>
            </w:pPr>
            <w:r/>
            <w:r>
              <w:rPr>
                <w:rFonts w:ascii="Noto Sans" w:hAnsi="Noto Sans"/>
                <w:color w:val="18212B"/>
                <w:sz w:val="16"/>
              </w:rPr>
              <w:t>Embed workflow, standardized data and audit receipts.</w:t>
            </w:r>
          </w:p>
        </w:tc>
        <w:tc>
          <w:tcPr>
            <w:tcW w:type="dxa" w:w="3278"/>
            <w:tcMar>
              <w:top w:w="70" w:type="dxa"/>
              <w:start w:w="85" w:type="dxa"/>
              <w:bottom w:w="70" w:type="dxa"/>
              <w:end w:w="85" w:type="dxa"/>
            </w:tcMar>
            <w:vAlign w:val="top"/>
          </w:tcPr>
          <w:p>
            <w:pPr>
              <w:spacing w:after="0"/>
            </w:pPr>
            <w:r/>
            <w:r>
              <w:rPr>
                <w:rFonts w:ascii="Noto Sans" w:hAnsi="Noto Sans"/>
                <w:color w:val="18212B"/>
                <w:sz w:val="16"/>
              </w:rPr>
              <w:t>Licensed Originator or lender provides legally required agreement, disclosures and servicing.</w:t>
            </w:r>
          </w:p>
        </w:tc>
      </w:tr>
      <w:tr>
        <w:trPr>
          <w:cantSplit/>
        </w:trPr>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Funding / settlement</w:t>
            </w:r>
          </w:p>
        </w:tc>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Create rail-neutral instructions; normalize receipts, finality and reconciliation.</w:t>
            </w:r>
          </w:p>
        </w:tc>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Traditional or on-chain rail executes the transaction; custodians, processors or chain infrastructure provide external finality evidence.</w:t>
            </w:r>
          </w:p>
        </w:tc>
      </w:tr>
      <w:tr>
        <w:trPr>
          <w:cantSplit/>
        </w:trPr>
        <w:tc>
          <w:tcPr>
            <w:tcW w:type="dxa" w:w="3278"/>
            <w:tcMar>
              <w:top w:w="70" w:type="dxa"/>
              <w:start w:w="85" w:type="dxa"/>
              <w:bottom w:w="70" w:type="dxa"/>
              <w:end w:w="85" w:type="dxa"/>
            </w:tcMar>
            <w:vAlign w:val="top"/>
          </w:tcPr>
          <w:p>
            <w:pPr>
              <w:spacing w:after="0"/>
            </w:pPr>
            <w:r/>
            <w:r>
              <w:rPr>
                <w:rFonts w:ascii="Noto Sans" w:hAnsi="Noto Sans"/>
                <w:color w:val="18212B"/>
                <w:sz w:val="16"/>
              </w:rPr>
              <w:t>Credit history</w:t>
            </w:r>
          </w:p>
        </w:tc>
        <w:tc>
          <w:tcPr>
            <w:tcW w:type="dxa" w:w="3278"/>
            <w:tcMar>
              <w:top w:w="70" w:type="dxa"/>
              <w:start w:w="85" w:type="dxa"/>
              <w:bottom w:w="70" w:type="dxa"/>
              <w:end w:w="85" w:type="dxa"/>
            </w:tcMar>
            <w:vAlign w:val="top"/>
          </w:tcPr>
          <w:p>
            <w:pPr>
              <w:spacing w:after="0"/>
            </w:pPr>
            <w:r/>
            <w:r>
              <w:rPr>
                <w:rFonts w:ascii="Noto Sans" w:hAnsi="Noto Sans"/>
                <w:color w:val="18212B"/>
                <w:sz w:val="16"/>
              </w:rPr>
              <w:t>Maintain portable, consented performance evidence and Credit State.</w:t>
            </w:r>
          </w:p>
        </w:tc>
        <w:tc>
          <w:tcPr>
            <w:tcW w:type="dxa" w:w="3278"/>
            <w:tcMar>
              <w:top w:w="70" w:type="dxa"/>
              <w:start w:w="85" w:type="dxa"/>
              <w:bottom w:w="70" w:type="dxa"/>
              <w:end w:w="85" w:type="dxa"/>
            </w:tcMar>
            <w:vAlign w:val="top"/>
          </w:tcPr>
          <w:p>
            <w:pPr>
              <w:spacing w:after="0"/>
            </w:pPr>
            <w:r/>
            <w:r>
              <w:rPr>
                <w:rFonts w:ascii="Noto Sans" w:hAnsi="Noto Sans"/>
                <w:color w:val="18212B"/>
                <w:sz w:val="16"/>
              </w:rPr>
              <w:t>Partners may consume proofs under purpose-limited permissions.</w:t>
            </w:r>
          </w:p>
        </w:tc>
      </w:tr>
    </w:tbl>
    <w:p>
      <w:pPr>
        <w:spacing w:after="0"/>
      </w:pPr>
    </w:p>
    <w:p>
      <w:pPr>
        <w:pStyle w:val="Heading2"/>
        <w:keepNext/>
      </w:pPr>
      <w:r>
        <w:rPr>
          <w:rFonts w:ascii="Noto Sans" w:hAnsi="Noto Sans"/>
        </w:rPr>
        <w:t>First market wedge</w:t>
      </w:r>
    </w:p>
    <w:p>
      <w:r>
        <w:rPr>
          <w:rFonts w:ascii="Noto Sans" w:hAnsi="Noto Sans"/>
        </w:rPr>
        <w:t>Cash-flow-backed productive credit for digital earners and autonomous businesses. The protocol supports both borrower types from inception while initial products may use distinct verification and lender-policy profiles.</w:t>
      </w:r>
    </w:p>
    <w:p>
      <w:pPr>
        <w:pStyle w:val="Heading2"/>
        <w:keepNext/>
      </w:pPr>
      <w:r>
        <w:rPr>
          <w:rFonts w:ascii="Noto Sans" w:hAnsi="Noto Sans"/>
        </w:rPr>
        <w:t>Why IPO.ONE can win</w:t>
      </w:r>
    </w:p>
    <w:p>
      <w:r>
        <w:rPr>
          <w:rFonts w:ascii="Noto Sans" w:hAnsi="Noto Sans"/>
        </w:rPr>
        <w:t>The durable moat is a compounding Credit Intelligence Network built on portable evidence, repeated repayment and execution outcomes, lender policy integrations, dual-native distribution, compliance adapters, capital performance and multi-rail reconciliation. Its advantage comes from better verified outcomes and coordination—not from one opaque score, one balance sheet or one chain.</w:t>
      </w:r>
    </w:p>
    <w:p>
      <w:pPr>
        <w:pStyle w:val="Heading2"/>
        <w:keepNext/>
      </w:pPr>
      <w:r>
        <w:rPr>
          <w:rFonts w:ascii="Noto Sans" w:hAnsi="Noto Sans"/>
        </w:rPr>
        <w:t>Product truth</w:t>
      </w:r>
    </w:p>
    <w:tbl>
      <w:tblPr>
        <w:tblW w:type="auto" w:w="0"/>
        <w:jc w:val="center"/>
        <w:tblLayout w:type="autofit"/>
        <w:tblLook w:firstColumn="1" w:firstRow="1" w:lastColumn="0" w:lastRow="0" w:noHBand="0" w:noVBand="1" w:val="04A0"/>
      </w:tblPr>
      <w:tblGrid>
        <w:gridCol w:w="9835"/>
      </w:tblGrid>
      <w:tr>
        <w:tc>
          <w:tcPr>
            <w:tcW w:type="dxa" w:w="9835"/>
            <w:shd w:fill="EAF0FF"/>
            <w:tcMar>
              <w:top w:w="110" w:type="dxa"/>
              <w:start w:w="140" w:type="dxa"/>
              <w:bottom w:w="110" w:type="dxa"/>
              <w:end w:w="140" w:type="dxa"/>
            </w:tcMar>
            <w:tcBorders>
              <w:top w:val="single" w:sz="8" w:color="2F6BFF"/>
              <w:left w:val="single" w:sz="8" w:color="2F6BFF"/>
              <w:bottom w:val="single" w:sz="8" w:color="2F6BFF"/>
              <w:right w:val="single" w:sz="8" w:color="2F6BFF"/>
            </w:tcBorders>
          </w:tcPr>
          <w:p>
            <w:pPr>
              <w:spacing w:after="40"/>
            </w:pPr>
            <w:r>
              <w:rPr>
                <w:rFonts w:ascii="Noto Sans" w:hAnsi="Noto Sans"/>
                <w:b/>
                <w:color w:val="2F6BFF"/>
                <w:sz w:val="16"/>
              </w:rPr>
              <w:t>ONE KERNEL. DUAL ENTRY. MANY LENDERS. MANY RAILS. CONTINUOUSLY IMPROVING CREDIT.</w:t>
            </w:r>
          </w:p>
          <w:p>
            <w:pPr>
              <w:spacing w:after="0"/>
            </w:pPr>
            <w:r>
              <w:rPr>
                <w:rFonts w:ascii="Noto Sans" w:hAnsi="Noto Sans"/>
                <w:b/>
                <w:color w:val="0B1F33"/>
                <w:sz w:val="18"/>
              </w:rPr>
              <w:t>A human or Agent should be able to establish credit once, compare qualified external capital, receive safer and better terms as verified performance accumulates, and carry that progress forward without being locked to one application, lender, blockchain or settlement network.</w:t>
            </w:r>
          </w:p>
        </w:tc>
        <w:trPr>
          <w:tblHeader/>
        </w:trPr>
      </w:tr>
    </w:tbl>
    <w:p>
      <w:pPr>
        <w:spacing w:after="0"/>
      </w:pPr>
    </w:p>
    <w:p>
      <w:pPr>
        <w:pStyle w:val="Heading1"/>
        <w:keepNext/>
      </w:pPr>
      <w:r>
        <w:rPr>
          <w:rFonts w:ascii="Noto Sans" w:hAnsi="Noto Sans"/>
        </w:rPr>
        <w:t>PART I — Product and Market Thesis</w:t>
      </w:r>
    </w:p>
    <w:p>
      <w:pPr>
        <w:pStyle w:val="Heading2"/>
        <w:keepNext/>
      </w:pPr>
      <w:r>
        <w:rPr>
          <w:rFonts w:ascii="Noto Sans" w:hAnsi="Noto Sans"/>
        </w:rPr>
        <w:t>1. Financial Inclusion Beyond Account Access</w:t>
      </w:r>
    </w:p>
    <w:p>
      <w:r>
        <w:rPr>
          <w:rFonts w:ascii="Noto Sans" w:hAnsi="Noto Sans"/>
        </w:rPr>
        <w:t>Traditional underwriting is optimized for people and companies with bureau files, formal payroll records, collateral and long banking histories. Millions of economically active users instead generate evidence through mobile money, marketplace earnings, merchant sales, platform work, bank transactions, wallets and repeated digital payments. Their problem is not necessarily an absence of economic activity; it is the absence of a trusted mechanism that converts activity into portable credit evidence.</w:t>
      </w:r>
    </w:p>
    <w:p>
      <w:r>
        <w:rPr>
          <w:rFonts w:ascii="Noto Sans" w:hAnsi="Noto Sans"/>
        </w:rPr>
        <w:t>Digital identity can reduce onboarding friction when assurance levels are understood and matched to risk. FATF guidance notes that reliable digital ID can make identification easier, cheaper and more secure, and can expand access for people who lack traditional documentation. [2] Identity verification is necessary, but it is not a substitute for affordability or credit assessment.</w:t>
      </w:r>
    </w:p>
    <w:p>
      <w:r>
        <w:rPr>
          <w:rFonts w:ascii="Noto Sans" w:hAnsi="Noto Sans"/>
        </w:rPr>
        <w:t>The human–Agent economy requires one credit architecture for two native subject classes. For humans, it must convert lawful alternative evidence into fair, portable access. For Agents, it must resolve responsibility, permitted use, repayment capacity, execution quality and reusable performance. Neither class should be treated as an afterthought or forced into a separate semantic system.</w:t>
      </w:r>
    </w:p>
    <w:p>
      <w:pPr>
        <w:pStyle w:val="Heading2"/>
        <w:keepNext/>
      </w:pPr>
      <w:r>
        <w:rPr>
          <w:rFonts w:ascii="Noto Sans" w:hAnsi="Noto Sans"/>
        </w:rPr>
        <w:t>2. Positioning: Native Credit and Obligation Protocol for the Human–Agent Economy</w:t>
      </w:r>
    </w:p>
    <w:tbl>
      <w:tblPr>
        <w:tblStyle w:val="TableGrid"/>
        <w:tblW w:type="auto" w:w="0"/>
        <w:jc w:val="center"/>
        <w:tblLayout w:type="autofit"/>
        <w:tblLook w:firstColumn="1" w:firstRow="1" w:lastColumn="0" w:lastRow="0" w:noHBand="0" w:noVBand="1" w:val="04A0"/>
      </w:tblPr>
      <w:tblGrid>
        <w:gridCol w:w="4917"/>
        <w:gridCol w:w="4917"/>
      </w:tblGrid>
      <w:tr>
        <w:trPr>
          <w:tblHeader w:val="true"/>
          <w:cantSplit/>
        </w:trPr>
        <w:tc>
          <w:tcPr>
            <w:tcW w:type="dxa" w:w="4917"/>
            <w:shd w:fill="0B1F33"/>
            <w:tcMar>
              <w:top w:w="70" w:type="dxa"/>
              <w:start w:w="85" w:type="dxa"/>
              <w:bottom w:w="70" w:type="dxa"/>
              <w:end w:w="85" w:type="dxa"/>
            </w:tcMar>
            <w:vAlign w:val="center"/>
          </w:tcPr>
          <w:p>
            <w:pPr>
              <w:spacing w:after="0"/>
            </w:pPr>
            <w:r/>
            <w:r>
              <w:rPr>
                <w:rFonts w:ascii="Noto Sans" w:hAnsi="Noto Sans"/>
                <w:b/>
                <w:color w:val="FFFFFF"/>
                <w:sz w:val="16"/>
              </w:rPr>
              <w:t>Layer</w:t>
            </w:r>
          </w:p>
        </w:tc>
        <w:tc>
          <w:tcPr>
            <w:tcW w:type="dxa" w:w="4917"/>
            <w:shd w:fill="0B1F33"/>
            <w:tcMar>
              <w:top w:w="70" w:type="dxa"/>
              <w:start w:w="85" w:type="dxa"/>
              <w:bottom w:w="70" w:type="dxa"/>
              <w:end w:w="85" w:type="dxa"/>
            </w:tcMar>
            <w:vAlign w:val="center"/>
          </w:tcPr>
          <w:p>
            <w:pPr>
              <w:spacing w:after="0"/>
            </w:pPr>
            <w:r/>
            <w:r>
              <w:rPr>
                <w:rFonts w:ascii="Noto Sans" w:hAnsi="Noto Sans"/>
                <w:b/>
                <w:color w:val="FFFFFF"/>
                <w:sz w:val="16"/>
              </w:rPr>
              <w:t>Positioning</w:t>
            </w:r>
          </w:p>
        </w:tc>
      </w:tr>
      <w:tr>
        <w:trPr>
          <w:cantSplit/>
        </w:trPr>
        <w:tc>
          <w:tcPr>
            <w:tcW w:type="dxa" w:w="4917"/>
            <w:tcMar>
              <w:top w:w="70" w:type="dxa"/>
              <w:start w:w="85" w:type="dxa"/>
              <w:bottom w:w="70" w:type="dxa"/>
              <w:end w:w="85" w:type="dxa"/>
            </w:tcMar>
            <w:vAlign w:val="top"/>
          </w:tcPr>
          <w:p>
            <w:pPr>
              <w:spacing w:after="0"/>
            </w:pPr>
            <w:r/>
            <w:r>
              <w:rPr>
                <w:rFonts w:ascii="Noto Sans" w:hAnsi="Noto Sans"/>
                <w:color w:val="18212B"/>
                <w:sz w:val="16"/>
              </w:rPr>
              <w:t>Historical thesis</w:t>
            </w:r>
          </w:p>
        </w:tc>
        <w:tc>
          <w:tcPr>
            <w:tcW w:type="dxa" w:w="4917"/>
            <w:tcMar>
              <w:top w:w="70" w:type="dxa"/>
              <w:start w:w="85" w:type="dxa"/>
              <w:bottom w:w="70" w:type="dxa"/>
              <w:end w:w="85" w:type="dxa"/>
            </w:tcMar>
            <w:vAlign w:val="top"/>
          </w:tcPr>
          <w:p>
            <w:pPr>
              <w:spacing w:after="0"/>
            </w:pPr>
            <w:r/>
            <w:r>
              <w:rPr>
                <w:rFonts w:ascii="Noto Sans" w:hAnsi="Noto Sans"/>
                <w:color w:val="18212B"/>
                <w:sz w:val="16"/>
              </w:rPr>
              <w:t>A new native protocol layer is required when humans and autonomous Agents increasingly share economic networks, capital and execution environments.</w:t>
            </w:r>
          </w:p>
        </w:tc>
      </w:tr>
      <w:tr>
        <w:trPr>
          <w:cantSplit/>
        </w:trPr>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Long-term vision</w:t>
            </w:r>
          </w:p>
        </w:tc>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Universal credit and obligation infrastructure for the human–Agent economy.</w:t>
            </w:r>
          </w:p>
        </w:tc>
      </w:tr>
      <w:tr>
        <w:trPr>
          <w:cantSplit/>
        </w:trPr>
        <w:tc>
          <w:tcPr>
            <w:tcW w:type="dxa" w:w="4917"/>
            <w:tcMar>
              <w:top w:w="70" w:type="dxa"/>
              <w:start w:w="85" w:type="dxa"/>
              <w:bottom w:w="70" w:type="dxa"/>
              <w:end w:w="85" w:type="dxa"/>
            </w:tcMar>
            <w:vAlign w:val="top"/>
          </w:tcPr>
          <w:p>
            <w:pPr>
              <w:spacing w:after="0"/>
            </w:pPr>
            <w:r/>
            <w:r>
              <w:rPr>
                <w:rFonts w:ascii="Noto Sans" w:hAnsi="Noto Sans"/>
                <w:color w:val="18212B"/>
                <w:sz w:val="16"/>
              </w:rPr>
              <w:t>Protocol principle</w:t>
            </w:r>
          </w:p>
        </w:tc>
        <w:tc>
          <w:tcPr>
            <w:tcW w:type="dxa" w:w="4917"/>
            <w:tcMar>
              <w:top w:w="70" w:type="dxa"/>
              <w:start w:w="85" w:type="dxa"/>
              <w:bottom w:w="70" w:type="dxa"/>
              <w:end w:w="85" w:type="dxa"/>
            </w:tcMar>
            <w:vAlign w:val="top"/>
          </w:tcPr>
          <w:p>
            <w:pPr>
              <w:spacing w:after="0"/>
            </w:pPr>
            <w:r/>
            <w:r>
              <w:rPr>
                <w:rFonts w:ascii="Noto Sans" w:hAnsi="Noto Sans"/>
                <w:color w:val="18212B"/>
                <w:sz w:val="16"/>
              </w:rPr>
              <w:t>Single Kernel, Dual Entry: equal first-class Subjects, one canonical lifecycle, specialized adapters and policy profiles.</w:t>
            </w:r>
          </w:p>
        </w:tc>
      </w:tr>
      <w:tr>
        <w:trPr>
          <w:cantSplit/>
        </w:trPr>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Core product planes</w:t>
            </w:r>
          </w:p>
        </w:tc>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Deterministic Credit and Obligation Kernel plus a governed, continuously improving Credit Intelligence Network.</w:t>
            </w:r>
          </w:p>
        </w:tc>
      </w:tr>
      <w:tr>
        <w:trPr>
          <w:cantSplit/>
        </w:trPr>
        <w:tc>
          <w:tcPr>
            <w:tcW w:type="dxa" w:w="4917"/>
            <w:tcMar>
              <w:top w:w="70" w:type="dxa"/>
              <w:start w:w="85" w:type="dxa"/>
              <w:bottom w:w="70" w:type="dxa"/>
              <w:end w:w="85" w:type="dxa"/>
            </w:tcMar>
            <w:vAlign w:val="top"/>
          </w:tcPr>
          <w:p>
            <w:pPr>
              <w:spacing w:after="0"/>
            </w:pPr>
            <w:r/>
            <w:r>
              <w:rPr>
                <w:rFonts w:ascii="Noto Sans" w:hAnsi="Noto Sans"/>
                <w:color w:val="18212B"/>
                <w:sz w:val="16"/>
              </w:rPr>
              <w:t>Primary function</w:t>
            </w:r>
          </w:p>
        </w:tc>
        <w:tc>
          <w:tcPr>
            <w:tcW w:type="dxa" w:w="4917"/>
            <w:tcMar>
              <w:top w:w="70" w:type="dxa"/>
              <w:start w:w="85" w:type="dxa"/>
              <w:bottom w:w="70" w:type="dxa"/>
              <w:end w:w="85" w:type="dxa"/>
            </w:tcMar>
            <w:vAlign w:val="top"/>
          </w:tcPr>
          <w:p>
            <w:pPr>
              <w:spacing w:after="0"/>
            </w:pPr>
            <w:r/>
            <w:r>
              <w:rPr>
                <w:rFonts w:ascii="Noto Sans" w:hAnsi="Noto Sans"/>
                <w:color w:val="18212B"/>
                <w:sz w:val="16"/>
              </w:rPr>
              <w:t>Coordinate identity, authority, evidence, decisioning, capital matching, obligation state, settlement, portable performance and continuous optimization.</w:t>
            </w:r>
          </w:p>
        </w:tc>
      </w:tr>
      <w:tr>
        <w:trPr>
          <w:cantSplit/>
        </w:trPr>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Interaction environments</w:t>
            </w:r>
          </w:p>
        </w:tc>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Human applications and embedded SDKs; Agent APIs, SDKs, MCP, A2A and compatible machine protocols.</w:t>
            </w:r>
          </w:p>
        </w:tc>
      </w:tr>
      <w:tr>
        <w:trPr>
          <w:cantSplit/>
        </w:trPr>
        <w:tc>
          <w:tcPr>
            <w:tcW w:type="dxa" w:w="4917"/>
            <w:tcMar>
              <w:top w:w="70" w:type="dxa"/>
              <w:start w:w="85" w:type="dxa"/>
              <w:bottom w:w="70" w:type="dxa"/>
              <w:end w:w="85" w:type="dxa"/>
            </w:tcMar>
            <w:vAlign w:val="top"/>
          </w:tcPr>
          <w:p>
            <w:pPr>
              <w:spacing w:after="0"/>
            </w:pPr>
            <w:r/>
            <w:r>
              <w:rPr>
                <w:rFonts w:ascii="Noto Sans" w:hAnsi="Noto Sans"/>
                <w:color w:val="18212B"/>
                <w:sz w:val="16"/>
              </w:rPr>
              <w:t>Execution environments</w:t>
            </w:r>
          </w:p>
        </w:tc>
        <w:tc>
          <w:tcPr>
            <w:tcW w:type="dxa" w:w="4917"/>
            <w:tcMar>
              <w:top w:w="70" w:type="dxa"/>
              <w:start w:w="85" w:type="dxa"/>
              <w:bottom w:w="70" w:type="dxa"/>
              <w:end w:w="85" w:type="dxa"/>
            </w:tcMar>
            <w:vAlign w:val="top"/>
          </w:tcPr>
          <w:p>
            <w:pPr>
              <w:spacing w:after="0"/>
            </w:pPr>
            <w:r/>
            <w:r>
              <w:rPr>
                <w:rFonts w:ascii="Noto Sans" w:hAnsi="Noto Sans"/>
                <w:color w:val="18212B"/>
                <w:sz w:val="16"/>
              </w:rPr>
              <w:t>Traditional financial rails and blockchain / on-chain rails supported natively through replaceable adapters.</w:t>
            </w:r>
          </w:p>
        </w:tc>
      </w:tr>
      <w:tr>
        <w:trPr>
          <w:cantSplit/>
        </w:trPr>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First PMF</w:t>
            </w:r>
          </w:p>
        </w:tc>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Cash-flow-backed productive credit for digitally observable human and Agent borrowers.</w:t>
            </w:r>
          </w:p>
        </w:tc>
      </w:tr>
      <w:tr>
        <w:trPr>
          <w:cantSplit/>
        </w:trPr>
        <w:tc>
          <w:tcPr>
            <w:tcW w:type="dxa" w:w="4917"/>
            <w:tcMar>
              <w:top w:w="70" w:type="dxa"/>
              <w:start w:w="85" w:type="dxa"/>
              <w:bottom w:w="70" w:type="dxa"/>
              <w:end w:w="85" w:type="dxa"/>
            </w:tcMar>
            <w:vAlign w:val="top"/>
          </w:tcPr>
          <w:p>
            <w:pPr>
              <w:spacing w:after="0"/>
            </w:pPr>
            <w:r/>
            <w:r>
              <w:rPr>
                <w:rFonts w:ascii="Noto Sans" w:hAnsi="Noto Sans"/>
                <w:color w:val="18212B"/>
                <w:sz w:val="16"/>
              </w:rPr>
              <w:t>Default balance-sheet position</w:t>
            </w:r>
          </w:p>
        </w:tc>
        <w:tc>
          <w:tcPr>
            <w:tcW w:type="dxa" w:w="4917"/>
            <w:tcMar>
              <w:top w:w="70" w:type="dxa"/>
              <w:start w:w="85" w:type="dxa"/>
              <w:bottom w:w="70" w:type="dxa"/>
              <w:end w:w="85" w:type="dxa"/>
            </w:tcMar>
            <w:vAlign w:val="top"/>
          </w:tcPr>
          <w:p>
            <w:pPr>
              <w:spacing w:after="0"/>
            </w:pPr>
            <w:r/>
            <w:r>
              <w:rPr>
                <w:rFonts w:ascii="Noto Sans" w:hAnsi="Noto Sans"/>
                <w:color w:val="18212B"/>
                <w:sz w:val="16"/>
              </w:rPr>
              <w:t>Protocol, intelligence and router; external lenders and facilities provide capital.</w:t>
            </w:r>
          </w:p>
        </w:tc>
      </w:tr>
    </w:tbl>
    <w:p>
      <w:pPr>
        <w:spacing w:after="0"/>
      </w:pPr>
    </w:p>
    <w:p>
      <w:r>
        <w:rPr>
          <w:rFonts w:ascii="Noto Sans" w:hAnsi="Noto Sans"/>
        </w:rPr>
        <w:t>IPO.ONE is not merely an add-on to a payment network, lending stack or blockchain. Those systems move funds or originate products; IPO.ONE defines the shared credit and obligation coordination layer they do not provide. Intent states what is sought, evidence and intelligence assess capacity, lender policy creates authority, the Obligation records commitment, and adapters execute across external environments without changing core semantics.</w:t>
      </w:r>
    </w:p>
    <w:p>
      <w:pPr>
        <w:pStyle w:val="Heading2"/>
        <w:keepNext/>
      </w:pPr>
      <w:r>
        <w:rPr>
          <w:rFonts w:ascii="Noto Sans" w:hAnsi="Noto Sans"/>
        </w:rPr>
        <w:t>3. Product Thesis in One Sentence</w:t>
      </w:r>
    </w:p>
    <w:tbl>
      <w:tblPr>
        <w:tblW w:type="auto" w:w="0"/>
        <w:jc w:val="center"/>
        <w:tblLayout w:type="autofit"/>
        <w:tblLook w:firstColumn="1" w:firstRow="1" w:lastColumn="0" w:lastRow="0" w:noHBand="0" w:noVBand="1" w:val="04A0"/>
      </w:tblPr>
      <w:tblGrid>
        <w:gridCol w:w="9835"/>
      </w:tblGrid>
      <w:tr>
        <w:tc>
          <w:tcPr>
            <w:tcW w:type="dxa" w:w="9835"/>
            <w:shd w:fill="EAF0FF"/>
            <w:tcMar>
              <w:top w:w="110" w:type="dxa"/>
              <w:start w:w="140" w:type="dxa"/>
              <w:bottom w:w="110" w:type="dxa"/>
              <w:end w:w="140" w:type="dxa"/>
            </w:tcMar>
            <w:tcBorders>
              <w:top w:val="single" w:sz="8" w:color="2F6BFF"/>
              <w:left w:val="single" w:sz="8" w:color="2F6BFF"/>
              <w:bottom w:val="single" w:sz="8" w:color="2F6BFF"/>
              <w:right w:val="single" w:sz="8" w:color="2F6BFF"/>
            </w:tcBorders>
          </w:tcPr>
          <w:p>
            <w:pPr>
              <w:spacing w:after="40"/>
            </w:pPr>
            <w:r>
              <w:rPr>
                <w:rFonts w:ascii="Noto Sans" w:hAnsi="Noto Sans"/>
                <w:b/>
                <w:color w:val="2F6BFF"/>
                <w:sz w:val="16"/>
              </w:rPr>
              <w:t>PRODUCT THESIS</w:t>
            </w:r>
          </w:p>
          <w:p>
            <w:pPr>
              <w:spacing w:after="0"/>
            </w:pPr>
            <w:r>
              <w:rPr>
                <w:rFonts w:ascii="Noto Sans" w:hAnsi="Noto Sans"/>
                <w:b/>
                <w:color w:val="0B1F33"/>
                <w:sz w:val="18"/>
              </w:rPr>
              <w:t>Humans and autonomous Agents enter through native interfaces; lenders bring regulated origination and capital; IPO.ONE’s single kernel and Credit Intelligence Network turn identity, authority, evidence and intent into explainable offers, canonical obligations, rail-neutral settlement and continuously improving credit state.</w:t>
            </w:r>
          </w:p>
        </w:tc>
        <w:trPr>
          <w:tblHeader/>
        </w:trPr>
      </w:tr>
    </w:tbl>
    <w:p>
      <w:pPr>
        <w:spacing w:after="0"/>
      </w:pPr>
    </w:p>
    <w:p>
      <w:pPr>
        <w:pStyle w:val="Heading2"/>
        <w:keepNext/>
      </w:pPr>
      <w:r>
        <w:rPr>
          <w:rFonts w:ascii="Noto Sans" w:hAnsi="Noto Sans"/>
        </w:rPr>
        <w:t>4. Single Kernel, Dual Entry</w:t>
      </w:r>
    </w:p>
    <w:p>
      <w:pPr>
        <w:jc w:val="center"/>
      </w:pPr>
      <w:r>
        <w:rPr>
          <w:rFonts w:ascii="Noto Sans" w:hAnsi="Noto Sans"/>
        </w:rPr>
        <w:drawing>
          <wp:inline xmlns:a="http://schemas.openxmlformats.org/drawingml/2006/main" xmlns:pic="http://schemas.openxmlformats.org/drawingml/2006/picture">
            <wp:extent cx="6172200" cy="2857367"/>
            <wp:docPr id="2" name="Picture 2" title="Figure 2 — Single Kernel, Dual Entry: human and Agent protocols differ at the edge while canonical credit, obligation and learning state remain shared." descr="Human and Agent adapters entering one shared intent, evidence, decision, authorization, settlement and learning lifecycle."/>
            <wp:cNvGraphicFramePr>
              <a:graphicFrameLocks noChangeAspect="1"/>
            </wp:cNvGraphicFramePr>
            <a:graphic>
              <a:graphicData uri="http://schemas.openxmlformats.org/drawingml/2006/picture">
                <pic:pic>
                  <pic:nvPicPr>
                    <pic:cNvPr id="0" name="human_agent_journeys.png"/>
                    <pic:cNvPicPr/>
                  </pic:nvPicPr>
                  <pic:blipFill>
                    <a:blip r:embed="rId12"/>
                    <a:stretch>
                      <a:fillRect/>
                    </a:stretch>
                  </pic:blipFill>
                  <pic:spPr>
                    <a:xfrm>
                      <a:off x="0" y="0"/>
                      <a:ext cx="6172200" cy="2857367"/>
                    </a:xfrm>
                    <a:prstGeom prst="rect"/>
                  </pic:spPr>
                </pic:pic>
              </a:graphicData>
            </a:graphic>
          </wp:inline>
        </w:drawing>
      </w:r>
    </w:p>
    <w:p>
      <w:pPr>
        <w:spacing w:after="80"/>
        <w:jc w:val="center"/>
      </w:pPr>
      <w:r>
        <w:rPr>
          <w:rFonts w:ascii="Noto Sans" w:hAnsi="Noto Sans"/>
          <w:i/>
          <w:color w:val="5E6A75"/>
          <w:sz w:val="15"/>
        </w:rPr>
        <w:t>Figure 2 — Single Kernel, Dual Entry: human and Agent protocols differ at the edge while canonical credit, obligation and learning state remain shared.</w:t>
      </w:r>
    </w:p>
    <w:tbl>
      <w:tblPr>
        <w:tblStyle w:val="TableGrid"/>
        <w:tblW w:type="auto" w:w="0"/>
        <w:jc w:val="center"/>
        <w:tblLayout w:type="autofit"/>
        <w:tblLook w:firstColumn="1" w:firstRow="1" w:lastColumn="0" w:lastRow="0" w:noHBand="0" w:noVBand="1" w:val="04A0"/>
      </w:tblPr>
      <w:tblGrid>
        <w:gridCol w:w="2459"/>
        <w:gridCol w:w="2459"/>
        <w:gridCol w:w="2459"/>
        <w:gridCol w:w="2459"/>
      </w:tblGrid>
      <w:tr>
        <w:trPr>
          <w:tblHeader w:val="true"/>
          <w:cantSplit/>
        </w:trPr>
        <w:tc>
          <w:tcPr>
            <w:tcW w:type="dxa" w:w="2459"/>
            <w:shd w:fill="0B1F33"/>
            <w:tcMar>
              <w:top w:w="70" w:type="dxa"/>
              <w:start w:w="85" w:type="dxa"/>
              <w:bottom w:w="70" w:type="dxa"/>
              <w:end w:w="85" w:type="dxa"/>
            </w:tcMar>
            <w:vAlign w:val="center"/>
          </w:tcPr>
          <w:p>
            <w:pPr>
              <w:spacing w:after="0"/>
            </w:pPr>
            <w:r/>
            <w:r>
              <w:rPr>
                <w:rFonts w:ascii="Noto Sans" w:hAnsi="Noto Sans"/>
                <w:b/>
                <w:color w:val="FFFFFF"/>
                <w:sz w:val="16"/>
              </w:rPr>
              <w:t>Dimension</w:t>
            </w:r>
          </w:p>
        </w:tc>
        <w:tc>
          <w:tcPr>
            <w:tcW w:type="dxa" w:w="2459"/>
            <w:shd w:fill="0B1F33"/>
            <w:tcMar>
              <w:top w:w="70" w:type="dxa"/>
              <w:start w:w="85" w:type="dxa"/>
              <w:bottom w:w="70" w:type="dxa"/>
              <w:end w:w="85" w:type="dxa"/>
            </w:tcMar>
            <w:vAlign w:val="center"/>
          </w:tcPr>
          <w:p>
            <w:pPr>
              <w:spacing w:after="0"/>
            </w:pPr>
            <w:r/>
            <w:r>
              <w:rPr>
                <w:rFonts w:ascii="Noto Sans" w:hAnsi="Noto Sans"/>
                <w:b/>
                <w:color w:val="FFFFFF"/>
                <w:sz w:val="16"/>
              </w:rPr>
              <w:t>Human-native profile</w:t>
            </w:r>
          </w:p>
        </w:tc>
        <w:tc>
          <w:tcPr>
            <w:tcW w:type="dxa" w:w="2459"/>
            <w:shd w:fill="0B1F33"/>
            <w:tcMar>
              <w:top w:w="70" w:type="dxa"/>
              <w:start w:w="85" w:type="dxa"/>
              <w:bottom w:w="70" w:type="dxa"/>
              <w:end w:w="85" w:type="dxa"/>
            </w:tcMar>
            <w:vAlign w:val="center"/>
          </w:tcPr>
          <w:p>
            <w:pPr>
              <w:spacing w:after="0"/>
            </w:pPr>
            <w:r/>
            <w:r>
              <w:rPr>
                <w:rFonts w:ascii="Noto Sans" w:hAnsi="Noto Sans"/>
                <w:b/>
                <w:color w:val="FFFFFF"/>
                <w:sz w:val="16"/>
              </w:rPr>
              <w:t>Agent-native profile</w:t>
            </w:r>
          </w:p>
        </w:tc>
        <w:tc>
          <w:tcPr>
            <w:tcW w:type="dxa" w:w="2459"/>
            <w:shd w:fill="0B1F33"/>
            <w:tcMar>
              <w:top w:w="70" w:type="dxa"/>
              <w:start w:w="85" w:type="dxa"/>
              <w:bottom w:w="70" w:type="dxa"/>
              <w:end w:w="85" w:type="dxa"/>
            </w:tcMar>
            <w:vAlign w:val="center"/>
          </w:tcPr>
          <w:p>
            <w:pPr>
              <w:spacing w:after="0"/>
            </w:pPr>
            <w:r/>
            <w:r>
              <w:rPr>
                <w:rFonts w:ascii="Noto Sans" w:hAnsi="Noto Sans"/>
                <w:b/>
                <w:color w:val="FFFFFF"/>
                <w:sz w:val="16"/>
              </w:rPr>
              <w:t>Shared kernel</w:t>
            </w:r>
          </w:p>
        </w:tc>
      </w:tr>
      <w:tr>
        <w:trPr>
          <w:cantSplit/>
        </w:trPr>
        <w:tc>
          <w:tcPr>
            <w:tcW w:type="dxa" w:w="2459"/>
            <w:tcMar>
              <w:top w:w="70" w:type="dxa"/>
              <w:start w:w="85" w:type="dxa"/>
              <w:bottom w:w="70" w:type="dxa"/>
              <w:end w:w="85" w:type="dxa"/>
            </w:tcMar>
            <w:vAlign w:val="top"/>
          </w:tcPr>
          <w:p>
            <w:pPr>
              <w:spacing w:after="0"/>
            </w:pPr>
            <w:r/>
            <w:r>
              <w:rPr>
                <w:rFonts w:ascii="Noto Sans" w:hAnsi="Noto Sans"/>
                <w:color w:val="18212B"/>
                <w:sz w:val="16"/>
              </w:rPr>
              <w:t>Interaction</w:t>
            </w:r>
          </w:p>
        </w:tc>
        <w:tc>
          <w:tcPr>
            <w:tcW w:type="dxa" w:w="2459"/>
            <w:tcMar>
              <w:top w:w="70" w:type="dxa"/>
              <w:start w:w="85" w:type="dxa"/>
              <w:bottom w:w="70" w:type="dxa"/>
              <w:end w:w="85" w:type="dxa"/>
            </w:tcMar>
            <w:vAlign w:val="top"/>
          </w:tcPr>
          <w:p>
            <w:pPr>
              <w:spacing w:after="0"/>
            </w:pPr>
            <w:r/>
            <w:r>
              <w:rPr>
                <w:rFonts w:ascii="Noto Sans" w:hAnsi="Noto Sans"/>
                <w:color w:val="18212B"/>
                <w:sz w:val="16"/>
              </w:rPr>
              <w:t>IPO.ONE App, embedded SDK, partner or institutional interface.</w:t>
            </w:r>
          </w:p>
        </w:tc>
        <w:tc>
          <w:tcPr>
            <w:tcW w:type="dxa" w:w="2459"/>
            <w:tcMar>
              <w:top w:w="70" w:type="dxa"/>
              <w:start w:w="85" w:type="dxa"/>
              <w:bottom w:w="70" w:type="dxa"/>
              <w:end w:w="85" w:type="dxa"/>
            </w:tcMar>
            <w:vAlign w:val="top"/>
          </w:tcPr>
          <w:p>
            <w:pPr>
              <w:spacing w:after="0"/>
            </w:pPr>
            <w:r/>
            <w:r>
              <w:rPr>
                <w:rFonts w:ascii="Noto Sans" w:hAnsi="Noto Sans"/>
                <w:color w:val="18212B"/>
                <w:sz w:val="16"/>
              </w:rPr>
              <w:t>API, SDK, MCP, A2A, Agent runtime or smart-account interface.</w:t>
            </w:r>
          </w:p>
        </w:tc>
        <w:tc>
          <w:tcPr>
            <w:tcW w:type="dxa" w:w="2459"/>
            <w:tcMar>
              <w:top w:w="70" w:type="dxa"/>
              <w:start w:w="85" w:type="dxa"/>
              <w:bottom w:w="70" w:type="dxa"/>
              <w:end w:w="85" w:type="dxa"/>
            </w:tcMar>
            <w:vAlign w:val="top"/>
          </w:tcPr>
          <w:p>
            <w:pPr>
              <w:spacing w:after="0"/>
            </w:pPr>
            <w:r/>
            <w:r>
              <w:rPr>
                <w:rFonts w:ascii="Noto Sans" w:hAnsi="Noto Sans"/>
                <w:color w:val="18212B"/>
                <w:sz w:val="16"/>
              </w:rPr>
              <w:t>Both normalize into CreditIntent, evidence, offer, authorization and obligation objects.</w:t>
            </w:r>
          </w:p>
        </w:tc>
      </w:tr>
      <w:tr>
        <w:trPr>
          <w:cantSplit/>
        </w:trPr>
        <w:tc>
          <w:tcPr>
            <w:tcW w:type="dxa" w:w="2459"/>
            <w:shd w:fill="F3F6F8"/>
            <w:tcMar>
              <w:top w:w="70" w:type="dxa"/>
              <w:start w:w="85" w:type="dxa"/>
              <w:bottom w:w="70" w:type="dxa"/>
              <w:end w:w="85" w:type="dxa"/>
            </w:tcMar>
            <w:vAlign w:val="top"/>
          </w:tcPr>
          <w:p>
            <w:pPr>
              <w:spacing w:after="0"/>
            </w:pPr>
            <w:r/>
            <w:r>
              <w:rPr>
                <w:rFonts w:ascii="Noto Sans" w:hAnsi="Noto Sans"/>
                <w:color w:val="18212B"/>
                <w:sz w:val="16"/>
              </w:rPr>
              <w:t>Identity and authority</w:t>
            </w:r>
          </w:p>
        </w:tc>
        <w:tc>
          <w:tcPr>
            <w:tcW w:type="dxa" w:w="2459"/>
            <w:shd w:fill="F3F6F8"/>
            <w:tcMar>
              <w:top w:w="70" w:type="dxa"/>
              <w:start w:w="85" w:type="dxa"/>
              <w:bottom w:w="70" w:type="dxa"/>
              <w:end w:w="85" w:type="dxa"/>
            </w:tcMar>
            <w:vAlign w:val="top"/>
          </w:tcPr>
          <w:p>
            <w:pPr>
              <w:spacing w:after="0"/>
            </w:pPr>
            <w:r/>
            <w:r>
              <w:rPr>
                <w:rFonts w:ascii="Noto Sans" w:hAnsi="Noto Sans"/>
                <w:color w:val="18212B"/>
                <w:sz w:val="16"/>
              </w:rPr>
              <w:t>KYC, consent and applicable legal capacity.</w:t>
            </w:r>
          </w:p>
        </w:tc>
        <w:tc>
          <w:tcPr>
            <w:tcW w:type="dxa" w:w="2459"/>
            <w:shd w:fill="F3F6F8"/>
            <w:tcMar>
              <w:top w:w="70" w:type="dxa"/>
              <w:start w:w="85" w:type="dxa"/>
              <w:bottom w:w="70" w:type="dxa"/>
              <w:end w:w="85" w:type="dxa"/>
            </w:tcMar>
            <w:vAlign w:val="top"/>
          </w:tcPr>
          <w:p>
            <w:pPr>
              <w:spacing w:after="0"/>
            </w:pPr>
            <w:r/>
            <w:r>
              <w:rPr>
                <w:rFonts w:ascii="Noto Sans" w:hAnsi="Noto Sans"/>
                <w:color w:val="18212B"/>
                <w:sz w:val="16"/>
              </w:rPr>
              <w:t>KYB, signer authority, Principal relationship, Agent identity and account binding.</w:t>
            </w:r>
          </w:p>
        </w:tc>
        <w:tc>
          <w:tcPr>
            <w:tcW w:type="dxa" w:w="2459"/>
            <w:shd w:fill="F3F6F8"/>
            <w:tcMar>
              <w:top w:w="70" w:type="dxa"/>
              <w:start w:w="85" w:type="dxa"/>
              <w:bottom w:w="70" w:type="dxa"/>
              <w:end w:w="85" w:type="dxa"/>
            </w:tcMar>
            <w:vAlign w:val="top"/>
          </w:tcPr>
          <w:p>
            <w:pPr>
              <w:spacing w:after="0"/>
            </w:pPr>
            <w:r/>
            <w:r>
              <w:rPr>
                <w:rFonts w:ascii="Noto Sans" w:hAnsi="Noto Sans"/>
                <w:color w:val="18212B"/>
                <w:sz w:val="16"/>
              </w:rPr>
              <w:t>VerificationAttestation and PrincipalRelationship use the same canonical structure.</w:t>
            </w:r>
          </w:p>
        </w:tc>
      </w:tr>
      <w:tr>
        <w:trPr>
          <w:cantSplit/>
        </w:trPr>
        <w:tc>
          <w:tcPr>
            <w:tcW w:type="dxa" w:w="2459"/>
            <w:tcMar>
              <w:top w:w="70" w:type="dxa"/>
              <w:start w:w="85" w:type="dxa"/>
              <w:bottom w:w="70" w:type="dxa"/>
              <w:end w:w="85" w:type="dxa"/>
            </w:tcMar>
            <w:vAlign w:val="top"/>
          </w:tcPr>
          <w:p>
            <w:pPr>
              <w:spacing w:after="0"/>
            </w:pPr>
            <w:r/>
            <w:r>
              <w:rPr>
                <w:rFonts w:ascii="Noto Sans" w:hAnsi="Noto Sans"/>
                <w:color w:val="18212B"/>
                <w:sz w:val="16"/>
              </w:rPr>
              <w:t>Policy</w:t>
            </w:r>
          </w:p>
        </w:tc>
        <w:tc>
          <w:tcPr>
            <w:tcW w:type="dxa" w:w="2459"/>
            <w:tcMar>
              <w:top w:w="70" w:type="dxa"/>
              <w:start w:w="85" w:type="dxa"/>
              <w:bottom w:w="70" w:type="dxa"/>
              <w:end w:w="85" w:type="dxa"/>
            </w:tcMar>
            <w:vAlign w:val="top"/>
          </w:tcPr>
          <w:p>
            <w:pPr>
              <w:spacing w:after="0"/>
            </w:pPr>
            <w:r/>
            <w:r>
              <w:rPr>
                <w:rFonts w:ascii="Noto Sans" w:hAnsi="Noto Sans"/>
                <w:color w:val="18212B"/>
                <w:sz w:val="16"/>
              </w:rPr>
              <w:t>Product, affordability, consumer-protection and jurisdiction profile.</w:t>
            </w:r>
          </w:p>
        </w:tc>
        <w:tc>
          <w:tcPr>
            <w:tcW w:type="dxa" w:w="2459"/>
            <w:tcMar>
              <w:top w:w="70" w:type="dxa"/>
              <w:start w:w="85" w:type="dxa"/>
              <w:bottom w:w="70" w:type="dxa"/>
              <w:end w:w="85" w:type="dxa"/>
            </w:tcMar>
            <w:vAlign w:val="top"/>
          </w:tcPr>
          <w:p>
            <w:pPr>
              <w:spacing w:after="0"/>
            </w:pPr>
            <w:r/>
            <w:r>
              <w:rPr>
                <w:rFonts w:ascii="Noto Sans" w:hAnsi="Noto Sans"/>
                <w:color w:val="18212B"/>
                <w:sz w:val="16"/>
              </w:rPr>
              <w:t>Mandate, purpose, budget, sponsor and commercial-credit profile.</w:t>
            </w:r>
          </w:p>
        </w:tc>
        <w:tc>
          <w:tcPr>
            <w:tcW w:type="dxa" w:w="2459"/>
            <w:tcMar>
              <w:top w:w="70" w:type="dxa"/>
              <w:start w:w="85" w:type="dxa"/>
              <w:bottom w:w="70" w:type="dxa"/>
              <w:end w:w="85" w:type="dxa"/>
            </w:tcMar>
            <w:vAlign w:val="top"/>
          </w:tcPr>
          <w:p>
            <w:pPr>
              <w:spacing w:after="0"/>
            </w:pPr>
            <w:r/>
            <w:r>
              <w:rPr>
                <w:rFonts w:ascii="Noto Sans" w:hAnsi="Noto Sans"/>
                <w:color w:val="18212B"/>
                <w:sz w:val="16"/>
              </w:rPr>
              <w:t>Versioned LenderPolicy and Authorization enforce product-specific constraints.</w:t>
            </w:r>
          </w:p>
        </w:tc>
      </w:tr>
      <w:tr>
        <w:trPr>
          <w:cantSplit/>
        </w:trPr>
        <w:tc>
          <w:tcPr>
            <w:tcW w:type="dxa" w:w="2459"/>
            <w:shd w:fill="F3F6F8"/>
            <w:tcMar>
              <w:top w:w="70" w:type="dxa"/>
              <w:start w:w="85" w:type="dxa"/>
              <w:bottom w:w="70" w:type="dxa"/>
              <w:end w:w="85" w:type="dxa"/>
            </w:tcMar>
            <w:vAlign w:val="top"/>
          </w:tcPr>
          <w:p>
            <w:pPr>
              <w:spacing w:after="0"/>
            </w:pPr>
            <w:r/>
            <w:r>
              <w:rPr>
                <w:rFonts w:ascii="Noto Sans" w:hAnsi="Noto Sans"/>
                <w:color w:val="18212B"/>
                <w:sz w:val="16"/>
              </w:rPr>
              <w:t>Execution environment</w:t>
            </w:r>
          </w:p>
        </w:tc>
        <w:tc>
          <w:tcPr>
            <w:tcW w:type="dxa" w:w="2459"/>
            <w:shd w:fill="F3F6F8"/>
            <w:tcMar>
              <w:top w:w="70" w:type="dxa"/>
              <w:start w:w="85" w:type="dxa"/>
              <w:bottom w:w="70" w:type="dxa"/>
              <w:end w:w="85" w:type="dxa"/>
            </w:tcMar>
            <w:vAlign w:val="top"/>
          </w:tcPr>
          <w:p>
            <w:pPr>
              <w:spacing w:after="0"/>
            </w:pPr>
            <w:r/>
            <w:r>
              <w:rPr>
                <w:rFonts w:ascii="Noto Sans" w:hAnsi="Noto Sans"/>
                <w:color w:val="18212B"/>
                <w:sz w:val="16"/>
              </w:rPr>
              <w:t>Traditional or on-chain account chosen by the borrower, lender and product.</w:t>
            </w:r>
          </w:p>
        </w:tc>
        <w:tc>
          <w:tcPr>
            <w:tcW w:type="dxa" w:w="2459"/>
            <w:shd w:fill="F3F6F8"/>
            <w:tcMar>
              <w:top w:w="70" w:type="dxa"/>
              <w:start w:w="85" w:type="dxa"/>
              <w:bottom w:w="70" w:type="dxa"/>
              <w:end w:w="85" w:type="dxa"/>
            </w:tcMar>
            <w:vAlign w:val="top"/>
          </w:tcPr>
          <w:p>
            <w:pPr>
              <w:spacing w:after="0"/>
            </w:pPr>
            <w:r/>
            <w:r>
              <w:rPr>
                <w:rFonts w:ascii="Noto Sans" w:hAnsi="Noto Sans"/>
                <w:color w:val="18212B"/>
                <w:sz w:val="16"/>
              </w:rPr>
              <w:t>Traditional account, wallet, smart account or service-provider account.</w:t>
            </w:r>
          </w:p>
        </w:tc>
        <w:tc>
          <w:tcPr>
            <w:tcW w:type="dxa" w:w="2459"/>
            <w:shd w:fill="F3F6F8"/>
            <w:tcMar>
              <w:top w:w="70" w:type="dxa"/>
              <w:start w:w="85" w:type="dxa"/>
              <w:bottom w:w="70" w:type="dxa"/>
              <w:end w:w="85" w:type="dxa"/>
            </w:tcMar>
            <w:vAlign w:val="top"/>
          </w:tcPr>
          <w:p>
            <w:pPr>
              <w:spacing w:after="0"/>
            </w:pPr>
            <w:r/>
            <w:r>
              <w:rPr>
                <w:rFonts w:ascii="Noto Sans" w:hAnsi="Noto Sans"/>
                <w:color w:val="18212B"/>
                <w:sz w:val="16"/>
              </w:rPr>
              <w:t>Multi-Rail Adapters map all receipts and finality into RailEvents.</w:t>
            </w:r>
          </w:p>
        </w:tc>
      </w:tr>
      <w:tr>
        <w:trPr>
          <w:cantSplit/>
        </w:trPr>
        <w:tc>
          <w:tcPr>
            <w:tcW w:type="dxa" w:w="2459"/>
            <w:tcMar>
              <w:top w:w="70" w:type="dxa"/>
              <w:start w:w="85" w:type="dxa"/>
              <w:bottom w:w="70" w:type="dxa"/>
              <w:end w:w="85" w:type="dxa"/>
            </w:tcMar>
            <w:vAlign w:val="top"/>
          </w:tcPr>
          <w:p>
            <w:pPr>
              <w:spacing w:after="0"/>
            </w:pPr>
            <w:r/>
            <w:r>
              <w:rPr>
                <w:rFonts w:ascii="Noto Sans" w:hAnsi="Noto Sans"/>
                <w:color w:val="18212B"/>
                <w:sz w:val="16"/>
              </w:rPr>
              <w:t>Output</w:t>
            </w:r>
          </w:p>
        </w:tc>
        <w:tc>
          <w:tcPr>
            <w:tcW w:type="dxa" w:w="2459"/>
            <w:tcMar>
              <w:top w:w="70" w:type="dxa"/>
              <w:start w:w="85" w:type="dxa"/>
              <w:bottom w:w="70" w:type="dxa"/>
              <w:end w:w="85" w:type="dxa"/>
            </w:tcMar>
            <w:vAlign w:val="top"/>
          </w:tcPr>
          <w:p>
            <w:pPr>
              <w:spacing w:after="0"/>
            </w:pPr>
            <w:r/>
            <w:r>
              <w:rPr>
                <w:rFonts w:ascii="Noto Sans" w:hAnsi="Noto Sans"/>
                <w:color w:val="18212B"/>
                <w:sz w:val="16"/>
              </w:rPr>
              <w:t>Credit Account, offers, Obligation, repayment state and portable performance.</w:t>
            </w:r>
          </w:p>
        </w:tc>
        <w:tc>
          <w:tcPr>
            <w:tcW w:type="dxa" w:w="2459"/>
            <w:tcMar>
              <w:top w:w="70" w:type="dxa"/>
              <w:start w:w="85" w:type="dxa"/>
              <w:bottom w:w="70" w:type="dxa"/>
              <w:end w:w="85" w:type="dxa"/>
            </w:tcMar>
            <w:vAlign w:val="top"/>
          </w:tcPr>
          <w:p>
            <w:pPr>
              <w:spacing w:after="0"/>
            </w:pPr>
            <w:r/>
            <w:r>
              <w:rPr>
                <w:rFonts w:ascii="Noto Sans" w:hAnsi="Noto Sans"/>
                <w:color w:val="18212B"/>
                <w:sz w:val="16"/>
              </w:rPr>
              <w:t>Same.</w:t>
            </w:r>
          </w:p>
        </w:tc>
        <w:tc>
          <w:tcPr>
            <w:tcW w:type="dxa" w:w="2459"/>
            <w:tcMar>
              <w:top w:w="70" w:type="dxa"/>
              <w:start w:w="85" w:type="dxa"/>
              <w:bottom w:w="70" w:type="dxa"/>
              <w:end w:w="85" w:type="dxa"/>
            </w:tcMar>
            <w:vAlign w:val="top"/>
          </w:tcPr>
          <w:p>
            <w:pPr>
              <w:spacing w:after="0"/>
            </w:pPr>
            <w:r/>
            <w:r>
              <w:rPr>
                <w:rFonts w:ascii="Noto Sans" w:hAnsi="Noto Sans"/>
                <w:color w:val="18212B"/>
                <w:sz w:val="16"/>
              </w:rPr>
              <w:t>One recomputable CreditState and audit trail.</w:t>
            </w:r>
          </w:p>
        </w:tc>
      </w:tr>
    </w:tbl>
    <w:p>
      <w:pPr>
        <w:spacing w:after="0"/>
      </w:pPr>
    </w:p>
    <w:p>
      <w:r>
        <w:rPr>
          <w:rFonts w:ascii="Noto Sans" w:hAnsi="Noto Sans"/>
        </w:rPr>
        <w:t>Equal first-class status does not mean identical underwriting or identical law. It means the protocol never treats humans as a legacy mode or Agents as a bolt-on. It preserves one identity, credit, obligation, settlement and learning ontology, while adapters and policy profiles express the real differences in verification, authority, protection, liability and risk.</w:t>
      </w:r>
    </w:p>
    <w:p>
      <w:pPr>
        <w:pStyle w:val="Heading1"/>
        <w:keepNext/>
      </w:pPr>
      <w:r>
        <w:rPr>
          <w:rFonts w:ascii="Noto Sans" w:hAnsi="Noto Sans"/>
        </w:rPr>
        <w:t>PART II — Borrowers, Lenders and Product Journeys</w:t>
      </w:r>
    </w:p>
    <w:p>
      <w:pPr>
        <w:pStyle w:val="Heading2"/>
        <w:keepNext/>
      </w:pPr>
      <w:r>
        <w:rPr>
          <w:rFonts w:ascii="Noto Sans" w:hAnsi="Noto Sans"/>
        </w:rPr>
        <w:t>5. Human Credit Access</w:t>
      </w:r>
    </w:p>
    <w:p>
      <w:r>
        <w:rPr>
          <w:rFonts w:ascii="Noto Sans" w:hAnsi="Noto Sans"/>
        </w:rPr>
        <w:t>Human access is one native entry into the protocol, not a legacy compatibility layer. People may apply through the IPO.ONE Credit App or an embedded partner interface; the official application is a direct channel and product laboratory, while embedded distribution remains the scaling model. The journey uses the same canonical credit and obligation lifecycle as Agent access.</w:t>
      </w:r>
    </w:p>
    <w:p>
      <w:pPr>
        <w:spacing w:after="40"/>
        <w:ind w:left="317" w:hanging="317"/>
      </w:pPr>
      <w:r>
        <w:rPr>
          <w:rFonts w:ascii="Noto Sans" w:hAnsi="Noto Sans"/>
          <w:b/>
          <w:color w:val="2F6BFF"/>
        </w:rPr>
        <w:t xml:space="preserve">1. </w:t>
      </w:r>
      <w:r>
        <w:rPr>
          <w:rFonts w:ascii="Noto Sans" w:hAnsi="Noto Sans"/>
        </w:rPr>
        <w:t>The borrower submits a Credit Intent containing amount, purpose, desired tenor, repayment source and permitted settlement preferences.</w:t>
      </w:r>
    </w:p>
    <w:p>
      <w:pPr>
        <w:spacing w:after="40"/>
        <w:ind w:left="317" w:hanging="317"/>
      </w:pPr>
      <w:r>
        <w:rPr>
          <w:rFonts w:ascii="Noto Sans" w:hAnsi="Noto Sans"/>
          <w:b/>
          <w:color w:val="2F6BFF"/>
        </w:rPr>
        <w:t xml:space="preserve">2. </w:t>
      </w:r>
      <w:r>
        <w:rPr>
          <w:rFonts w:ascii="Noto Sans" w:hAnsi="Noto Sans"/>
        </w:rPr>
        <w:t>The borrower grants purpose-limited consent to external KYC and selected evidence connections.</w:t>
      </w:r>
    </w:p>
    <w:p>
      <w:pPr>
        <w:spacing w:after="40"/>
        <w:ind w:left="317" w:hanging="317"/>
      </w:pPr>
      <w:r>
        <w:rPr>
          <w:rFonts w:ascii="Noto Sans" w:hAnsi="Noto Sans"/>
          <w:b/>
          <w:color w:val="2F6BFF"/>
        </w:rPr>
        <w:t xml:space="preserve">3. </w:t>
      </w:r>
      <w:r>
        <w:rPr>
          <w:rFonts w:ascii="Noto Sans" w:hAnsi="Noto Sans"/>
        </w:rPr>
        <w:t>A qualified provider or Originator completes required checks; IPO.ONE receives a signed status and provenance reference rather than unnecessary raw documents.</w:t>
      </w:r>
    </w:p>
    <w:p>
      <w:pPr>
        <w:spacing w:after="40"/>
        <w:ind w:left="317" w:hanging="317"/>
      </w:pPr>
      <w:r>
        <w:rPr>
          <w:rFonts w:ascii="Noto Sans" w:hAnsi="Noto Sans"/>
          <w:b/>
          <w:color w:val="2F6BFF"/>
        </w:rPr>
        <w:t xml:space="preserve">4. </w:t>
      </w:r>
      <w:r>
        <w:rPr>
          <w:rFonts w:ascii="Noto Sans" w:hAnsi="Noto Sans"/>
        </w:rPr>
        <w:t>IPO.ONE constructs a Credit Profile from verified cash flow, stability, existing obligations, repayment history, fraud signals and evidence confidence.</w:t>
      </w:r>
    </w:p>
    <w:p>
      <w:pPr>
        <w:spacing w:after="40"/>
        <w:ind w:left="317" w:hanging="317"/>
      </w:pPr>
      <w:r>
        <w:rPr>
          <w:rFonts w:ascii="Noto Sans" w:hAnsi="Noto Sans"/>
          <w:b/>
          <w:color w:val="2F6BFF"/>
        </w:rPr>
        <w:t xml:space="preserve">5. </w:t>
      </w:r>
      <w:r>
        <w:rPr>
          <w:rFonts w:ascii="Noto Sans" w:hAnsi="Noto Sans"/>
        </w:rPr>
        <w:t>The Decisioning Engine produces an explainable eligibility result and recommended capacity, tenor, controls and indicative risk price.</w:t>
      </w:r>
    </w:p>
    <w:p>
      <w:pPr>
        <w:spacing w:after="40"/>
        <w:ind w:left="317" w:hanging="317"/>
      </w:pPr>
      <w:r>
        <w:rPr>
          <w:rFonts w:ascii="Noto Sans" w:hAnsi="Noto Sans"/>
          <w:b/>
          <w:color w:val="2F6BFF"/>
        </w:rPr>
        <w:t xml:space="preserve">6. </w:t>
      </w:r>
      <w:r>
        <w:rPr>
          <w:rFonts w:ascii="Noto Sans" w:hAnsi="Noto Sans"/>
        </w:rPr>
        <w:t>The Offer Router matches the request to eligible lender policies and presents qualified terms using a common comparison model.</w:t>
      </w:r>
    </w:p>
    <w:p>
      <w:pPr>
        <w:spacing w:after="40"/>
        <w:ind w:left="317" w:hanging="317"/>
      </w:pPr>
      <w:r>
        <w:rPr>
          <w:rFonts w:ascii="Noto Sans" w:hAnsi="Noto Sans"/>
          <w:b/>
          <w:color w:val="2F6BFF"/>
        </w:rPr>
        <w:t xml:space="preserve">7. </w:t>
      </w:r>
      <w:r>
        <w:rPr>
          <w:rFonts w:ascii="Noto Sans" w:hAnsi="Noto Sans"/>
        </w:rPr>
        <w:t>The selected lender or Originator issues required disclosures and agreement; a Multi-Rail Adapter coordinates funding through the approved traditional, on-chain or hybrid path.</w:t>
      </w:r>
    </w:p>
    <w:p>
      <w:pPr>
        <w:spacing w:after="40"/>
        <w:ind w:left="317" w:hanging="317"/>
      </w:pPr>
      <w:r>
        <w:rPr>
          <w:rFonts w:ascii="Noto Sans" w:hAnsi="Noto Sans"/>
          <w:b/>
          <w:color w:val="2F6BFF"/>
        </w:rPr>
        <w:t xml:space="preserve">8. </w:t>
      </w:r>
      <w:r>
        <w:rPr>
          <w:rFonts w:ascii="Noto Sans" w:hAnsi="Noto Sans"/>
        </w:rPr>
        <w:t>Normalized repayment and settlement events update the Credit Account, regardless of which supported rail executed the transfer.</w:t>
      </w:r>
    </w:p>
    <w:p>
      <w:pPr>
        <w:pStyle w:val="Heading2"/>
        <w:keepNext/>
      </w:pPr>
      <w:r>
        <w:rPr>
          <w:rFonts w:ascii="Noto Sans" w:hAnsi="Noto Sans"/>
        </w:rPr>
        <w:t>6. Agent Credit Access</w:t>
      </w:r>
    </w:p>
    <w:p>
      <w:r>
        <w:rPr>
          <w:rFonts w:ascii="Noto Sans" w:hAnsi="Noto Sans"/>
        </w:rPr>
        <w:t>Agent access is the second native entry into the same protocol, not a machine wrapper around human forms. Agents use structured APIs, SDKs, MCP, A2A and compatible machine protocols that normalize into canonical objects. The system does not assume that an Agent is an independent legal person; a verified Principal or Operator establishes authority, liability, budgets and repayment sources under the applicable policy profile.</w:t>
      </w:r>
    </w:p>
    <w:p>
      <w:pPr>
        <w:spacing w:after="40"/>
        <w:ind w:left="317" w:hanging="317"/>
      </w:pPr>
      <w:r>
        <w:rPr>
          <w:rFonts w:ascii="Noto Sans" w:hAnsi="Noto Sans"/>
          <w:b/>
          <w:color w:val="2F6BFF"/>
        </w:rPr>
        <w:t xml:space="preserve">1. </w:t>
      </w:r>
      <w:r>
        <w:rPr>
          <w:rFonts w:ascii="Noto Sans" w:hAnsi="Noto Sans"/>
        </w:rPr>
        <w:t>The responsible Operator or Principal completes the required identity, KYB and authority checks.</w:t>
      </w:r>
    </w:p>
    <w:p>
      <w:pPr>
        <w:spacing w:after="40"/>
        <w:ind w:left="317" w:hanging="317"/>
      </w:pPr>
      <w:r>
        <w:rPr>
          <w:rFonts w:ascii="Noto Sans" w:hAnsi="Noto Sans"/>
          <w:b/>
          <w:color w:val="2F6BFF"/>
        </w:rPr>
        <w:t xml:space="preserve">2. </w:t>
      </w:r>
      <w:r>
        <w:rPr>
          <w:rFonts w:ascii="Noto Sans" w:hAnsi="Noto Sans"/>
        </w:rPr>
        <w:t>The Agent is bound to an account, wallet, smart account or platform identity and receives a machine-readable Mandate.</w:t>
      </w:r>
    </w:p>
    <w:p>
      <w:pPr>
        <w:spacing w:after="40"/>
        <w:ind w:left="317" w:hanging="317"/>
      </w:pPr>
      <w:r>
        <w:rPr>
          <w:rFonts w:ascii="Noto Sans" w:hAnsi="Noto Sans"/>
          <w:b/>
          <w:color w:val="2F6BFF"/>
        </w:rPr>
        <w:t xml:space="preserve">3. </w:t>
      </w:r>
      <w:r>
        <w:rPr>
          <w:rFonts w:ascii="Noto Sans" w:hAnsi="Noto Sans"/>
        </w:rPr>
        <w:t>The Agent submits a Credit Intent and, where execution is multi-step or restricted, an Execution Plan with budget, Providers, fallback behavior and evidence criteria.</w:t>
      </w:r>
    </w:p>
    <w:p>
      <w:pPr>
        <w:spacing w:after="40"/>
        <w:ind w:left="317" w:hanging="317"/>
      </w:pPr>
      <w:r>
        <w:rPr>
          <w:rFonts w:ascii="Noto Sans" w:hAnsi="Noto Sans"/>
          <w:b/>
          <w:color w:val="2F6BFF"/>
        </w:rPr>
        <w:t xml:space="preserve">4. </w:t>
      </w:r>
      <w:r>
        <w:rPr>
          <w:rFonts w:ascii="Noto Sans" w:hAnsi="Noto Sans"/>
        </w:rPr>
        <w:t>IPO.ONE validates plan, mandate, existing exposure, repayment capacity, lender policy and Provider eligibility.</w:t>
      </w:r>
    </w:p>
    <w:p>
      <w:pPr>
        <w:spacing w:after="40"/>
        <w:ind w:left="317" w:hanging="317"/>
      </w:pPr>
      <w:r>
        <w:rPr>
          <w:rFonts w:ascii="Noto Sans" w:hAnsi="Noto Sans"/>
          <w:b/>
          <w:color w:val="2F6BFF"/>
        </w:rPr>
        <w:t xml:space="preserve">5. </w:t>
      </w:r>
      <w:r>
        <w:rPr>
          <w:rFonts w:ascii="Noto Sans" w:hAnsi="Noto Sans"/>
        </w:rPr>
        <w:t>The Router obtains Provider-funded terms, lender-funded capacity or a sponsor-backed line under the same CreditOffer model used for human credit.</w:t>
      </w:r>
    </w:p>
    <w:p>
      <w:pPr>
        <w:spacing w:after="40"/>
        <w:ind w:left="317" w:hanging="317"/>
      </w:pPr>
      <w:r>
        <w:rPr>
          <w:rFonts w:ascii="Noto Sans" w:hAnsi="Noto Sans"/>
          <w:b/>
          <w:color w:val="2F6BFF"/>
        </w:rPr>
        <w:t xml:space="preserve">6. </w:t>
      </w:r>
      <w:r>
        <w:rPr>
          <w:rFonts w:ascii="Noto Sans" w:hAnsi="Noto Sans"/>
        </w:rPr>
        <w:t>An Authorization permits only approved resources, amounts, counterparties, time windows and settlement environments.</w:t>
      </w:r>
    </w:p>
    <w:p>
      <w:pPr>
        <w:spacing w:after="40"/>
        <w:ind w:left="317" w:hanging="317"/>
      </w:pPr>
      <w:r>
        <w:rPr>
          <w:rFonts w:ascii="Noto Sans" w:hAnsi="Noto Sans"/>
          <w:b/>
          <w:color w:val="2F6BFF"/>
        </w:rPr>
        <w:t xml:space="preserve">7. </w:t>
      </w:r>
      <w:r>
        <w:rPr>
          <w:rFonts w:ascii="Noto Sans" w:hAnsi="Noto Sans"/>
        </w:rPr>
        <w:t>Usage or drawdown creates an Obligation; Multi-Rail Adapters may pay a Provider or transfer value through a traditional or on-chain environment.</w:t>
      </w:r>
    </w:p>
    <w:p>
      <w:pPr>
        <w:spacing w:after="40"/>
        <w:ind w:left="317" w:hanging="317"/>
      </w:pPr>
      <w:r>
        <w:rPr>
          <w:rFonts w:ascii="Noto Sans" w:hAnsi="Noto Sans"/>
          <w:b/>
          <w:color w:val="2F6BFF"/>
        </w:rPr>
        <w:t xml:space="preserve">8. </w:t>
      </w:r>
      <w:r>
        <w:rPr>
          <w:rFonts w:ascii="Noto Sans" w:hAnsi="Noto Sans"/>
        </w:rPr>
        <w:t>Repayment, finality and productive outcomes update the relevant Agent and Principal Credit States without confusing execution identity with legal responsibility.</w:t>
      </w:r>
    </w:p>
    <w:p>
      <w:pPr>
        <w:pStyle w:val="Heading2"/>
        <w:keepNext/>
      </w:pPr>
      <w:r>
        <w:rPr>
          <w:rFonts w:ascii="Noto Sans" w:hAnsi="Noto Sans"/>
        </w:rPr>
        <w:t>7. Lender, Originator and Capital-Provider Journey</w:t>
      </w:r>
    </w:p>
    <w:p>
      <w:r>
        <w:rPr>
          <w:rFonts w:ascii="Noto Sans" w:hAnsi="Noto Sans"/>
        </w:rPr>
        <w:t>Capital providers should not need to adopt a new balance sheet or surrender control. They publish a machine-readable Lender Policy or Capital Mandate and choose how much decision authority to delegate.</w:t>
      </w:r>
    </w:p>
    <w:tbl>
      <w:tblPr>
        <w:tblStyle w:val="TableGrid"/>
        <w:tblW w:type="auto" w:w="0"/>
        <w:jc w:val="center"/>
        <w:tblLayout w:type="autofit"/>
        <w:tblLook w:firstColumn="1" w:firstRow="1" w:lastColumn="0" w:lastRow="0" w:noHBand="0" w:noVBand="1" w:val="04A0"/>
      </w:tblPr>
      <w:tblGrid>
        <w:gridCol w:w="3278"/>
        <w:gridCol w:w="3278"/>
        <w:gridCol w:w="3278"/>
      </w:tblGrid>
      <w:tr>
        <w:trPr>
          <w:tblHeader w:val="true"/>
          <w:cantSplit/>
        </w:trPr>
        <w:tc>
          <w:tcPr>
            <w:tcW w:type="dxa" w:w="3278"/>
            <w:shd w:fill="0B1F33"/>
            <w:tcMar>
              <w:top w:w="70" w:type="dxa"/>
              <w:start w:w="85" w:type="dxa"/>
              <w:bottom w:w="70" w:type="dxa"/>
              <w:end w:w="85" w:type="dxa"/>
            </w:tcMar>
            <w:vAlign w:val="center"/>
          </w:tcPr>
          <w:p>
            <w:pPr>
              <w:spacing w:after="0"/>
            </w:pPr>
            <w:r/>
            <w:r>
              <w:rPr>
                <w:rFonts w:ascii="Noto Sans" w:hAnsi="Noto Sans"/>
                <w:b/>
                <w:color w:val="FFFFFF"/>
                <w:sz w:val="16"/>
              </w:rPr>
              <w:t>Decision mode</w:t>
            </w:r>
          </w:p>
        </w:tc>
        <w:tc>
          <w:tcPr>
            <w:tcW w:type="dxa" w:w="3278"/>
            <w:shd w:fill="0B1F33"/>
            <w:tcMar>
              <w:top w:w="70" w:type="dxa"/>
              <w:start w:w="85" w:type="dxa"/>
              <w:bottom w:w="70" w:type="dxa"/>
              <w:end w:w="85" w:type="dxa"/>
            </w:tcMar>
            <w:vAlign w:val="center"/>
          </w:tcPr>
          <w:p>
            <w:pPr>
              <w:spacing w:after="0"/>
            </w:pPr>
            <w:r/>
            <w:r>
              <w:rPr>
                <w:rFonts w:ascii="Noto Sans" w:hAnsi="Noto Sans"/>
                <w:b/>
                <w:color w:val="FFFFFF"/>
                <w:sz w:val="16"/>
              </w:rPr>
              <w:t>IPO.ONE action</w:t>
            </w:r>
          </w:p>
        </w:tc>
        <w:tc>
          <w:tcPr>
            <w:tcW w:type="dxa" w:w="3278"/>
            <w:shd w:fill="0B1F33"/>
            <w:tcMar>
              <w:top w:w="70" w:type="dxa"/>
              <w:start w:w="85" w:type="dxa"/>
              <w:bottom w:w="70" w:type="dxa"/>
              <w:end w:w="85" w:type="dxa"/>
            </w:tcMar>
            <w:vAlign w:val="center"/>
          </w:tcPr>
          <w:p>
            <w:pPr>
              <w:spacing w:after="0"/>
            </w:pPr>
            <w:r/>
            <w:r>
              <w:rPr>
                <w:rFonts w:ascii="Noto Sans" w:hAnsi="Noto Sans"/>
                <w:b/>
                <w:color w:val="FFFFFF"/>
                <w:sz w:val="16"/>
              </w:rPr>
              <w:t>Lender / Originator control</w:t>
            </w:r>
          </w:p>
        </w:tc>
      </w:tr>
      <w:tr>
        <w:trPr>
          <w:cantSplit/>
        </w:trPr>
        <w:tc>
          <w:tcPr>
            <w:tcW w:type="dxa" w:w="3278"/>
            <w:tcMar>
              <w:top w:w="70" w:type="dxa"/>
              <w:start w:w="85" w:type="dxa"/>
              <w:bottom w:w="70" w:type="dxa"/>
              <w:end w:w="85" w:type="dxa"/>
            </w:tcMar>
            <w:vAlign w:val="top"/>
          </w:tcPr>
          <w:p>
            <w:pPr>
              <w:spacing w:after="0"/>
            </w:pPr>
            <w:r/>
            <w:r>
              <w:rPr>
                <w:rFonts w:ascii="Noto Sans" w:hAnsi="Noto Sans"/>
                <w:color w:val="18212B"/>
                <w:sz w:val="16"/>
              </w:rPr>
              <w:t>Advisory scoring</w:t>
            </w:r>
          </w:p>
        </w:tc>
        <w:tc>
          <w:tcPr>
            <w:tcW w:type="dxa" w:w="3278"/>
            <w:tcMar>
              <w:top w:w="70" w:type="dxa"/>
              <w:start w:w="85" w:type="dxa"/>
              <w:bottom w:w="70" w:type="dxa"/>
              <w:end w:w="85" w:type="dxa"/>
            </w:tcMar>
            <w:vAlign w:val="top"/>
          </w:tcPr>
          <w:p>
            <w:pPr>
              <w:spacing w:after="0"/>
            </w:pPr>
            <w:r/>
            <w:r>
              <w:rPr>
                <w:rFonts w:ascii="Noto Sans" w:hAnsi="Noto Sans"/>
                <w:color w:val="18212B"/>
                <w:sz w:val="16"/>
              </w:rPr>
              <w:t>Return Credit Profile, risk, affordability, recommended terms and reasons.</w:t>
            </w:r>
          </w:p>
        </w:tc>
        <w:tc>
          <w:tcPr>
            <w:tcW w:type="dxa" w:w="3278"/>
            <w:tcMar>
              <w:top w:w="70" w:type="dxa"/>
              <w:start w:w="85" w:type="dxa"/>
              <w:bottom w:w="70" w:type="dxa"/>
              <w:end w:w="85" w:type="dxa"/>
            </w:tcMar>
            <w:vAlign w:val="top"/>
          </w:tcPr>
          <w:p>
            <w:pPr>
              <w:spacing w:after="0"/>
            </w:pPr>
            <w:r/>
            <w:r>
              <w:rPr>
                <w:rFonts w:ascii="Noto Sans" w:hAnsi="Noto Sans"/>
                <w:color w:val="18212B"/>
                <w:sz w:val="16"/>
              </w:rPr>
              <w:t>Partner makes the final decision manually or in its own system.</w:t>
            </w:r>
          </w:p>
        </w:tc>
      </w:tr>
      <w:tr>
        <w:trPr>
          <w:cantSplit/>
        </w:trPr>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Delegated decisioning</w:t>
            </w:r>
          </w:p>
        </w:tc>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Automatically approve, decline or step-up when a request fits a signed policy envelope.</w:t>
            </w:r>
          </w:p>
        </w:tc>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Partner pre-approves policy, caps, pricing grid, exceptions and audit rights; remains legal credit provider.</w:t>
            </w:r>
          </w:p>
        </w:tc>
      </w:tr>
      <w:tr>
        <w:trPr>
          <w:cantSplit/>
        </w:trPr>
        <w:tc>
          <w:tcPr>
            <w:tcW w:type="dxa" w:w="3278"/>
            <w:tcMar>
              <w:top w:w="70" w:type="dxa"/>
              <w:start w:w="85" w:type="dxa"/>
              <w:bottom w:w="70" w:type="dxa"/>
              <w:end w:w="85" w:type="dxa"/>
            </w:tcMar>
            <w:vAlign w:val="top"/>
          </w:tcPr>
          <w:p>
            <w:pPr>
              <w:spacing w:after="0"/>
            </w:pPr>
            <w:r/>
            <w:r>
              <w:rPr>
                <w:rFonts w:ascii="Noto Sans" w:hAnsi="Noto Sans"/>
                <w:color w:val="18212B"/>
                <w:sz w:val="16"/>
              </w:rPr>
              <w:t>Request for offer</w:t>
            </w:r>
          </w:p>
        </w:tc>
        <w:tc>
          <w:tcPr>
            <w:tcW w:type="dxa" w:w="3278"/>
            <w:tcMar>
              <w:top w:w="70" w:type="dxa"/>
              <w:start w:w="85" w:type="dxa"/>
              <w:bottom w:w="70" w:type="dxa"/>
              <w:end w:w="85" w:type="dxa"/>
            </w:tcMar>
            <w:vAlign w:val="top"/>
          </w:tcPr>
          <w:p>
            <w:pPr>
              <w:spacing w:after="0"/>
            </w:pPr>
            <w:r/>
            <w:r>
              <w:rPr>
                <w:rFonts w:ascii="Noto Sans" w:hAnsi="Noto Sans"/>
                <w:color w:val="18212B"/>
                <w:sz w:val="16"/>
              </w:rPr>
              <w:t>Route a standardized application to multiple eligible lenders and rank returned offers.</w:t>
            </w:r>
          </w:p>
        </w:tc>
        <w:tc>
          <w:tcPr>
            <w:tcW w:type="dxa" w:w="3278"/>
            <w:tcMar>
              <w:top w:w="70" w:type="dxa"/>
              <w:start w:w="85" w:type="dxa"/>
              <w:bottom w:w="70" w:type="dxa"/>
              <w:end w:w="85" w:type="dxa"/>
            </w:tcMar>
            <w:vAlign w:val="top"/>
          </w:tcPr>
          <w:p>
            <w:pPr>
              <w:spacing w:after="0"/>
            </w:pPr>
            <w:r/>
            <w:r>
              <w:rPr>
                <w:rFonts w:ascii="Noto Sans" w:hAnsi="Noto Sans"/>
                <w:color w:val="18212B"/>
                <w:sz w:val="16"/>
              </w:rPr>
              <w:t>Each lender returns binding or conditional terms under its own mandate.</w:t>
            </w:r>
          </w:p>
        </w:tc>
      </w:tr>
    </w:tbl>
    <w:p>
      <w:pPr>
        <w:spacing w:after="0"/>
      </w:pPr>
    </w:p>
    <w:p>
      <w:r>
        <w:rPr>
          <w:rFonts w:ascii="Noto Sans" w:hAnsi="Noto Sans"/>
        </w:rPr>
        <w:t>A Capital Mandate defines jurisdiction, subject type, product, currency, amount, tenor, pricing bounds, required evidence, verification standard, concentration, recourse, reserve, permitted rails, finality requirements, asset representation and servicing obligations. Funds may remain in a lender account, regulated custodian, escrow, smart contract or permissioned facility until a qualified offer is accepted.</w:t>
      </w:r>
    </w:p>
    <w:tbl>
      <w:tblPr>
        <w:tblStyle w:val="TableGrid"/>
        <w:tblW w:type="auto" w:w="0"/>
        <w:jc w:val="center"/>
        <w:tblLayout w:type="autofit"/>
        <w:tblLook w:firstColumn="1" w:firstRow="1" w:lastColumn="0" w:lastRow="0" w:noHBand="0" w:noVBand="1" w:val="04A0"/>
      </w:tblPr>
      <w:tblGrid>
        <w:gridCol w:w="4917"/>
        <w:gridCol w:w="4917"/>
      </w:tblGrid>
      <w:tr>
        <w:trPr>
          <w:tblHeader w:val="true"/>
          <w:cantSplit/>
        </w:trPr>
        <w:tc>
          <w:tcPr>
            <w:tcW w:type="dxa" w:w="4917"/>
            <w:shd w:fill="0B1F33"/>
            <w:tcMar>
              <w:top w:w="70" w:type="dxa"/>
              <w:start w:w="85" w:type="dxa"/>
              <w:bottom w:w="70" w:type="dxa"/>
              <w:end w:w="85" w:type="dxa"/>
            </w:tcMar>
            <w:vAlign w:val="center"/>
          </w:tcPr>
          <w:p>
            <w:pPr>
              <w:spacing w:after="0"/>
            </w:pPr>
            <w:r/>
            <w:r>
              <w:rPr>
                <w:rFonts w:ascii="Noto Sans" w:hAnsi="Noto Sans"/>
                <w:b/>
                <w:color w:val="FFFFFF"/>
                <w:sz w:val="16"/>
              </w:rPr>
              <w:t>Capital source</w:t>
            </w:r>
          </w:p>
        </w:tc>
        <w:tc>
          <w:tcPr>
            <w:tcW w:type="dxa" w:w="4917"/>
            <w:shd w:fill="0B1F33"/>
            <w:tcMar>
              <w:top w:w="70" w:type="dxa"/>
              <w:start w:w="85" w:type="dxa"/>
              <w:bottom w:w="70" w:type="dxa"/>
              <w:end w:w="85" w:type="dxa"/>
            </w:tcMar>
            <w:vAlign w:val="center"/>
          </w:tcPr>
          <w:p>
            <w:pPr>
              <w:spacing w:after="0"/>
            </w:pPr>
            <w:r/>
            <w:r>
              <w:rPr>
                <w:rFonts w:ascii="Noto Sans" w:hAnsi="Noto Sans"/>
                <w:b/>
                <w:color w:val="FFFFFF"/>
                <w:sz w:val="16"/>
              </w:rPr>
              <w:t>Best initial use</w:t>
            </w:r>
          </w:p>
        </w:tc>
      </w:tr>
      <w:tr>
        <w:trPr>
          <w:cantSplit/>
        </w:trPr>
        <w:tc>
          <w:tcPr>
            <w:tcW w:type="dxa" w:w="4917"/>
            <w:tcMar>
              <w:top w:w="70" w:type="dxa"/>
              <w:start w:w="85" w:type="dxa"/>
              <w:bottom w:w="70" w:type="dxa"/>
              <w:end w:w="85" w:type="dxa"/>
            </w:tcMar>
            <w:vAlign w:val="top"/>
          </w:tcPr>
          <w:p>
            <w:pPr>
              <w:spacing w:after="0"/>
            </w:pPr>
            <w:r/>
            <w:r>
              <w:rPr>
                <w:rFonts w:ascii="Noto Sans" w:hAnsi="Noto Sans"/>
                <w:color w:val="18212B"/>
                <w:sz w:val="16"/>
              </w:rPr>
              <w:t>Banks / licensed nonbanks</w:t>
            </w:r>
          </w:p>
        </w:tc>
        <w:tc>
          <w:tcPr>
            <w:tcW w:type="dxa" w:w="4917"/>
            <w:tcMar>
              <w:top w:w="70" w:type="dxa"/>
              <w:start w:w="85" w:type="dxa"/>
              <w:bottom w:w="70" w:type="dxa"/>
              <w:end w:w="85" w:type="dxa"/>
            </w:tcMar>
            <w:vAlign w:val="top"/>
          </w:tcPr>
          <w:p>
            <w:pPr>
              <w:spacing w:after="0"/>
            </w:pPr>
            <w:r/>
            <w:r>
              <w:rPr>
                <w:rFonts w:ascii="Noto Sans" w:hAnsi="Noto Sans"/>
                <w:color w:val="18212B"/>
                <w:sz w:val="16"/>
              </w:rPr>
              <w:t>Human consumer, sole-proprietor or SME credit under local law.</w:t>
            </w:r>
          </w:p>
        </w:tc>
      </w:tr>
      <w:tr>
        <w:trPr>
          <w:cantSplit/>
        </w:trPr>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Microfinance / impact lenders</w:t>
            </w:r>
          </w:p>
        </w:tc>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Inclusive productive credit with defined social and risk objectives.</w:t>
            </w:r>
          </w:p>
        </w:tc>
      </w:tr>
      <w:tr>
        <w:trPr>
          <w:cantSplit/>
        </w:trPr>
        <w:tc>
          <w:tcPr>
            <w:tcW w:type="dxa" w:w="4917"/>
            <w:tcMar>
              <w:top w:w="70" w:type="dxa"/>
              <w:start w:w="85" w:type="dxa"/>
              <w:bottom w:w="70" w:type="dxa"/>
              <w:end w:w="85" w:type="dxa"/>
            </w:tcMar>
            <w:vAlign w:val="top"/>
          </w:tcPr>
          <w:p>
            <w:pPr>
              <w:spacing w:after="0"/>
            </w:pPr>
            <w:r/>
            <w:r>
              <w:rPr>
                <w:rFonts w:ascii="Noto Sans" w:hAnsi="Noto Sans"/>
                <w:color w:val="18212B"/>
                <w:sz w:val="16"/>
              </w:rPr>
              <w:t>Private credit / fintech facilities</w:t>
            </w:r>
          </w:p>
        </w:tc>
        <w:tc>
          <w:tcPr>
            <w:tcW w:type="dxa" w:w="4917"/>
            <w:tcMar>
              <w:top w:w="70" w:type="dxa"/>
              <w:start w:w="85" w:type="dxa"/>
              <w:bottom w:w="70" w:type="dxa"/>
              <w:end w:w="85" w:type="dxa"/>
            </w:tcMar>
            <w:vAlign w:val="top"/>
          </w:tcPr>
          <w:p>
            <w:pPr>
              <w:spacing w:after="0"/>
            </w:pPr>
            <w:r/>
            <w:r>
              <w:rPr>
                <w:rFonts w:ascii="Noto Sans" w:hAnsi="Noto Sans"/>
                <w:color w:val="18212B"/>
                <w:sz w:val="16"/>
              </w:rPr>
              <w:t>Short-duration, data-rich receivables and working-capital programs.</w:t>
            </w:r>
          </w:p>
        </w:tc>
      </w:tr>
      <w:tr>
        <w:trPr>
          <w:cantSplit/>
        </w:trPr>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Provider / vendor trade credit</w:t>
            </w:r>
          </w:p>
        </w:tc>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Agent services, inventory, software and other controlled-use value.</w:t>
            </w:r>
          </w:p>
        </w:tc>
      </w:tr>
      <w:tr>
        <w:trPr>
          <w:cantSplit/>
        </w:trPr>
        <w:tc>
          <w:tcPr>
            <w:tcW w:type="dxa" w:w="4917"/>
            <w:tcMar>
              <w:top w:w="70" w:type="dxa"/>
              <w:start w:w="85" w:type="dxa"/>
              <w:bottom w:w="70" w:type="dxa"/>
              <w:end w:w="85" w:type="dxa"/>
            </w:tcMar>
            <w:vAlign w:val="top"/>
          </w:tcPr>
          <w:p>
            <w:pPr>
              <w:spacing w:after="0"/>
            </w:pPr>
            <w:r/>
            <w:r>
              <w:rPr>
                <w:rFonts w:ascii="Noto Sans" w:hAnsi="Noto Sans"/>
                <w:color w:val="18212B"/>
                <w:sz w:val="16"/>
              </w:rPr>
              <w:t>On-chain capital facilities</w:t>
            </w:r>
          </w:p>
        </w:tc>
        <w:tc>
          <w:tcPr>
            <w:tcW w:type="dxa" w:w="4917"/>
            <w:tcMar>
              <w:top w:w="70" w:type="dxa"/>
              <w:start w:w="85" w:type="dxa"/>
              <w:bottom w:w="70" w:type="dxa"/>
              <w:end w:w="85" w:type="dxa"/>
            </w:tcMar>
            <w:vAlign w:val="top"/>
          </w:tcPr>
          <w:p>
            <w:pPr>
              <w:spacing w:after="0"/>
            </w:pPr>
            <w:r/>
            <w:r>
              <w:rPr>
                <w:rFonts w:ascii="Noto Sans" w:hAnsi="Noto Sans"/>
                <w:color w:val="18212B"/>
                <w:sz w:val="16"/>
              </w:rPr>
              <w:t>Digital-asset, stable-value or tokenized funding for eligible obligations where legal rights, custody, evidence and servicing are defined.</w:t>
            </w:r>
          </w:p>
        </w:tc>
      </w:tr>
    </w:tbl>
    <w:p>
      <w:pPr>
        <w:spacing w:after="0"/>
      </w:pPr>
    </w:p>
    <w:p>
      <w:pPr>
        <w:pStyle w:val="Heading2"/>
        <w:keepNext/>
      </w:pPr>
      <w:r>
        <w:rPr>
          <w:rFonts w:ascii="Noto Sans" w:hAnsi="Noto Sans"/>
        </w:rPr>
        <w:t>8. End-to-End Borrower-to-Capital Lifecycle</w:t>
      </w:r>
    </w:p>
    <w:p>
      <w:pPr>
        <w:jc w:val="center"/>
      </w:pPr>
      <w:r>
        <w:rPr>
          <w:rFonts w:ascii="Noto Sans" w:hAnsi="Noto Sans"/>
        </w:rPr>
        <w:drawing>
          <wp:inline xmlns:a="http://schemas.openxmlformats.org/drawingml/2006/main" xmlns:pic="http://schemas.openxmlformats.org/drawingml/2006/picture">
            <wp:extent cx="5715000" cy="2266484"/>
            <wp:docPr id="3" name="Picture 3" title="Figure 3 — A single application becomes a matched obligation whose funding and settlement state is consistent across traditional, on-chain or hybrid rails." descr="Seven-stage borrower-to-capital lifecycle with rail-agnostic funding, finality and reconciliation."/>
            <wp:cNvGraphicFramePr>
              <a:graphicFrameLocks noChangeAspect="1"/>
            </wp:cNvGraphicFramePr>
            <a:graphic>
              <a:graphicData uri="http://schemas.openxmlformats.org/drawingml/2006/picture">
                <pic:pic>
                  <pic:nvPicPr>
                    <pic:cNvPr id="0" name="borrower_to_capital_lifecycle.png"/>
                    <pic:cNvPicPr/>
                  </pic:nvPicPr>
                  <pic:blipFill>
                    <a:blip r:embed="rId13"/>
                    <a:stretch>
                      <a:fillRect/>
                    </a:stretch>
                  </pic:blipFill>
                  <pic:spPr>
                    <a:xfrm>
                      <a:off x="0" y="0"/>
                      <a:ext cx="5715000" cy="2266484"/>
                    </a:xfrm>
                    <a:prstGeom prst="rect"/>
                  </pic:spPr>
                </pic:pic>
              </a:graphicData>
            </a:graphic>
          </wp:inline>
        </w:drawing>
      </w:r>
    </w:p>
    <w:p>
      <w:pPr>
        <w:spacing w:after="80"/>
        <w:jc w:val="center"/>
      </w:pPr>
      <w:r>
        <w:rPr>
          <w:rFonts w:ascii="Noto Sans" w:hAnsi="Noto Sans"/>
          <w:i/>
          <w:color w:val="5E6A75"/>
          <w:sz w:val="15"/>
        </w:rPr>
        <w:t>Figure 3 — A single application becomes a matched obligation whose funding and settlement state is consistent across traditional, on-chain or hybrid rails.</w:t>
      </w:r>
    </w:p>
    <w:p>
      <w:r>
        <w:rPr>
          <w:rFonts w:ascii="Noto Sans" w:hAnsi="Noto Sans"/>
        </w:rPr>
        <w:t>The central design principle is “apply once, verify once where legally reusable, compare qualified offers, settle through any approved rail and carry performance forward.” Reuse remains subject to consent, credential validity, lender policy, rail finality and jurisdiction.</w:t>
      </w:r>
    </w:p>
    <w:p>
      <w:pPr>
        <w:pStyle w:val="Heading2"/>
        <w:keepNext/>
      </w:pPr>
      <w:r>
        <w:rPr>
          <w:rFonts w:ascii="Noto Sans" w:hAnsi="Noto Sans"/>
        </w:rPr>
        <w:t>9. Product Surfaces: One Platform, Role-Specific Interfaces</w:t>
      </w:r>
    </w:p>
    <w:tbl>
      <w:tblPr>
        <w:tblStyle w:val="TableGrid"/>
        <w:tblW w:type="auto" w:w="0"/>
        <w:jc w:val="center"/>
        <w:tblLayout w:type="autofit"/>
        <w:tblLook w:firstColumn="1" w:firstRow="1" w:lastColumn="0" w:lastRow="0" w:noHBand="0" w:noVBand="1" w:val="04A0"/>
      </w:tblPr>
      <w:tblGrid>
        <w:gridCol w:w="3278"/>
        <w:gridCol w:w="3278"/>
        <w:gridCol w:w="3278"/>
      </w:tblGrid>
      <w:tr>
        <w:trPr>
          <w:tblHeader w:val="true"/>
          <w:cantSplit/>
        </w:trPr>
        <w:tc>
          <w:tcPr>
            <w:tcW w:type="dxa" w:w="3278"/>
            <w:shd w:fill="0B1F33"/>
            <w:tcMar>
              <w:top w:w="70" w:type="dxa"/>
              <w:start w:w="85" w:type="dxa"/>
              <w:bottom w:w="70" w:type="dxa"/>
              <w:end w:w="85" w:type="dxa"/>
            </w:tcMar>
            <w:vAlign w:val="center"/>
          </w:tcPr>
          <w:p>
            <w:pPr>
              <w:spacing w:after="0"/>
            </w:pPr>
            <w:r/>
            <w:r>
              <w:rPr>
                <w:rFonts w:ascii="Noto Sans" w:hAnsi="Noto Sans"/>
                <w:b/>
                <w:color w:val="FFFFFF"/>
                <w:sz w:val="16"/>
              </w:rPr>
              <w:t>Surface</w:t>
            </w:r>
          </w:p>
        </w:tc>
        <w:tc>
          <w:tcPr>
            <w:tcW w:type="dxa" w:w="3278"/>
            <w:shd w:fill="0B1F33"/>
            <w:tcMar>
              <w:top w:w="70" w:type="dxa"/>
              <w:start w:w="85" w:type="dxa"/>
              <w:bottom w:w="70" w:type="dxa"/>
              <w:end w:w="85" w:type="dxa"/>
            </w:tcMar>
            <w:vAlign w:val="center"/>
          </w:tcPr>
          <w:p>
            <w:pPr>
              <w:spacing w:after="0"/>
            </w:pPr>
            <w:r/>
            <w:r>
              <w:rPr>
                <w:rFonts w:ascii="Noto Sans" w:hAnsi="Noto Sans"/>
                <w:b/>
                <w:color w:val="FFFFFF"/>
                <w:sz w:val="16"/>
              </w:rPr>
              <w:t>Primary user</w:t>
            </w:r>
          </w:p>
        </w:tc>
        <w:tc>
          <w:tcPr>
            <w:tcW w:type="dxa" w:w="3278"/>
            <w:shd w:fill="0B1F33"/>
            <w:tcMar>
              <w:top w:w="70" w:type="dxa"/>
              <w:start w:w="85" w:type="dxa"/>
              <w:bottom w:w="70" w:type="dxa"/>
              <w:end w:w="85" w:type="dxa"/>
            </w:tcMar>
            <w:vAlign w:val="center"/>
          </w:tcPr>
          <w:p>
            <w:pPr>
              <w:spacing w:after="0"/>
            </w:pPr>
            <w:r/>
            <w:r>
              <w:rPr>
                <w:rFonts w:ascii="Noto Sans" w:hAnsi="Noto Sans"/>
                <w:b/>
                <w:color w:val="FFFFFF"/>
                <w:sz w:val="16"/>
              </w:rPr>
              <w:t>Core workflows</w:t>
            </w:r>
          </w:p>
        </w:tc>
      </w:tr>
      <w:tr>
        <w:trPr>
          <w:cantSplit/>
        </w:trPr>
        <w:tc>
          <w:tcPr>
            <w:tcW w:type="dxa" w:w="3278"/>
            <w:tcMar>
              <w:top w:w="70" w:type="dxa"/>
              <w:start w:w="85" w:type="dxa"/>
              <w:bottom w:w="70" w:type="dxa"/>
              <w:end w:w="85" w:type="dxa"/>
            </w:tcMar>
            <w:vAlign w:val="top"/>
          </w:tcPr>
          <w:p>
            <w:pPr>
              <w:spacing w:after="0"/>
            </w:pPr>
            <w:r/>
            <w:r>
              <w:rPr>
                <w:rFonts w:ascii="Noto Sans" w:hAnsi="Noto Sans"/>
                <w:color w:val="18212B"/>
                <w:sz w:val="16"/>
              </w:rPr>
              <w:t>IPO.ONE Credit App</w:t>
            </w:r>
          </w:p>
        </w:tc>
        <w:tc>
          <w:tcPr>
            <w:tcW w:type="dxa" w:w="3278"/>
            <w:tcMar>
              <w:top w:w="70" w:type="dxa"/>
              <w:start w:w="85" w:type="dxa"/>
              <w:bottom w:w="70" w:type="dxa"/>
              <w:end w:w="85" w:type="dxa"/>
            </w:tcMar>
            <w:vAlign w:val="top"/>
          </w:tcPr>
          <w:p>
            <w:pPr>
              <w:spacing w:after="0"/>
            </w:pPr>
            <w:r/>
            <w:r>
              <w:rPr>
                <w:rFonts w:ascii="Noto Sans" w:hAnsi="Noto Sans"/>
                <w:color w:val="18212B"/>
                <w:sz w:val="16"/>
              </w:rPr>
              <w:t>Human borrowers</w:t>
            </w:r>
          </w:p>
        </w:tc>
        <w:tc>
          <w:tcPr>
            <w:tcW w:type="dxa" w:w="3278"/>
            <w:tcMar>
              <w:top w:w="70" w:type="dxa"/>
              <w:start w:w="85" w:type="dxa"/>
              <w:bottom w:w="70" w:type="dxa"/>
              <w:end w:w="85" w:type="dxa"/>
            </w:tcMar>
            <w:vAlign w:val="top"/>
          </w:tcPr>
          <w:p>
            <w:pPr>
              <w:spacing w:after="0"/>
            </w:pPr>
            <w:r/>
            <w:r>
              <w:rPr>
                <w:rFonts w:ascii="Noto Sans" w:hAnsi="Noto Sans"/>
                <w:color w:val="18212B"/>
                <w:sz w:val="16"/>
              </w:rPr>
              <w:t>Credit Intent, consent, KYC handoff, evidence connections, score factors, offer comparison, settlement status, repayment and disputes.</w:t>
            </w:r>
          </w:p>
        </w:tc>
      </w:tr>
      <w:tr>
        <w:trPr>
          <w:cantSplit/>
        </w:trPr>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Embedded Credit SDK / Widget</w:t>
            </w:r>
          </w:p>
        </w:tc>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Platforms and marketplaces</w:t>
            </w:r>
          </w:p>
        </w:tc>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White-label eligibility, offer, contract handoff, disbursement state, repayment and rail status.</w:t>
            </w:r>
          </w:p>
        </w:tc>
      </w:tr>
      <w:tr>
        <w:trPr>
          <w:cantSplit/>
        </w:trPr>
        <w:tc>
          <w:tcPr>
            <w:tcW w:type="dxa" w:w="3278"/>
            <w:tcMar>
              <w:top w:w="70" w:type="dxa"/>
              <w:start w:w="85" w:type="dxa"/>
              <w:bottom w:w="70" w:type="dxa"/>
              <w:end w:w="85" w:type="dxa"/>
            </w:tcMar>
            <w:vAlign w:val="top"/>
          </w:tcPr>
          <w:p>
            <w:pPr>
              <w:spacing w:after="0"/>
            </w:pPr>
            <w:r/>
            <w:r>
              <w:rPr>
                <w:rFonts w:ascii="Noto Sans" w:hAnsi="Noto Sans"/>
                <w:color w:val="18212B"/>
                <w:sz w:val="16"/>
              </w:rPr>
              <w:t>Agent Credit API / MCP / A2A</w:t>
            </w:r>
          </w:p>
        </w:tc>
        <w:tc>
          <w:tcPr>
            <w:tcW w:type="dxa" w:w="3278"/>
            <w:tcMar>
              <w:top w:w="70" w:type="dxa"/>
              <w:start w:w="85" w:type="dxa"/>
              <w:bottom w:w="70" w:type="dxa"/>
              <w:end w:w="85" w:type="dxa"/>
            </w:tcMar>
            <w:vAlign w:val="top"/>
          </w:tcPr>
          <w:p>
            <w:pPr>
              <w:spacing w:after="0"/>
            </w:pPr>
            <w:r/>
            <w:r>
              <w:rPr>
                <w:rFonts w:ascii="Noto Sans" w:hAnsi="Noto Sans"/>
                <w:color w:val="18212B"/>
                <w:sz w:val="16"/>
              </w:rPr>
              <w:t>Agents, Operators and developers</w:t>
            </w:r>
          </w:p>
        </w:tc>
        <w:tc>
          <w:tcPr>
            <w:tcW w:type="dxa" w:w="3278"/>
            <w:tcMar>
              <w:top w:w="70" w:type="dxa"/>
              <w:start w:w="85" w:type="dxa"/>
              <w:bottom w:w="70" w:type="dxa"/>
              <w:end w:w="85" w:type="dxa"/>
            </w:tcMar>
            <w:vAlign w:val="top"/>
          </w:tcPr>
          <w:p>
            <w:pPr>
              <w:spacing w:after="0"/>
            </w:pPr>
            <w:r/>
            <w:r>
              <w:rPr>
                <w:rFonts w:ascii="Noto Sans" w:hAnsi="Noto Sans"/>
                <w:color w:val="18212B"/>
                <w:sz w:val="16"/>
              </w:rPr>
              <w:t>Machine eligibility, plan validation, Authorization, drawdown, settlement status and repayment.</w:t>
            </w:r>
          </w:p>
        </w:tc>
      </w:tr>
      <w:tr>
        <w:trPr>
          <w:cantSplit/>
        </w:trPr>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Lender / Originator Console &amp; API</w:t>
            </w:r>
          </w:p>
        </w:tc>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Banks, fintechs, MFIs and regulated partners</w:t>
            </w:r>
          </w:p>
        </w:tc>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Policy configuration, exceptions, pricing, adverse-action reasons, loan tape, servicing and permitted rails.</w:t>
            </w:r>
          </w:p>
        </w:tc>
      </w:tr>
      <w:tr>
        <w:trPr>
          <w:cantSplit/>
        </w:trPr>
        <w:tc>
          <w:tcPr>
            <w:tcW w:type="dxa" w:w="3278"/>
            <w:tcMar>
              <w:top w:w="70" w:type="dxa"/>
              <w:start w:w="85" w:type="dxa"/>
              <w:bottom w:w="70" w:type="dxa"/>
              <w:end w:w="85" w:type="dxa"/>
            </w:tcMar>
            <w:vAlign w:val="top"/>
          </w:tcPr>
          <w:p>
            <w:pPr>
              <w:spacing w:after="0"/>
            </w:pPr>
            <w:r/>
            <w:r>
              <w:rPr>
                <w:rFonts w:ascii="Noto Sans" w:hAnsi="Noto Sans"/>
                <w:color w:val="18212B"/>
                <w:sz w:val="16"/>
              </w:rPr>
              <w:t>Capital / Facility Console</w:t>
            </w:r>
          </w:p>
        </w:tc>
        <w:tc>
          <w:tcPr>
            <w:tcW w:type="dxa" w:w="3278"/>
            <w:tcMar>
              <w:top w:w="70" w:type="dxa"/>
              <w:start w:w="85" w:type="dxa"/>
              <w:bottom w:w="70" w:type="dxa"/>
              <w:end w:w="85" w:type="dxa"/>
            </w:tcMar>
            <w:vAlign w:val="top"/>
          </w:tcPr>
          <w:p>
            <w:pPr>
              <w:spacing w:after="0"/>
            </w:pPr>
            <w:r/>
            <w:r>
              <w:rPr>
                <w:rFonts w:ascii="Noto Sans" w:hAnsi="Noto Sans"/>
                <w:color w:val="18212B"/>
                <w:sz w:val="16"/>
              </w:rPr>
              <w:t>Off-chain and on-chain facilities</w:t>
            </w:r>
          </w:p>
        </w:tc>
        <w:tc>
          <w:tcPr>
            <w:tcW w:type="dxa" w:w="3278"/>
            <w:tcMar>
              <w:top w:w="70" w:type="dxa"/>
              <w:start w:w="85" w:type="dxa"/>
              <w:bottom w:w="70" w:type="dxa"/>
              <w:end w:w="85" w:type="dxa"/>
            </w:tcMar>
            <w:vAlign w:val="top"/>
          </w:tcPr>
          <w:p>
            <w:pPr>
              <w:spacing w:after="0"/>
            </w:pPr>
            <w:r/>
            <w:r>
              <w:rPr>
                <w:rFonts w:ascii="Noto Sans" w:hAnsi="Noto Sans"/>
                <w:color w:val="18212B"/>
                <w:sz w:val="16"/>
              </w:rPr>
              <w:t>Mandates, asset eligibility, reserves, exposure, concentration, performance, settlement and waterfall.</w:t>
            </w:r>
          </w:p>
        </w:tc>
      </w:tr>
      <w:tr>
        <w:trPr>
          <w:cantSplit/>
        </w:trPr>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Multi-Rail Gateway</w:t>
            </w:r>
          </w:p>
        </w:tc>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Lenders, facilities, wallets, Agents and treasury systems</w:t>
            </w:r>
          </w:p>
        </w:tc>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Account binding, transaction submission, finality query, event subscription, evidence anchoring and reconciliation.</w:t>
            </w:r>
          </w:p>
        </w:tc>
      </w:tr>
      <w:tr>
        <w:trPr>
          <w:cantSplit/>
        </w:trPr>
        <w:tc>
          <w:tcPr>
            <w:tcW w:type="dxa" w:w="3278"/>
            <w:tcMar>
              <w:top w:w="70" w:type="dxa"/>
              <w:start w:w="85" w:type="dxa"/>
              <w:bottom w:w="70" w:type="dxa"/>
              <w:end w:w="85" w:type="dxa"/>
            </w:tcMar>
            <w:vAlign w:val="top"/>
          </w:tcPr>
          <w:p>
            <w:pPr>
              <w:spacing w:after="0"/>
            </w:pPr>
            <w:r/>
            <w:r>
              <w:rPr>
                <w:rFonts w:ascii="Noto Sans" w:hAnsi="Noto Sans"/>
                <w:color w:val="18212B"/>
                <w:sz w:val="16"/>
              </w:rPr>
              <w:t>Risk &amp; Operations Console</w:t>
            </w:r>
          </w:p>
        </w:tc>
        <w:tc>
          <w:tcPr>
            <w:tcW w:type="dxa" w:w="3278"/>
            <w:tcMar>
              <w:top w:w="70" w:type="dxa"/>
              <w:start w:w="85" w:type="dxa"/>
              <w:bottom w:w="70" w:type="dxa"/>
              <w:end w:w="85" w:type="dxa"/>
            </w:tcMar>
            <w:vAlign w:val="top"/>
          </w:tcPr>
          <w:p>
            <w:pPr>
              <w:spacing w:after="0"/>
            </w:pPr>
            <w:r/>
            <w:r>
              <w:rPr>
                <w:rFonts w:ascii="Noto Sans" w:hAnsi="Noto Sans"/>
                <w:color w:val="18212B"/>
                <w:sz w:val="16"/>
              </w:rPr>
              <w:t>IPO.ONE and delegated operators</w:t>
            </w:r>
          </w:p>
        </w:tc>
        <w:tc>
          <w:tcPr>
            <w:tcW w:type="dxa" w:w="3278"/>
            <w:tcMar>
              <w:top w:w="70" w:type="dxa"/>
              <w:start w:w="85" w:type="dxa"/>
              <w:bottom w:w="70" w:type="dxa"/>
              <w:end w:w="85" w:type="dxa"/>
            </w:tcMar>
            <w:vAlign w:val="top"/>
          </w:tcPr>
          <w:p>
            <w:pPr>
              <w:spacing w:after="0"/>
            </w:pPr>
            <w:r/>
            <w:r>
              <w:rPr>
                <w:rFonts w:ascii="Noto Sans" w:hAnsi="Noto Sans"/>
                <w:color w:val="18212B"/>
                <w:sz w:val="16"/>
              </w:rPr>
              <w:t>Models, policies, overrides, incidents, portfolio monitoring, rail exceptions, reconciliation and audit.</w:t>
            </w:r>
          </w:p>
        </w:tc>
      </w:tr>
    </w:tbl>
    <w:p>
      <w:pPr>
        <w:spacing w:after="0"/>
      </w:pPr>
    </w:p>
    <w:p>
      <w:r>
        <w:rPr>
          <w:rFonts w:ascii="Noto Sans" w:hAnsi="Noto Sans"/>
        </w:rPr>
        <w:t>These are role-specific surfaces over the same canonical objects, event ledger and policy engine. Every external interaction protocol—including human application APIs, MCP, A2A and blockchain protocols—is handled by an adapter and normalized before it can affect internal credit or obligation state.</w:t>
      </w:r>
    </w:p>
    <w:p>
      <w:pPr>
        <w:pStyle w:val="Heading1"/>
        <w:keepNext/>
      </w:pPr>
      <w:r>
        <w:rPr>
          <w:rFonts w:ascii="Noto Sans" w:hAnsi="Noto Sans"/>
        </w:rPr>
        <w:t>PART III — Credit Protocol and Intelligence</w:t>
      </w:r>
    </w:p>
    <w:p>
      <w:pPr>
        <w:pStyle w:val="Heading2"/>
        <w:keepNext/>
      </w:pPr>
      <w:r>
        <w:rPr>
          <w:rFonts w:ascii="Noto Sans" w:hAnsi="Noto Sans"/>
        </w:rPr>
        <w:t>10. The I–P–O Model and Intent-to-Credit Lifecycle</w:t>
      </w:r>
    </w:p>
    <w:p>
      <w:r>
        <w:rPr>
          <w:rFonts w:ascii="Noto Sans" w:hAnsi="Noto Sans"/>
        </w:rPr>
        <w:t>IPO.ONE retains its original Identity–Payment–Obligation model while using Intent as the request envelope. The model is subject-neutral and rail-neutral.</w:t>
      </w:r>
    </w:p>
    <w:tbl>
      <w:tblPr>
        <w:tblStyle w:val="TableGrid"/>
        <w:tblW w:type="auto" w:w="0"/>
        <w:jc w:val="center"/>
        <w:tblLayout w:type="autofit"/>
        <w:tblLook w:firstColumn="1" w:firstRow="1" w:lastColumn="0" w:lastRow="0" w:noHBand="0" w:noVBand="1" w:val="04A0"/>
      </w:tblPr>
      <w:tblGrid>
        <w:gridCol w:w="3278"/>
        <w:gridCol w:w="3278"/>
        <w:gridCol w:w="3278"/>
      </w:tblGrid>
      <w:tr>
        <w:trPr>
          <w:tblHeader w:val="true"/>
          <w:cantSplit/>
        </w:trPr>
        <w:tc>
          <w:tcPr>
            <w:tcW w:type="dxa" w:w="3278"/>
            <w:shd w:fill="0B1F33"/>
            <w:tcMar>
              <w:top w:w="70" w:type="dxa"/>
              <w:start w:w="85" w:type="dxa"/>
              <w:bottom w:w="70" w:type="dxa"/>
              <w:end w:w="85" w:type="dxa"/>
            </w:tcMar>
            <w:vAlign w:val="center"/>
          </w:tcPr>
          <w:p>
            <w:pPr>
              <w:spacing w:after="0"/>
            </w:pPr>
            <w:r/>
            <w:r>
              <w:rPr>
                <w:rFonts w:ascii="Noto Sans" w:hAnsi="Noto Sans"/>
                <w:b/>
                <w:color w:val="FFFFFF"/>
                <w:sz w:val="16"/>
              </w:rPr>
              <w:t>Primitive</w:t>
            </w:r>
          </w:p>
        </w:tc>
        <w:tc>
          <w:tcPr>
            <w:tcW w:type="dxa" w:w="3278"/>
            <w:shd w:fill="0B1F33"/>
            <w:tcMar>
              <w:top w:w="70" w:type="dxa"/>
              <w:start w:w="85" w:type="dxa"/>
              <w:bottom w:w="70" w:type="dxa"/>
              <w:end w:w="85" w:type="dxa"/>
            </w:tcMar>
            <w:vAlign w:val="center"/>
          </w:tcPr>
          <w:p>
            <w:pPr>
              <w:spacing w:after="0"/>
            </w:pPr>
            <w:r/>
            <w:r>
              <w:rPr>
                <w:rFonts w:ascii="Noto Sans" w:hAnsi="Noto Sans"/>
                <w:b/>
                <w:color w:val="FFFFFF"/>
                <w:sz w:val="16"/>
              </w:rPr>
              <w:t>Question answered</w:t>
            </w:r>
          </w:p>
        </w:tc>
        <w:tc>
          <w:tcPr>
            <w:tcW w:type="dxa" w:w="3278"/>
            <w:shd w:fill="0B1F33"/>
            <w:tcMar>
              <w:top w:w="70" w:type="dxa"/>
              <w:start w:w="85" w:type="dxa"/>
              <w:bottom w:w="70" w:type="dxa"/>
              <w:end w:w="85" w:type="dxa"/>
            </w:tcMar>
            <w:vAlign w:val="center"/>
          </w:tcPr>
          <w:p>
            <w:pPr>
              <w:spacing w:after="0"/>
            </w:pPr>
            <w:r/>
            <w:r>
              <w:rPr>
                <w:rFonts w:ascii="Noto Sans" w:hAnsi="Noto Sans"/>
                <w:b/>
                <w:color w:val="FFFFFF"/>
                <w:sz w:val="16"/>
              </w:rPr>
              <w:t>Protocol role</w:t>
            </w:r>
          </w:p>
        </w:tc>
      </w:tr>
      <w:tr>
        <w:trPr>
          <w:cantSplit/>
        </w:trPr>
        <w:tc>
          <w:tcPr>
            <w:tcW w:type="dxa" w:w="3278"/>
            <w:tcMar>
              <w:top w:w="70" w:type="dxa"/>
              <w:start w:w="85" w:type="dxa"/>
              <w:bottom w:w="70" w:type="dxa"/>
              <w:end w:w="85" w:type="dxa"/>
            </w:tcMar>
            <w:vAlign w:val="top"/>
          </w:tcPr>
          <w:p>
            <w:pPr>
              <w:spacing w:after="0"/>
            </w:pPr>
            <w:r/>
            <w:r>
              <w:rPr>
                <w:rFonts w:ascii="Noto Sans" w:hAnsi="Noto Sans"/>
                <w:color w:val="18212B"/>
                <w:sz w:val="16"/>
              </w:rPr>
              <w:t>Identity</w:t>
            </w:r>
          </w:p>
        </w:tc>
        <w:tc>
          <w:tcPr>
            <w:tcW w:type="dxa" w:w="3278"/>
            <w:tcMar>
              <w:top w:w="70" w:type="dxa"/>
              <w:start w:w="85" w:type="dxa"/>
              <w:bottom w:w="70" w:type="dxa"/>
              <w:end w:w="85" w:type="dxa"/>
            </w:tcMar>
            <w:vAlign w:val="top"/>
          </w:tcPr>
          <w:p>
            <w:pPr>
              <w:spacing w:after="0"/>
            </w:pPr>
            <w:r/>
            <w:r>
              <w:rPr>
                <w:rFonts w:ascii="Noto Sans" w:hAnsi="Noto Sans"/>
                <w:color w:val="18212B"/>
                <w:sz w:val="16"/>
              </w:rPr>
              <w:t>Who is acting, who authorized the action, and who is responsible?</w:t>
            </w:r>
          </w:p>
        </w:tc>
        <w:tc>
          <w:tcPr>
            <w:tcW w:type="dxa" w:w="3278"/>
            <w:tcMar>
              <w:top w:w="70" w:type="dxa"/>
              <w:start w:w="85" w:type="dxa"/>
              <w:bottom w:w="70" w:type="dxa"/>
              <w:end w:w="85" w:type="dxa"/>
            </w:tcMar>
            <w:vAlign w:val="top"/>
          </w:tcPr>
          <w:p>
            <w:pPr>
              <w:spacing w:after="0"/>
            </w:pPr>
            <w:r/>
            <w:r>
              <w:rPr>
                <w:rFonts w:ascii="Noto Sans" w:hAnsi="Noto Sans"/>
                <w:color w:val="18212B"/>
                <w:sz w:val="16"/>
              </w:rPr>
              <w:t>Resolve Human, Organization, Agent and Machine Subjects, Principals, accounts and attestations through compatible profiles.</w:t>
            </w:r>
          </w:p>
        </w:tc>
      </w:tr>
      <w:tr>
        <w:trPr>
          <w:cantSplit/>
        </w:trPr>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Intent</w:t>
            </w:r>
          </w:p>
        </w:tc>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What value is requested, for what purpose and under what constraints?</w:t>
            </w:r>
          </w:p>
        </w:tc>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Represent a Credit Intent and optional Execution Plan for any subject type.</w:t>
            </w:r>
          </w:p>
        </w:tc>
      </w:tr>
      <w:tr>
        <w:trPr>
          <w:cantSplit/>
        </w:trPr>
        <w:tc>
          <w:tcPr>
            <w:tcW w:type="dxa" w:w="3278"/>
            <w:tcMar>
              <w:top w:w="70" w:type="dxa"/>
              <w:start w:w="85" w:type="dxa"/>
              <w:bottom w:w="70" w:type="dxa"/>
              <w:end w:w="85" w:type="dxa"/>
            </w:tcMar>
            <w:vAlign w:val="top"/>
          </w:tcPr>
          <w:p>
            <w:pPr>
              <w:spacing w:after="0"/>
            </w:pPr>
            <w:r/>
            <w:r>
              <w:rPr>
                <w:rFonts w:ascii="Noto Sans" w:hAnsi="Noto Sans"/>
                <w:color w:val="18212B"/>
                <w:sz w:val="16"/>
              </w:rPr>
              <w:t>Payment / Settlement</w:t>
            </w:r>
          </w:p>
        </w:tc>
        <w:tc>
          <w:tcPr>
            <w:tcW w:type="dxa" w:w="3278"/>
            <w:tcMar>
              <w:top w:w="70" w:type="dxa"/>
              <w:start w:w="85" w:type="dxa"/>
              <w:bottom w:w="70" w:type="dxa"/>
              <w:end w:w="85" w:type="dxa"/>
            </w:tcMar>
            <w:vAlign w:val="top"/>
          </w:tcPr>
          <w:p>
            <w:pPr>
              <w:spacing w:after="0"/>
            </w:pPr>
            <w:r/>
            <w:r>
              <w:rPr>
                <w:rFonts w:ascii="Noto Sans" w:hAnsi="Noto Sans"/>
                <w:color w:val="18212B"/>
                <w:sz w:val="16"/>
              </w:rPr>
              <w:t>How does value move, obtain finality and reconcile?</w:t>
            </w:r>
          </w:p>
        </w:tc>
        <w:tc>
          <w:tcPr>
            <w:tcW w:type="dxa" w:w="3278"/>
            <w:tcMar>
              <w:top w:w="70" w:type="dxa"/>
              <w:start w:w="85" w:type="dxa"/>
              <w:bottom w:w="70" w:type="dxa"/>
              <w:end w:w="85" w:type="dxa"/>
            </w:tcMar>
            <w:vAlign w:val="top"/>
          </w:tcPr>
          <w:p>
            <w:pPr>
              <w:spacing w:after="0"/>
            </w:pPr>
            <w:r/>
            <w:r>
              <w:rPr>
                <w:rFonts w:ascii="Noto Sans" w:hAnsi="Noto Sans"/>
                <w:color w:val="18212B"/>
                <w:sz w:val="16"/>
              </w:rPr>
              <w:t>Issue rail-neutral instructions and normalize traditional, on-chain and hybrid receipts; do not reinvent the rails.</w:t>
            </w:r>
          </w:p>
        </w:tc>
      </w:tr>
      <w:tr>
        <w:trPr>
          <w:cantSplit/>
        </w:trPr>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Obligation</w:t>
            </w:r>
          </w:p>
        </w:tc>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What future commitment exists?</w:t>
            </w:r>
          </w:p>
        </w:tc>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Create canonical terms, exposure, repayment, delinquency, default, dispute and recovery state independent of rail.</w:t>
            </w:r>
          </w:p>
        </w:tc>
      </w:tr>
      <w:tr>
        <w:trPr>
          <w:cantSplit/>
        </w:trPr>
        <w:tc>
          <w:tcPr>
            <w:tcW w:type="dxa" w:w="3278"/>
            <w:tcMar>
              <w:top w:w="70" w:type="dxa"/>
              <w:start w:w="85" w:type="dxa"/>
              <w:bottom w:w="70" w:type="dxa"/>
              <w:end w:w="85" w:type="dxa"/>
            </w:tcMar>
            <w:vAlign w:val="top"/>
          </w:tcPr>
          <w:p>
            <w:pPr>
              <w:spacing w:after="0"/>
            </w:pPr>
            <w:r/>
            <w:r>
              <w:rPr>
                <w:rFonts w:ascii="Noto Sans" w:hAnsi="Noto Sans"/>
                <w:color w:val="18212B"/>
                <w:sz w:val="16"/>
              </w:rPr>
              <w:t>Evidence</w:t>
            </w:r>
          </w:p>
        </w:tc>
        <w:tc>
          <w:tcPr>
            <w:tcW w:type="dxa" w:w="3278"/>
            <w:tcMar>
              <w:top w:w="70" w:type="dxa"/>
              <w:start w:w="85" w:type="dxa"/>
              <w:bottom w:w="70" w:type="dxa"/>
              <w:end w:w="85" w:type="dxa"/>
            </w:tcMar>
            <w:vAlign w:val="top"/>
          </w:tcPr>
          <w:p>
            <w:pPr>
              <w:spacing w:after="0"/>
            </w:pPr>
            <w:r/>
            <w:r>
              <w:rPr>
                <w:rFonts w:ascii="Noto Sans" w:hAnsi="Noto Sans"/>
                <w:color w:val="18212B"/>
                <w:sz w:val="16"/>
              </w:rPr>
              <w:t>What actually happened?</w:t>
            </w:r>
          </w:p>
        </w:tc>
        <w:tc>
          <w:tcPr>
            <w:tcW w:type="dxa" w:w="3278"/>
            <w:tcMar>
              <w:top w:w="70" w:type="dxa"/>
              <w:start w:w="85" w:type="dxa"/>
              <w:bottom w:w="70" w:type="dxa"/>
              <w:end w:w="85" w:type="dxa"/>
            </w:tcMar>
            <w:vAlign w:val="top"/>
          </w:tcPr>
          <w:p>
            <w:pPr>
              <w:spacing w:after="0"/>
            </w:pPr>
            <w:r/>
            <w:r>
              <w:rPr>
                <w:rFonts w:ascii="Noto Sans" w:hAnsi="Noto Sans"/>
                <w:color w:val="18212B"/>
                <w:sz w:val="16"/>
              </w:rPr>
              <w:t>Bind verification, cash flow, execution, settlement and performance to provenance-aware events and finality proofs.</w:t>
            </w:r>
          </w:p>
        </w:tc>
      </w:tr>
    </w:tbl>
    <w:p>
      <w:pPr>
        <w:spacing w:after="0"/>
      </w:pPr>
    </w:p>
    <w:p>
      <w:r>
        <w:rPr>
          <w:rFonts w:ascii="Noto Sans" w:hAnsi="Noto Sans"/>
        </w:rPr>
        <w:t>A Credit Intent becomes a Credit Request, one or more Credit Offers, an accepted agreement reference, a funded Obligation and ultimately a Repayment or Loss outcome. Plan Validation is available to any complex or restricted-use intent, not only to Agents. Rail-specific technical finality is recorded separately from legal discharge, which remains governed by the applicable agreement and law.</w:t>
      </w:r>
    </w:p>
    <w:p>
      <w:pPr>
        <w:pStyle w:val="Heading2"/>
        <w:keepNext/>
      </w:pPr>
      <w:r>
        <w:rPr>
          <w:rFonts w:ascii="Noto Sans" w:hAnsi="Noto Sans"/>
        </w:rPr>
        <w:t>11. Canonical Credit Account and Credit Passport</w:t>
      </w:r>
    </w:p>
    <w:p>
      <w:r>
        <w:rPr>
          <w:rFonts w:ascii="Noto Sans" w:hAnsi="Noto Sans"/>
        </w:rPr>
        <w:t>The Credit Account is the canonical state for a Subject. The Credit Passport is the borrower-controlled, selectively disclosed representation of that state. It enables progress and portability without placing raw identity or transaction data on a public ledger.</w:t>
      </w:r>
    </w:p>
    <w:tbl>
      <w:tblPr>
        <w:tblStyle w:val="TableGrid"/>
        <w:tblW w:type="auto" w:w="0"/>
        <w:jc w:val="center"/>
        <w:tblLayout w:type="autofit"/>
        <w:tblLook w:firstColumn="1" w:firstRow="1" w:lastColumn="0" w:lastRow="0" w:noHBand="0" w:noVBand="1" w:val="04A0"/>
      </w:tblPr>
      <w:tblGrid>
        <w:gridCol w:w="4917"/>
        <w:gridCol w:w="4917"/>
      </w:tblGrid>
      <w:tr>
        <w:trPr>
          <w:tblHeader w:val="true"/>
          <w:cantSplit/>
        </w:trPr>
        <w:tc>
          <w:tcPr>
            <w:tcW w:type="dxa" w:w="4917"/>
            <w:shd w:fill="0B1F33"/>
            <w:tcMar>
              <w:top w:w="70" w:type="dxa"/>
              <w:start w:w="85" w:type="dxa"/>
              <w:bottom w:w="70" w:type="dxa"/>
              <w:end w:w="85" w:type="dxa"/>
            </w:tcMar>
            <w:vAlign w:val="center"/>
          </w:tcPr>
          <w:p>
            <w:pPr>
              <w:spacing w:after="0"/>
            </w:pPr>
            <w:r/>
            <w:r>
              <w:rPr>
                <w:rFonts w:ascii="Noto Sans" w:hAnsi="Noto Sans"/>
                <w:b/>
                <w:color w:val="FFFFFF"/>
                <w:sz w:val="16"/>
              </w:rPr>
              <w:t>Component</w:t>
            </w:r>
          </w:p>
        </w:tc>
        <w:tc>
          <w:tcPr>
            <w:tcW w:type="dxa" w:w="4917"/>
            <w:shd w:fill="0B1F33"/>
            <w:tcMar>
              <w:top w:w="70" w:type="dxa"/>
              <w:start w:w="85" w:type="dxa"/>
              <w:bottom w:w="70" w:type="dxa"/>
              <w:end w:w="85" w:type="dxa"/>
            </w:tcMar>
            <w:vAlign w:val="center"/>
          </w:tcPr>
          <w:p>
            <w:pPr>
              <w:spacing w:after="0"/>
            </w:pPr>
            <w:r/>
            <w:r>
              <w:rPr>
                <w:rFonts w:ascii="Noto Sans" w:hAnsi="Noto Sans"/>
                <w:b/>
                <w:color w:val="FFFFFF"/>
                <w:sz w:val="16"/>
              </w:rPr>
              <w:t>Content</w:t>
            </w:r>
          </w:p>
        </w:tc>
      </w:tr>
      <w:tr>
        <w:trPr>
          <w:cantSplit/>
        </w:trPr>
        <w:tc>
          <w:tcPr>
            <w:tcW w:type="dxa" w:w="4917"/>
            <w:tcMar>
              <w:top w:w="70" w:type="dxa"/>
              <w:start w:w="85" w:type="dxa"/>
              <w:bottom w:w="70" w:type="dxa"/>
              <w:end w:w="85" w:type="dxa"/>
            </w:tcMar>
            <w:vAlign w:val="top"/>
          </w:tcPr>
          <w:p>
            <w:pPr>
              <w:spacing w:after="0"/>
            </w:pPr>
            <w:r/>
            <w:r>
              <w:rPr>
                <w:rFonts w:ascii="Noto Sans" w:hAnsi="Noto Sans"/>
                <w:color w:val="18212B"/>
                <w:sz w:val="16"/>
              </w:rPr>
              <w:t>Identity assurance</w:t>
            </w:r>
          </w:p>
        </w:tc>
        <w:tc>
          <w:tcPr>
            <w:tcW w:type="dxa" w:w="4917"/>
            <w:tcMar>
              <w:top w:w="70" w:type="dxa"/>
              <w:start w:w="85" w:type="dxa"/>
              <w:bottom w:w="70" w:type="dxa"/>
              <w:end w:w="85" w:type="dxa"/>
            </w:tcMar>
            <w:vAlign w:val="top"/>
          </w:tcPr>
          <w:p>
            <w:pPr>
              <w:spacing w:after="0"/>
            </w:pPr>
            <w:r/>
            <w:r>
              <w:rPr>
                <w:rFonts w:ascii="Noto Sans" w:hAnsi="Noto Sans"/>
                <w:color w:val="18212B"/>
                <w:sz w:val="16"/>
              </w:rPr>
              <w:t>Verification status, issuer, assurance level, timestamp, expiry and revocation.</w:t>
            </w:r>
          </w:p>
        </w:tc>
      </w:tr>
      <w:tr>
        <w:trPr>
          <w:cantSplit/>
        </w:trPr>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Cash-flow evidence</w:t>
            </w:r>
          </w:p>
        </w:tc>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Income, revenue, inflow stability, concentration, seasonality and reachable repayment source.</w:t>
            </w:r>
          </w:p>
        </w:tc>
      </w:tr>
      <w:tr>
        <w:trPr>
          <w:cantSplit/>
        </w:trPr>
        <w:tc>
          <w:tcPr>
            <w:tcW w:type="dxa" w:w="4917"/>
            <w:tcMar>
              <w:top w:w="70" w:type="dxa"/>
              <w:start w:w="85" w:type="dxa"/>
              <w:bottom w:w="70" w:type="dxa"/>
              <w:end w:w="85" w:type="dxa"/>
            </w:tcMar>
            <w:vAlign w:val="top"/>
          </w:tcPr>
          <w:p>
            <w:pPr>
              <w:spacing w:after="0"/>
            </w:pPr>
            <w:r/>
            <w:r>
              <w:rPr>
                <w:rFonts w:ascii="Noto Sans" w:hAnsi="Noto Sans"/>
                <w:color w:val="18212B"/>
                <w:sz w:val="16"/>
              </w:rPr>
              <w:t>Credit behavior</w:t>
            </w:r>
          </w:p>
        </w:tc>
        <w:tc>
          <w:tcPr>
            <w:tcW w:type="dxa" w:w="4917"/>
            <w:tcMar>
              <w:top w:w="70" w:type="dxa"/>
              <w:start w:w="85" w:type="dxa"/>
              <w:bottom w:w="70" w:type="dxa"/>
              <w:end w:w="85" w:type="dxa"/>
            </w:tcMar>
            <w:vAlign w:val="top"/>
          </w:tcPr>
          <w:p>
            <w:pPr>
              <w:spacing w:after="0"/>
            </w:pPr>
            <w:r/>
            <w:r>
              <w:rPr>
                <w:rFonts w:ascii="Noto Sans" w:hAnsi="Noto Sans"/>
                <w:color w:val="18212B"/>
                <w:sz w:val="16"/>
              </w:rPr>
              <w:t>Applications, approvals, utilization, on-time payment, DPD, cure, restructuring, disputes and recovery.</w:t>
            </w:r>
          </w:p>
        </w:tc>
      </w:tr>
      <w:tr>
        <w:trPr>
          <w:cantSplit/>
        </w:trPr>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Credit Profile</w:t>
            </w:r>
          </w:p>
        </w:tc>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PD, affordability, fraud risk, stability, evidence confidence and product-specific eligibility.</w:t>
            </w:r>
          </w:p>
        </w:tc>
      </w:tr>
      <w:tr>
        <w:trPr>
          <w:cantSplit/>
        </w:trPr>
        <w:tc>
          <w:tcPr>
            <w:tcW w:type="dxa" w:w="4917"/>
            <w:tcMar>
              <w:top w:w="70" w:type="dxa"/>
              <w:start w:w="85" w:type="dxa"/>
              <w:bottom w:w="70" w:type="dxa"/>
              <w:end w:w="85" w:type="dxa"/>
            </w:tcMar>
            <w:vAlign w:val="top"/>
          </w:tcPr>
          <w:p>
            <w:pPr>
              <w:spacing w:after="0"/>
            </w:pPr>
            <w:r/>
            <w:r>
              <w:rPr>
                <w:rFonts w:ascii="Noto Sans" w:hAnsi="Noto Sans"/>
                <w:color w:val="18212B"/>
                <w:sz w:val="16"/>
              </w:rPr>
              <w:t>Borrower-visible progress</w:t>
            </w:r>
          </w:p>
        </w:tc>
        <w:tc>
          <w:tcPr>
            <w:tcW w:type="dxa" w:w="4917"/>
            <w:tcMar>
              <w:top w:w="70" w:type="dxa"/>
              <w:start w:w="85" w:type="dxa"/>
              <w:bottom w:w="70" w:type="dxa"/>
              <w:end w:w="85" w:type="dxa"/>
            </w:tcMar>
            <w:vAlign w:val="top"/>
          </w:tcPr>
          <w:p>
            <w:pPr>
              <w:spacing w:after="0"/>
            </w:pPr>
            <w:r/>
            <w:r>
              <w:rPr>
                <w:rFonts w:ascii="Noto Sans" w:hAnsi="Noto Sans"/>
                <w:color w:val="18212B"/>
                <w:sz w:val="16"/>
              </w:rPr>
              <w:t>Credit Tier, major positive/negative factors, connected data, open obligations and improvement actions.</w:t>
            </w:r>
          </w:p>
        </w:tc>
      </w:tr>
      <w:tr>
        <w:trPr>
          <w:cantSplit/>
        </w:trPr>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Settlement provenance</w:t>
            </w:r>
          </w:p>
        </w:tc>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Rail instructions, normalized receipts, finality proofs, partial settlements, reversals and reconciliation state.</w:t>
            </w:r>
          </w:p>
        </w:tc>
      </w:tr>
      <w:tr>
        <w:trPr>
          <w:cantSplit/>
        </w:trPr>
        <w:tc>
          <w:tcPr>
            <w:tcW w:type="dxa" w:w="4917"/>
            <w:tcMar>
              <w:top w:w="70" w:type="dxa"/>
              <w:start w:w="85" w:type="dxa"/>
              <w:bottom w:w="70" w:type="dxa"/>
              <w:end w:w="85" w:type="dxa"/>
            </w:tcMar>
            <w:vAlign w:val="top"/>
          </w:tcPr>
          <w:p>
            <w:pPr>
              <w:spacing w:after="0"/>
            </w:pPr>
            <w:r/>
            <w:r>
              <w:rPr>
                <w:rFonts w:ascii="Noto Sans" w:hAnsi="Noto Sans"/>
                <w:color w:val="18212B"/>
                <w:sz w:val="16"/>
              </w:rPr>
              <w:t>Portable proofs</w:t>
            </w:r>
          </w:p>
        </w:tc>
        <w:tc>
          <w:tcPr>
            <w:tcW w:type="dxa" w:w="4917"/>
            <w:tcMar>
              <w:top w:w="70" w:type="dxa"/>
              <w:start w:w="85" w:type="dxa"/>
              <w:bottom w:w="70" w:type="dxa"/>
              <w:end w:w="85" w:type="dxa"/>
            </w:tcMar>
            <w:vAlign w:val="top"/>
          </w:tcPr>
          <w:p>
            <w:pPr>
              <w:spacing w:after="0"/>
            </w:pPr>
            <w:r/>
            <w:r>
              <w:rPr>
                <w:rFonts w:ascii="Noto Sans" w:hAnsi="Noto Sans"/>
                <w:color w:val="18212B"/>
                <w:sz w:val="16"/>
              </w:rPr>
              <w:t>Purpose-limited attestations derived from verified behavior without requiring raw data or a public-chain history.</w:t>
            </w:r>
          </w:p>
        </w:tc>
      </w:tr>
    </w:tbl>
    <w:p>
      <w:pPr>
        <w:spacing w:after="0"/>
      </w:pPr>
    </w:p>
    <w:p>
      <w:r>
        <w:rPr>
          <w:rFonts w:ascii="Noto Sans" w:hAnsi="Noto Sans"/>
        </w:rPr>
        <w:t>W3C Verifiable Credentials 2.0 provides a useful issuer–holder–verifier pattern for portable claims, with explicit security and privacy considerations. IPO.ONE may use compatible credentials off-chain or in on-chain verification flows where they improve interoperability, while each lender remains responsible for its own business rules. [3]</w:t>
      </w:r>
    </w:p>
    <w:p>
      <w:pPr>
        <w:pStyle w:val="Heading2"/>
        <w:keepNext/>
      </w:pPr>
      <w:r>
        <w:rPr>
          <w:rFonts w:ascii="Noto Sans" w:hAnsi="Noto Sans"/>
        </w:rPr>
        <w:t>12. External KYC/KYB, Consent and Data Architecture</w:t>
      </w:r>
    </w:p>
    <w:p>
      <w:pPr>
        <w:pStyle w:val="Heading3"/>
        <w:keepNext/>
      </w:pPr>
      <w:r>
        <w:rPr>
          <w:rFonts w:ascii="Noto Sans" w:hAnsi="Noto Sans"/>
        </w:rPr>
        <w:t>12.1 KYC/KYB is federated, not duplicated</w:t>
      </w:r>
    </w:p>
    <w:p>
      <w:r>
        <w:rPr>
          <w:rFonts w:ascii="Noto Sans" w:hAnsi="Noto Sans"/>
        </w:rPr>
        <w:t>Qualified identity providers, platforms or regulated lenders perform KYC/KYB. IPO.ONE stores the minimum necessary result, issuer, assurance level, status, timestamps, purpose and revocation reference. Raw identity documents should remain with the responsible party unless a specific legal or operational need requires otherwise.</w:t>
      </w:r>
    </w:p>
    <w:p>
      <w:pPr>
        <w:pStyle w:val="Heading3"/>
        <w:keepNext/>
      </w:pPr>
      <w:r>
        <w:rPr>
          <w:rFonts w:ascii="Noto Sans" w:hAnsi="Noto Sans"/>
        </w:rPr>
        <w:t>12.2 Consent is a protocol object</w:t>
      </w:r>
    </w:p>
    <w:p>
      <w:r>
        <w:rPr>
          <w:rFonts w:ascii="Noto Sans" w:hAnsi="Noto Sans"/>
        </w:rPr>
        <w:t>A Consent Grant specifies which data may be accessed, for what decision, by which party, for how long, whether it may be used for model training, and how it can be revoked. Reuse of verification or performance evidence is never assumed merely because it is technically available.</w:t>
      </w:r>
    </w:p>
    <w:p>
      <w:pPr>
        <w:pStyle w:val="Heading3"/>
        <w:keepNext/>
      </w:pPr>
      <w:r>
        <w:rPr>
          <w:rFonts w:ascii="Noto Sans" w:hAnsi="Noto Sans"/>
        </w:rPr>
        <w:t>12.3 Dual-native evidence profiles</w:t>
      </w:r>
    </w:p>
    <w:tbl>
      <w:tblPr>
        <w:tblStyle w:val="TableGrid"/>
        <w:tblW w:type="auto" w:w="0"/>
        <w:jc w:val="center"/>
        <w:tblLayout w:type="autofit"/>
        <w:tblLook w:firstColumn="1" w:firstRow="1" w:lastColumn="0" w:lastRow="0" w:noHBand="0" w:noVBand="1" w:val="04A0"/>
      </w:tblPr>
      <w:tblGrid>
        <w:gridCol w:w="4917"/>
        <w:gridCol w:w="4917"/>
      </w:tblGrid>
      <w:tr>
        <w:trPr>
          <w:tblHeader w:val="true"/>
          <w:cantSplit/>
        </w:trPr>
        <w:tc>
          <w:tcPr>
            <w:tcW w:type="dxa" w:w="4917"/>
            <w:shd w:fill="0B1F33"/>
            <w:tcMar>
              <w:top w:w="70" w:type="dxa"/>
              <w:start w:w="85" w:type="dxa"/>
              <w:bottom w:w="70" w:type="dxa"/>
              <w:end w:w="85" w:type="dxa"/>
            </w:tcMar>
            <w:vAlign w:val="center"/>
          </w:tcPr>
          <w:p>
            <w:pPr>
              <w:spacing w:after="0"/>
            </w:pPr>
            <w:r/>
            <w:r>
              <w:rPr>
                <w:rFonts w:ascii="Noto Sans" w:hAnsi="Noto Sans"/>
                <w:b/>
                <w:color w:val="FFFFFF"/>
                <w:sz w:val="16"/>
              </w:rPr>
              <w:t>Human verification and evidence adapters</w:t>
            </w:r>
          </w:p>
        </w:tc>
        <w:tc>
          <w:tcPr>
            <w:tcW w:type="dxa" w:w="4917"/>
            <w:shd w:fill="0B1F33"/>
            <w:tcMar>
              <w:top w:w="70" w:type="dxa"/>
              <w:start w:w="85" w:type="dxa"/>
              <w:bottom w:w="70" w:type="dxa"/>
              <w:end w:w="85" w:type="dxa"/>
            </w:tcMar>
            <w:vAlign w:val="center"/>
          </w:tcPr>
          <w:p>
            <w:pPr>
              <w:spacing w:after="0"/>
            </w:pPr>
            <w:r/>
            <w:r>
              <w:rPr>
                <w:rFonts w:ascii="Noto Sans" w:hAnsi="Noto Sans"/>
                <w:b/>
                <w:color w:val="FFFFFF"/>
                <w:sz w:val="16"/>
              </w:rPr>
              <w:t>Agent / organization verification and evidence adapters</w:t>
            </w:r>
          </w:p>
        </w:tc>
      </w:tr>
      <w:tr>
        <w:trPr>
          <w:cantSplit/>
        </w:trPr>
        <w:tc>
          <w:tcPr>
            <w:tcW w:type="dxa" w:w="4917"/>
            <w:tcMar>
              <w:top w:w="70" w:type="dxa"/>
              <w:start w:w="85" w:type="dxa"/>
              <w:bottom w:w="70" w:type="dxa"/>
              <w:end w:w="85" w:type="dxa"/>
            </w:tcMar>
            <w:vAlign w:val="top"/>
          </w:tcPr>
          <w:p>
            <w:pPr>
              <w:spacing w:after="0"/>
            </w:pPr>
            <w:r/>
            <w:r>
              <w:rPr>
                <w:rFonts w:ascii="Noto Sans" w:hAnsi="Noto Sans"/>
                <w:color w:val="18212B"/>
                <w:sz w:val="16"/>
              </w:rPr>
              <w:t>Identity, lawful cash-flow and repayment attestations from approved financial, platform or public sources.</w:t>
            </w:r>
          </w:p>
        </w:tc>
        <w:tc>
          <w:tcPr>
            <w:tcW w:type="dxa" w:w="4917"/>
            <w:tcMar>
              <w:top w:w="70" w:type="dxa"/>
              <w:start w:w="85" w:type="dxa"/>
              <w:bottom w:w="70" w:type="dxa"/>
              <w:end w:w="85" w:type="dxa"/>
            </w:tcMar>
            <w:vAlign w:val="top"/>
          </w:tcPr>
          <w:p>
            <w:pPr>
              <w:spacing w:after="0"/>
            </w:pPr>
            <w:r/>
            <w:r>
              <w:rPr>
                <w:rFonts w:ascii="Noto Sans" w:hAnsi="Noto Sans"/>
                <w:color w:val="18212B"/>
                <w:sz w:val="16"/>
              </w:rPr>
              <w:t>Organization and signer verification, Agent identity and account binding, lawful cash-flow, usage, mandate and repayment attestations.</w:t>
            </w:r>
          </w:p>
        </w:tc>
      </w:tr>
      <w:tr>
        <w:trPr>
          <w:cantSplit/>
        </w:trPr>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Stability, concentration, seasonality, existing obligations and correction history expressed through the shared EvidenceEnvelope.</w:t>
            </w:r>
          </w:p>
        </w:tc>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Principal quality, concentration, usage, execution, revenue capture and liability structure expressed through the same EvidenceEnvelope.</w:t>
            </w:r>
          </w:p>
        </w:tc>
      </w:tr>
    </w:tbl>
    <w:p>
      <w:pPr>
        <w:spacing w:after="0"/>
      </w:pPr>
    </w:p>
    <w:p>
      <w:r>
        <w:rPr>
          <w:rFonts w:ascii="Noto Sans" w:hAnsi="Noto Sans"/>
        </w:rPr>
        <w:t>Both evidence profiles map into one canonical evidence ontology so the kernel, audit system and Credit Intelligence Network can operate consistently. Human and Agent feature sets remain domain-specific where law, meaning or risk differs; cross-learning is permitted only when validated, lawful, explainable and beneficial to the relevant product.</w:t>
      </w:r>
    </w:p>
    <w:p>
      <w:pPr>
        <w:pStyle w:val="Heading3"/>
        <w:keepNext/>
      </w:pPr>
      <w:r>
        <w:rPr>
          <w:rFonts w:ascii="Noto Sans" w:hAnsi="Noto Sans"/>
        </w:rPr>
        <w:t>12.4 Data that should not become the default</w:t>
      </w:r>
    </w:p>
    <w:p>
      <w:pPr>
        <w:pStyle w:val="ListBullet"/>
        <w:spacing w:after="32"/>
      </w:pPr>
      <w:r>
        <w:rPr>
          <w:rFonts w:ascii="Noto Sans" w:hAnsi="Noto Sans"/>
        </w:rPr>
        <w:t>Unconsented contact lists, private messages or social content.</w:t>
      </w:r>
    </w:p>
    <w:p>
      <w:pPr>
        <w:pStyle w:val="ListBullet"/>
        <w:spacing w:after="32"/>
      </w:pPr>
      <w:r>
        <w:rPr>
          <w:rFonts w:ascii="Noto Sans" w:hAnsi="Noto Sans"/>
        </w:rPr>
        <w:t>Sensitive characteristics or proxies that cannot be lawfully and demonstrably justified.</w:t>
      </w:r>
    </w:p>
    <w:p>
      <w:pPr>
        <w:pStyle w:val="ListBullet"/>
        <w:spacing w:after="32"/>
      </w:pPr>
      <w:r>
        <w:rPr>
          <w:rFonts w:ascii="Noto Sans" w:hAnsi="Noto Sans"/>
        </w:rPr>
        <w:t>Persistent device, wallet or chain surveillance unrelated to fraud, account control or the declared underwriting purpose.</w:t>
      </w:r>
    </w:p>
    <w:p>
      <w:pPr>
        <w:pStyle w:val="ListBullet"/>
        <w:spacing w:after="32"/>
      </w:pPr>
      <w:r>
        <w:rPr>
          <w:rFonts w:ascii="Noto Sans" w:hAnsi="Noto Sans"/>
        </w:rPr>
        <w:t>Opaque third-party scores without provenance, correction and permitted-use controls.</w:t>
      </w:r>
    </w:p>
    <w:p>
      <w:pPr>
        <w:pStyle w:val="Heading2"/>
        <w:keepNext/>
      </w:pPr>
      <w:r>
        <w:rPr>
          <w:rFonts w:ascii="Noto Sans" w:hAnsi="Noto Sans"/>
        </w:rPr>
        <w:t>13. Credit Intelligence, Decisioning, Offers and Capital Routing</w:t>
      </w:r>
    </w:p>
    <w:p>
      <w:r>
        <w:rPr>
          <w:rFonts w:ascii="Noto Sans" w:hAnsi="Noto Sans"/>
        </w:rPr>
        <w:t>The Credit Intelligence Network is a core product plane, not an auxiliary scoring service. It converts verified outcomes into continuously improving credit profiles, score calibration, terms, behavioral guidance, portfolio controls and capital allocation, while the deterministic kernel preserves policy and state. It produces multiple explainable outputs rather than relying on one opaque number.</w:t>
      </w:r>
    </w:p>
    <w:tbl>
      <w:tblPr>
        <w:tblStyle w:val="TableGrid"/>
        <w:tblW w:type="auto" w:w="0"/>
        <w:jc w:val="center"/>
        <w:tblLayout w:type="autofit"/>
        <w:tblLook w:firstColumn="1" w:firstRow="1" w:lastColumn="0" w:lastRow="0" w:noHBand="0" w:noVBand="1" w:val="04A0"/>
      </w:tblPr>
      <w:tblGrid>
        <w:gridCol w:w="4917"/>
        <w:gridCol w:w="4917"/>
      </w:tblGrid>
      <w:tr>
        <w:trPr>
          <w:tblHeader w:val="true"/>
          <w:cantSplit/>
        </w:trPr>
        <w:tc>
          <w:tcPr>
            <w:tcW w:type="dxa" w:w="4917"/>
            <w:shd w:fill="0B1F33"/>
            <w:tcMar>
              <w:top w:w="70" w:type="dxa"/>
              <w:start w:w="85" w:type="dxa"/>
              <w:bottom w:w="70" w:type="dxa"/>
              <w:end w:w="85" w:type="dxa"/>
            </w:tcMar>
            <w:vAlign w:val="center"/>
          </w:tcPr>
          <w:p>
            <w:pPr>
              <w:spacing w:after="0"/>
            </w:pPr>
            <w:r/>
            <w:r>
              <w:rPr>
                <w:rFonts w:ascii="Noto Sans" w:hAnsi="Noto Sans"/>
                <w:b/>
                <w:color w:val="FFFFFF"/>
                <w:sz w:val="16"/>
              </w:rPr>
              <w:t>Output</w:t>
            </w:r>
          </w:p>
        </w:tc>
        <w:tc>
          <w:tcPr>
            <w:tcW w:type="dxa" w:w="4917"/>
            <w:shd w:fill="0B1F33"/>
            <w:tcMar>
              <w:top w:w="70" w:type="dxa"/>
              <w:start w:w="85" w:type="dxa"/>
              <w:bottom w:w="70" w:type="dxa"/>
              <w:end w:w="85" w:type="dxa"/>
            </w:tcMar>
            <w:vAlign w:val="center"/>
          </w:tcPr>
          <w:p>
            <w:pPr>
              <w:spacing w:after="0"/>
            </w:pPr>
            <w:r/>
            <w:r>
              <w:rPr>
                <w:rFonts w:ascii="Noto Sans" w:hAnsi="Noto Sans"/>
                <w:b/>
                <w:color w:val="FFFFFF"/>
                <w:sz w:val="16"/>
              </w:rPr>
              <w:t>Purpose</w:t>
            </w:r>
          </w:p>
        </w:tc>
      </w:tr>
      <w:tr>
        <w:trPr>
          <w:cantSplit/>
        </w:trPr>
        <w:tc>
          <w:tcPr>
            <w:tcW w:type="dxa" w:w="4917"/>
            <w:tcMar>
              <w:top w:w="70" w:type="dxa"/>
              <w:start w:w="85" w:type="dxa"/>
              <w:bottom w:w="70" w:type="dxa"/>
              <w:end w:w="85" w:type="dxa"/>
            </w:tcMar>
            <w:vAlign w:val="top"/>
          </w:tcPr>
          <w:p>
            <w:pPr>
              <w:spacing w:after="0"/>
            </w:pPr>
            <w:r/>
            <w:r>
              <w:rPr>
                <w:rFonts w:ascii="Noto Sans" w:hAnsi="Noto Sans"/>
                <w:color w:val="18212B"/>
                <w:sz w:val="16"/>
              </w:rPr>
              <w:t>IPO Credit Profile</w:t>
            </w:r>
          </w:p>
        </w:tc>
        <w:tc>
          <w:tcPr>
            <w:tcW w:type="dxa" w:w="4917"/>
            <w:tcMar>
              <w:top w:w="70" w:type="dxa"/>
              <w:start w:w="85" w:type="dxa"/>
              <w:bottom w:w="70" w:type="dxa"/>
              <w:end w:w="85" w:type="dxa"/>
            </w:tcMar>
            <w:vAlign w:val="top"/>
          </w:tcPr>
          <w:p>
            <w:pPr>
              <w:spacing w:after="0"/>
            </w:pPr>
            <w:r/>
            <w:r>
              <w:rPr>
                <w:rFonts w:ascii="Noto Sans" w:hAnsi="Noto Sans"/>
                <w:color w:val="18212B"/>
                <w:sz w:val="16"/>
              </w:rPr>
              <w:t>Multidimensional view of identity, affordability, repayment, stability, fraud, context and evidence confidence.</w:t>
            </w:r>
          </w:p>
        </w:tc>
      </w:tr>
      <w:tr>
        <w:trPr>
          <w:cantSplit/>
        </w:trPr>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Product Risk Score</w:t>
            </w:r>
          </w:p>
        </w:tc>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Normalized product- and horizon-specific indicator used for eligibility and monitoring; versioned and explainable.</w:t>
            </w:r>
          </w:p>
        </w:tc>
      </w:tr>
      <w:tr>
        <w:trPr>
          <w:cantSplit/>
        </w:trPr>
        <w:tc>
          <w:tcPr>
            <w:tcW w:type="dxa" w:w="4917"/>
            <w:tcMar>
              <w:top w:w="70" w:type="dxa"/>
              <w:start w:w="85" w:type="dxa"/>
              <w:bottom w:w="70" w:type="dxa"/>
              <w:end w:w="85" w:type="dxa"/>
            </w:tcMar>
            <w:vAlign w:val="top"/>
          </w:tcPr>
          <w:p>
            <w:pPr>
              <w:spacing w:after="0"/>
            </w:pPr>
            <w:r/>
            <w:r>
              <w:rPr>
                <w:rFonts w:ascii="Noto Sans" w:hAnsi="Noto Sans"/>
                <w:color w:val="18212B"/>
                <w:sz w:val="16"/>
              </w:rPr>
              <w:t>Credit Progress Tier</w:t>
            </w:r>
          </w:p>
        </w:tc>
        <w:tc>
          <w:tcPr>
            <w:tcW w:type="dxa" w:w="4917"/>
            <w:tcMar>
              <w:top w:w="70" w:type="dxa"/>
              <w:start w:w="85" w:type="dxa"/>
              <w:bottom w:w="70" w:type="dxa"/>
              <w:end w:w="85" w:type="dxa"/>
            </w:tcMar>
            <w:vAlign w:val="top"/>
          </w:tcPr>
          <w:p>
            <w:pPr>
              <w:spacing w:after="0"/>
            </w:pPr>
            <w:r/>
            <w:r>
              <w:rPr>
                <w:rFonts w:ascii="Noto Sans" w:hAnsi="Noto Sans"/>
                <w:color w:val="18212B"/>
                <w:sz w:val="16"/>
              </w:rPr>
              <w:t>Borrower-visible T0–T5 progression that rewards verified data and repayment without claiming universal truth.</w:t>
            </w:r>
          </w:p>
        </w:tc>
      </w:tr>
      <w:tr>
        <w:trPr>
          <w:cantSplit/>
        </w:trPr>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Recommended terms</w:t>
            </w:r>
          </w:p>
        </w:tc>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Limit, tenor, repayment schedule, required controls and indicative risk price.</w:t>
            </w:r>
          </w:p>
        </w:tc>
      </w:tr>
      <w:tr>
        <w:trPr>
          <w:cantSplit/>
        </w:trPr>
        <w:tc>
          <w:tcPr>
            <w:tcW w:type="dxa" w:w="4917"/>
            <w:tcMar>
              <w:top w:w="70" w:type="dxa"/>
              <w:start w:w="85" w:type="dxa"/>
              <w:bottom w:w="70" w:type="dxa"/>
              <w:end w:w="85" w:type="dxa"/>
            </w:tcMar>
            <w:vAlign w:val="top"/>
          </w:tcPr>
          <w:p>
            <w:pPr>
              <w:spacing w:after="0"/>
            </w:pPr>
            <w:r/>
            <w:r>
              <w:rPr>
                <w:rFonts w:ascii="Noto Sans" w:hAnsi="Noto Sans"/>
                <w:color w:val="18212B"/>
                <w:sz w:val="16"/>
              </w:rPr>
              <w:t>Monitoring signals</w:t>
            </w:r>
          </w:p>
        </w:tc>
        <w:tc>
          <w:tcPr>
            <w:tcW w:type="dxa" w:w="4917"/>
            <w:tcMar>
              <w:top w:w="70" w:type="dxa"/>
              <w:start w:w="85" w:type="dxa"/>
              <w:bottom w:w="70" w:type="dxa"/>
              <w:end w:w="85" w:type="dxa"/>
            </w:tcMar>
            <w:vAlign w:val="top"/>
          </w:tcPr>
          <w:p>
            <w:pPr>
              <w:spacing w:after="0"/>
            </w:pPr>
            <w:r/>
            <w:r>
              <w:rPr>
                <w:rFonts w:ascii="Noto Sans" w:hAnsi="Noto Sans"/>
                <w:color w:val="18212B"/>
                <w:sz w:val="16"/>
              </w:rPr>
              <w:t>Fraud, overextension, cash-flow deterioration, concentration, model drift, rail reliability and intervention recommendations.</w:t>
            </w:r>
          </w:p>
        </w:tc>
      </w:tr>
    </w:tbl>
    <w:p>
      <w:pPr>
        <w:spacing w:after="0"/>
      </w:pPr>
    </w:p>
    <w:p>
      <w:r>
        <w:rPr>
          <w:rFonts w:ascii="Noto Sans" w:hAnsi="Noto Sans"/>
        </w:rPr>
        <w:t>The protocol does not require one universal score range. A product may display a normalized IPO Credit Score for usability, but the binding decision uses probability of default, affordability, fraud, evidence confidence, facility limits and legal policy. A high score cannot override an unaffordable payment.</w:t>
      </w:r>
    </w:p>
    <w:p>
      <w:pPr>
        <w:pStyle w:val="Heading3"/>
        <w:keepNext/>
      </w:pPr>
      <w:r>
        <w:rPr>
          <w:rFonts w:ascii="Noto Sans" w:hAnsi="Noto Sans"/>
        </w:rPr>
        <w:t>13.1 Decision formulas</w:t>
      </w:r>
    </w:p>
    <w:tbl>
      <w:tblPr>
        <w:tblW w:type="auto" w:w="0"/>
        <w:jc w:val="center"/>
        <w:tblLayout w:type="autofit"/>
        <w:tblLook w:firstColumn="1" w:firstRow="1" w:lastColumn="0" w:lastRow="0" w:noHBand="0" w:noVBand="1" w:val="04A0"/>
      </w:tblPr>
      <w:tblGrid>
        <w:gridCol w:w="9835"/>
      </w:tblGrid>
      <w:tr>
        <w:tc>
          <w:tcPr>
            <w:tcW w:type="dxa" w:w="9835"/>
            <w:shd w:fill="EAF0FF"/>
            <w:tcMar>
              <w:top w:w="110" w:type="dxa"/>
              <w:start w:w="140" w:type="dxa"/>
              <w:bottom w:w="110" w:type="dxa"/>
              <w:end w:w="140" w:type="dxa"/>
            </w:tcMar>
            <w:tcBorders>
              <w:top w:val="single" w:sz="8" w:color="2F6BFF"/>
              <w:left w:val="single" w:sz="8" w:color="2F6BFF"/>
              <w:bottom w:val="single" w:sz="8" w:color="2F6BFF"/>
              <w:right w:val="single" w:sz="8" w:color="2F6BFF"/>
            </w:tcBorders>
          </w:tcPr>
          <w:p>
            <w:pPr>
              <w:spacing w:after="40"/>
            </w:pPr>
            <w:r>
              <w:rPr>
                <w:rFonts w:ascii="Noto Sans" w:hAnsi="Noto Sans"/>
                <w:b/>
                <w:color w:val="2F6BFF"/>
                <w:sz w:val="16"/>
              </w:rPr>
              <w:t>EXPECTED LOSS</w:t>
            </w:r>
          </w:p>
          <w:p>
            <w:pPr>
              <w:spacing w:after="0"/>
            </w:pPr>
            <w:r>
              <w:rPr>
                <w:rFonts w:ascii="Noto Sans" w:hAnsi="Noto Sans"/>
                <w:b/>
                <w:color w:val="0B1F33"/>
                <w:sz w:val="18"/>
              </w:rPr>
              <w:t>EL = PD × LGD × EAD</w:t>
            </w:r>
          </w:p>
        </w:tc>
        <w:trPr>
          <w:tblHeader/>
        </w:trPr>
      </w:tr>
    </w:tbl>
    <w:p>
      <w:pPr>
        <w:spacing w:after="0"/>
      </w:pPr>
    </w:p>
    <w:p>
      <w:r>
        <w:rPr>
          <w:rFonts w:ascii="Noto Sans" w:hAnsi="Noto Sans"/>
        </w:rPr>
        <w:t>PD estimates default probability over the relevant horizon; LGD estimates economic loss after recoveries; EAD estimates exposure at default. All are product-, jurisdiction- and cohort-specific.</w:t>
      </w:r>
    </w:p>
    <w:tbl>
      <w:tblPr>
        <w:tblW w:type="auto" w:w="0"/>
        <w:jc w:val="center"/>
        <w:tblLayout w:type="autofit"/>
        <w:tblLook w:firstColumn="1" w:firstRow="1" w:lastColumn="0" w:lastRow="0" w:noHBand="0" w:noVBand="1" w:val="04A0"/>
      </w:tblPr>
      <w:tblGrid>
        <w:gridCol w:w="9835"/>
      </w:tblGrid>
      <w:tr>
        <w:tc>
          <w:tcPr>
            <w:tcW w:type="dxa" w:w="9835"/>
            <w:shd w:fill="EAF0FF"/>
            <w:tcMar>
              <w:top w:w="110" w:type="dxa"/>
              <w:start w:w="140" w:type="dxa"/>
              <w:bottom w:w="110" w:type="dxa"/>
              <w:end w:w="140" w:type="dxa"/>
            </w:tcMar>
            <w:tcBorders>
              <w:top w:val="single" w:sz="8" w:color="2F6BFF"/>
              <w:left w:val="single" w:sz="8" w:color="2F6BFF"/>
              <w:bottom w:val="single" w:sz="8" w:color="2F6BFF"/>
              <w:right w:val="single" w:sz="8" w:color="2F6BFF"/>
            </w:tcBorders>
          </w:tcPr>
          <w:p>
            <w:pPr>
              <w:spacing w:after="40"/>
            </w:pPr>
            <w:r>
              <w:rPr>
                <w:rFonts w:ascii="Noto Sans" w:hAnsi="Noto Sans"/>
                <w:b/>
                <w:color w:val="2F6BFF"/>
                <w:sz w:val="16"/>
              </w:rPr>
              <w:t>RECOMMENDED CAPACITY</w:t>
            </w:r>
          </w:p>
          <w:p>
            <w:pPr>
              <w:spacing w:after="0"/>
            </w:pPr>
            <w:r>
              <w:rPr>
                <w:rFonts w:ascii="Noto Sans" w:hAnsi="Noto Sans"/>
                <w:b/>
                <w:color w:val="0B1F33"/>
                <w:sz w:val="18"/>
              </w:rPr>
              <w:t>Limit* = max(0, min(AffordabilityCap, CashFlowCap, PolicyCap, FacilityCap) × EvidenceConfidence × StressHaircut − ExistingExposure)</w:t>
            </w:r>
          </w:p>
        </w:tc>
        <w:trPr>
          <w:tblHeader/>
        </w:trPr>
      </w:tr>
    </w:tbl>
    <w:p>
      <w:pPr>
        <w:spacing w:after="0"/>
      </w:pPr>
    </w:p>
    <w:tbl>
      <w:tblPr>
        <w:tblW w:type="auto" w:w="0"/>
        <w:jc w:val="center"/>
        <w:tblLayout w:type="autofit"/>
        <w:tblLook w:firstColumn="1" w:firstRow="1" w:lastColumn="0" w:lastRow="0" w:noHBand="0" w:noVBand="1" w:val="04A0"/>
      </w:tblPr>
      <w:tblGrid>
        <w:gridCol w:w="9835"/>
      </w:tblGrid>
      <w:tr>
        <w:tc>
          <w:tcPr>
            <w:tcW w:type="dxa" w:w="9835"/>
            <w:shd w:fill="EAF0FF"/>
            <w:tcMar>
              <w:top w:w="110" w:type="dxa"/>
              <w:start w:w="140" w:type="dxa"/>
              <w:bottom w:w="110" w:type="dxa"/>
              <w:end w:w="140" w:type="dxa"/>
            </w:tcMar>
            <w:tcBorders>
              <w:top w:val="single" w:sz="8" w:color="2F6BFF"/>
              <w:left w:val="single" w:sz="8" w:color="2F6BFF"/>
              <w:bottom w:val="single" w:sz="8" w:color="2F6BFF"/>
              <w:right w:val="single" w:sz="8" w:color="2F6BFF"/>
            </w:tcBorders>
          </w:tcPr>
          <w:p>
            <w:pPr>
              <w:spacing w:after="40"/>
            </w:pPr>
            <w:r>
              <w:rPr>
                <w:rFonts w:ascii="Noto Sans" w:hAnsi="Noto Sans"/>
                <w:b/>
                <w:color w:val="2F6BFF"/>
                <w:sz w:val="16"/>
              </w:rPr>
              <w:t>INDICATIVE RISK PRICE</w:t>
            </w:r>
          </w:p>
          <w:p>
            <w:pPr>
              <w:spacing w:after="0"/>
            </w:pPr>
            <w:r>
              <w:rPr>
                <w:rFonts w:ascii="Noto Sans" w:hAnsi="Noto Sans"/>
                <w:b/>
                <w:color w:val="0B1F33"/>
                <w:sz w:val="18"/>
              </w:rPr>
              <w:t>Price* = Cost of Capital + Expected Loss + Operations / Compliance + Capital Charge + Margin, subject to lender policy and law.</w:t>
            </w:r>
          </w:p>
        </w:tc>
        <w:trPr>
          <w:tblHeader/>
        </w:trPr>
      </w:tr>
    </w:tbl>
    <w:p>
      <w:pPr>
        <w:spacing w:after="0"/>
      </w:pPr>
    </w:p>
    <w:p>
      <w:pPr>
        <w:pStyle w:val="Heading3"/>
        <w:keepNext/>
      </w:pPr>
      <w:r>
        <w:rPr>
          <w:rFonts w:ascii="Noto Sans" w:hAnsi="Noto Sans"/>
        </w:rPr>
        <w:t>13.2 Explainability and decision rights</w:t>
      </w:r>
    </w:p>
    <w:p>
      <w:pPr>
        <w:pStyle w:val="ListBullet"/>
        <w:spacing w:after="32"/>
      </w:pPr>
      <w:r>
        <w:rPr>
          <w:rFonts w:ascii="Noto Sans" w:hAnsi="Noto Sans"/>
        </w:rPr>
        <w:t>Every decision records policy, model, data snapshot, reason codes, confidence and responsible lender.</w:t>
      </w:r>
    </w:p>
    <w:p>
      <w:pPr>
        <w:pStyle w:val="ListBullet"/>
        <w:spacing w:after="32"/>
      </w:pPr>
      <w:r>
        <w:rPr>
          <w:rFonts w:ascii="Noto Sans" w:hAnsi="Noto Sans"/>
        </w:rPr>
        <w:t>Borrowers can inspect major factors, correct data and appeal where required.</w:t>
      </w:r>
    </w:p>
    <w:p>
      <w:pPr>
        <w:pStyle w:val="ListBullet"/>
        <w:spacing w:after="32"/>
      </w:pPr>
      <w:r>
        <w:rPr>
          <w:rFonts w:ascii="Noto Sans" w:hAnsi="Noto Sans"/>
        </w:rPr>
        <w:t>IPO.ONE may auto-decide only inside a lender-signed policy envelope; the lender or Originator remains accountable for the credit product.</w:t>
      </w:r>
    </w:p>
    <w:p>
      <w:pPr>
        <w:pStyle w:val="ListBullet"/>
        <w:spacing w:after="32"/>
      </w:pPr>
      <w:r>
        <w:rPr>
          <w:rFonts w:ascii="Noto Sans" w:hAnsi="Noto Sans"/>
        </w:rPr>
        <w:t>Sparse evidence reduces capacity and autonomy rather than creating false precision.</w:t>
      </w:r>
    </w:p>
    <w:p>
      <w:pPr>
        <w:pStyle w:val="Heading3"/>
        <w:keepNext/>
      </w:pPr>
      <w:r>
        <w:rPr>
          <w:rFonts w:ascii="Noto Sans" w:hAnsi="Noto Sans"/>
        </w:rPr>
        <w:t>13.3 Offer and Capital Router</w:t>
      </w:r>
    </w:p>
    <w:p>
      <w:r>
        <w:rPr>
          <w:rFonts w:ascii="Noto Sans" w:hAnsi="Noto Sans"/>
        </w:rPr>
        <w:t>The Offer and Capital Router converts one standardized Credit Request into eligible, transparent and fundable offers without privileging a specific balance sheet or rail.</w:t>
      </w:r>
    </w:p>
    <w:p>
      <w:pPr>
        <w:spacing w:after="40"/>
        <w:ind w:left="317" w:hanging="317"/>
      </w:pPr>
      <w:r>
        <w:rPr>
          <w:rFonts w:ascii="Noto Sans" w:hAnsi="Noto Sans"/>
          <w:b/>
          <w:color w:val="2F6BFF"/>
        </w:rPr>
        <w:t xml:space="preserve">1. </w:t>
      </w:r>
      <w:r>
        <w:rPr>
          <w:rFonts w:ascii="Noto Sans" w:hAnsi="Noto Sans"/>
        </w:rPr>
        <w:t>Normalize Subject, evidence, requested terms, jurisdiction and permitted settlement environments.</w:t>
      </w:r>
    </w:p>
    <w:p>
      <w:pPr>
        <w:spacing w:after="40"/>
        <w:ind w:left="317" w:hanging="317"/>
      </w:pPr>
      <w:r>
        <w:rPr>
          <w:rFonts w:ascii="Noto Sans" w:hAnsi="Noto Sans"/>
          <w:b/>
          <w:color w:val="2F6BFF"/>
        </w:rPr>
        <w:t xml:space="preserve">2. </w:t>
      </w:r>
      <w:r>
        <w:rPr>
          <w:rFonts w:ascii="Noto Sans" w:hAnsi="Noto Sans"/>
        </w:rPr>
        <w:t>Filter Capital Mandates by legal eligibility, verification standard, product, currency, amount, tenor, risk band, concentration and rail requirements.</w:t>
      </w:r>
    </w:p>
    <w:p>
      <w:pPr>
        <w:spacing w:after="40"/>
        <w:ind w:left="317" w:hanging="317"/>
      </w:pPr>
      <w:r>
        <w:rPr>
          <w:rFonts w:ascii="Noto Sans" w:hAnsi="Noto Sans"/>
          <w:b/>
          <w:color w:val="2F6BFF"/>
        </w:rPr>
        <w:t xml:space="preserve">3. </w:t>
      </w:r>
      <w:r>
        <w:rPr>
          <w:rFonts w:ascii="Noto Sans" w:hAnsi="Noto Sans"/>
        </w:rPr>
        <w:t>Run delegated policies or send a request-for-offer to eligible lenders and facilities.</w:t>
      </w:r>
    </w:p>
    <w:p>
      <w:pPr>
        <w:spacing w:after="40"/>
        <w:ind w:left="317" w:hanging="317"/>
      </w:pPr>
      <w:r>
        <w:rPr>
          <w:rFonts w:ascii="Noto Sans" w:hAnsi="Noto Sans"/>
          <w:b/>
          <w:color w:val="2F6BFF"/>
        </w:rPr>
        <w:t xml:space="preserve">4. </w:t>
      </w:r>
      <w:r>
        <w:rPr>
          <w:rFonts w:ascii="Noto Sans" w:hAnsi="Noto Sans"/>
        </w:rPr>
        <w:t>Validate total cost, disclosures, funding availability, asset eligibility, custody and finality conditions.</w:t>
      </w:r>
    </w:p>
    <w:p>
      <w:pPr>
        <w:spacing w:after="40"/>
        <w:ind w:left="317" w:hanging="317"/>
      </w:pPr>
      <w:r>
        <w:rPr>
          <w:rFonts w:ascii="Noto Sans" w:hAnsi="Noto Sans"/>
          <w:b/>
          <w:color w:val="2F6BFF"/>
        </w:rPr>
        <w:t xml:space="preserve">5. </w:t>
      </w:r>
      <w:r>
        <w:rPr>
          <w:rFonts w:ascii="Noto Sans" w:hAnsi="Noto Sans"/>
        </w:rPr>
        <w:t>Rank offers by borrower utility: eligibility, total cost, approval certainty, speed, flexibility and product fit—not by platform revenue alone.</w:t>
      </w:r>
    </w:p>
    <w:p>
      <w:pPr>
        <w:spacing w:after="40"/>
        <w:ind w:left="317" w:hanging="317"/>
      </w:pPr>
      <w:r>
        <w:rPr>
          <w:rFonts w:ascii="Noto Sans" w:hAnsi="Noto Sans"/>
          <w:b/>
          <w:color w:val="2F6BFF"/>
        </w:rPr>
        <w:t xml:space="preserve">6. </w:t>
      </w:r>
      <w:r>
        <w:rPr>
          <w:rFonts w:ascii="Noto Sans" w:hAnsi="Noto Sans"/>
        </w:rPr>
        <w:t>Record the selected lender, policy, price, capital source, permitted rail and reasons in an immutable Offer Receipt.</w:t>
      </w:r>
    </w:p>
    <w:p>
      <w:pPr>
        <w:pStyle w:val="Heading3"/>
        <w:keepNext/>
      </w:pPr>
      <w:r>
        <w:rPr>
          <w:rFonts w:ascii="Noto Sans" w:hAnsi="Noto Sans"/>
        </w:rPr>
        <w:t>13.4 Financeable and Tokenized Credit Assets</w:t>
      </w:r>
    </w:p>
    <w:p>
      <w:r>
        <w:rPr>
          <w:rFonts w:ascii="Noto Sans" w:hAnsi="Noto Sans"/>
        </w:rPr>
        <w:t>An eligible Obligation may remain an off-chain loan or receivable record, or it may be represented as an on-chain verifiable asset when the legal right, evidence, custody, transfer restrictions, servicing and investor eligibility are defined. Tokenization is an optional representation and distribution mechanism; it does not create the legal claim, improve weak asset quality or permit duplicate financing.</w:t>
      </w:r>
    </w:p>
    <w:p>
      <w:r>
        <w:rPr>
          <w:rFonts w:ascii="Noto Sans" w:hAnsi="Noto Sans"/>
        </w:rPr>
        <w:t>The Capital Router can match eligible obligations to off-chain facilities or On-chain Capital Facilities under the same mandate framework. Rail and asset form are selection attributes alongside risk, duration, jurisdiction, currency, concentration, total cost and borrower protection.</w:t>
      </w:r>
    </w:p>
    <w:p>
      <w:pPr>
        <w:pStyle w:val="Heading2"/>
        <w:keepNext/>
      </w:pPr>
      <w:r>
        <w:rPr>
          <w:rFonts w:ascii="Noto Sans" w:hAnsi="Noto Sans"/>
        </w:rPr>
        <w:t>14. Single Kernel, Dual Entry and Replaceable Adapters</w:t>
      </w:r>
    </w:p>
    <w:p>
      <w:pPr>
        <w:jc w:val="center"/>
      </w:pPr>
      <w:r>
        <w:rPr>
          <w:rFonts w:ascii="Noto Sans" w:hAnsi="Noto Sans"/>
        </w:rPr>
        <w:drawing>
          <wp:inline xmlns:a="http://schemas.openxmlformats.org/drawingml/2006/main" xmlns:pic="http://schemas.openxmlformats.org/drawingml/2006/picture">
            <wp:extent cx="6172200" cy="3257350"/>
            <wp:docPr id="4" name="Picture 4" title="Figure 4 — Single kernel, dual entry and replaceable adapters: every external interface, protocol, evidence source, capital facility and rail maps into canonical objects and events." descr="Architecture diagram showing adapter categories around a normalization layer and deterministic credit and obligation kernel."/>
            <wp:cNvGraphicFramePr>
              <a:graphicFrameLocks noChangeAspect="1"/>
            </wp:cNvGraphicFramePr>
            <a:graphic>
              <a:graphicData uri="http://schemas.openxmlformats.org/drawingml/2006/picture">
                <pic:pic>
                  <pic:nvPicPr>
                    <pic:cNvPr id="0" name="multi_rail_architecture.png"/>
                    <pic:cNvPicPr/>
                  </pic:nvPicPr>
                  <pic:blipFill>
                    <a:blip r:embed="rId14"/>
                    <a:stretch>
                      <a:fillRect/>
                    </a:stretch>
                  </pic:blipFill>
                  <pic:spPr>
                    <a:xfrm>
                      <a:off x="0" y="0"/>
                      <a:ext cx="6172200" cy="3257350"/>
                    </a:xfrm>
                    <a:prstGeom prst="rect"/>
                  </pic:spPr>
                </pic:pic>
              </a:graphicData>
            </a:graphic>
          </wp:inline>
        </w:drawing>
      </w:r>
    </w:p>
    <w:p>
      <w:pPr>
        <w:spacing w:after="80"/>
        <w:jc w:val="center"/>
      </w:pPr>
      <w:r>
        <w:rPr>
          <w:rFonts w:ascii="Noto Sans" w:hAnsi="Noto Sans"/>
          <w:i/>
          <w:color w:val="5E6A75"/>
          <w:sz w:val="15"/>
        </w:rPr>
        <w:t>Figure 4 — Single kernel, dual entry and replaceable adapters: every external interface, protocol, evidence source, capital facility and rail maps into canonical objects and events.</w:t>
      </w:r>
    </w:p>
    <w:p>
      <w:pPr>
        <w:pStyle w:val="Heading3"/>
        <w:keepNext/>
      </w:pPr>
      <w:r>
        <w:rPr>
          <w:rFonts w:ascii="Noto Sans" w:hAnsi="Noto Sans"/>
        </w:rPr>
        <w:t>14.1 Stable deterministic kernel</w:t>
      </w:r>
    </w:p>
    <w:p>
      <w:r>
        <w:rPr>
          <w:rFonts w:ascii="Noto Sans" w:hAnsi="Noto Sans"/>
        </w:rPr>
        <w:t>The kernel owns canonical Subjects, Principals, Intents, Credit Profiles, Offers, Authorizations, Obligations, Credit States, policy versions and audit events. Human and Agent entry paths converge here. The kernel does not call a specific bank, chain, wallet, Agent protocol or identity vendor directly, and it does not fork state semantics by subject type.</w:t>
      </w:r>
    </w:p>
    <w:p>
      <w:pPr>
        <w:pStyle w:val="Heading3"/>
        <w:keepNext/>
      </w:pPr>
      <w:r>
        <w:rPr>
          <w:rFonts w:ascii="Noto Sans" w:hAnsi="Noto Sans"/>
        </w:rPr>
        <w:t>14.2 Adapter classes</w:t>
      </w:r>
    </w:p>
    <w:tbl>
      <w:tblPr>
        <w:tblStyle w:val="TableGrid"/>
        <w:tblW w:type="auto" w:w="0"/>
        <w:jc w:val="center"/>
        <w:tblLayout w:type="autofit"/>
        <w:tblLook w:firstColumn="1" w:firstRow="1" w:lastColumn="0" w:lastRow="0" w:noHBand="0" w:noVBand="1" w:val="04A0"/>
      </w:tblPr>
      <w:tblGrid>
        <w:gridCol w:w="4917"/>
        <w:gridCol w:w="4917"/>
      </w:tblGrid>
      <w:tr>
        <w:trPr>
          <w:tblHeader w:val="true"/>
          <w:cantSplit/>
        </w:trPr>
        <w:tc>
          <w:tcPr>
            <w:tcW w:type="dxa" w:w="4917"/>
            <w:shd w:fill="0B1F33"/>
            <w:tcMar>
              <w:top w:w="70" w:type="dxa"/>
              <w:start w:w="85" w:type="dxa"/>
              <w:bottom w:w="70" w:type="dxa"/>
              <w:end w:w="85" w:type="dxa"/>
            </w:tcMar>
            <w:vAlign w:val="center"/>
          </w:tcPr>
          <w:p>
            <w:pPr>
              <w:spacing w:after="0"/>
            </w:pPr>
            <w:r/>
            <w:r>
              <w:rPr>
                <w:rFonts w:ascii="Noto Sans" w:hAnsi="Noto Sans"/>
                <w:b/>
                <w:color w:val="FFFFFF"/>
                <w:sz w:val="16"/>
              </w:rPr>
              <w:t>Adapter class</w:t>
            </w:r>
          </w:p>
        </w:tc>
        <w:tc>
          <w:tcPr>
            <w:tcW w:type="dxa" w:w="4917"/>
            <w:shd w:fill="0B1F33"/>
            <w:tcMar>
              <w:top w:w="70" w:type="dxa"/>
              <w:start w:w="85" w:type="dxa"/>
              <w:bottom w:w="70" w:type="dxa"/>
              <w:end w:w="85" w:type="dxa"/>
            </w:tcMar>
            <w:vAlign w:val="center"/>
          </w:tcPr>
          <w:p>
            <w:pPr>
              <w:spacing w:after="0"/>
            </w:pPr>
            <w:r/>
            <w:r>
              <w:rPr>
                <w:rFonts w:ascii="Noto Sans" w:hAnsi="Noto Sans"/>
                <w:b/>
                <w:color w:val="FFFFFF"/>
                <w:sz w:val="16"/>
              </w:rPr>
              <w:t>Responsibilities</w:t>
            </w:r>
          </w:p>
        </w:tc>
      </w:tr>
      <w:tr>
        <w:trPr>
          <w:cantSplit/>
        </w:trPr>
        <w:tc>
          <w:tcPr>
            <w:tcW w:type="dxa" w:w="4917"/>
            <w:tcMar>
              <w:top w:w="70" w:type="dxa"/>
              <w:start w:w="85" w:type="dxa"/>
              <w:bottom w:w="70" w:type="dxa"/>
              <w:end w:w="85" w:type="dxa"/>
            </w:tcMar>
            <w:vAlign w:val="top"/>
          </w:tcPr>
          <w:p>
            <w:pPr>
              <w:spacing w:after="0"/>
            </w:pPr>
            <w:r/>
            <w:r>
              <w:rPr>
                <w:rFonts w:ascii="Noto Sans" w:hAnsi="Noto Sans"/>
                <w:color w:val="18212B"/>
                <w:sz w:val="16"/>
              </w:rPr>
              <w:t>Human Interaction Adapters</w:t>
            </w:r>
          </w:p>
        </w:tc>
        <w:tc>
          <w:tcPr>
            <w:tcW w:type="dxa" w:w="4917"/>
            <w:tcMar>
              <w:top w:w="70" w:type="dxa"/>
              <w:start w:w="85" w:type="dxa"/>
              <w:bottom w:w="70" w:type="dxa"/>
              <w:end w:w="85" w:type="dxa"/>
            </w:tcMar>
            <w:vAlign w:val="top"/>
          </w:tcPr>
          <w:p>
            <w:pPr>
              <w:spacing w:after="0"/>
            </w:pPr>
            <w:r/>
            <w:r>
              <w:rPr>
                <w:rFonts w:ascii="Noto Sans" w:hAnsi="Noto Sans"/>
                <w:color w:val="18212B"/>
                <w:sz w:val="16"/>
              </w:rPr>
              <w:t>Map applications, embedded workflows and institutional interfaces into canonical Intent, Consent, evidence, offer and disclosure objects.</w:t>
            </w:r>
          </w:p>
        </w:tc>
      </w:tr>
      <w:tr>
        <w:trPr>
          <w:cantSplit/>
        </w:trPr>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Agent Communication Adapters</w:t>
            </w:r>
          </w:p>
        </w:tc>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Map API, SDK, MCP, A2A and compatible machine messages into canonical Intent, Plan, Mandate, Authorization and status objects.</w:t>
            </w:r>
          </w:p>
        </w:tc>
      </w:tr>
      <w:tr>
        <w:trPr>
          <w:cantSplit/>
        </w:trPr>
        <w:tc>
          <w:tcPr>
            <w:tcW w:type="dxa" w:w="4917"/>
            <w:tcMar>
              <w:top w:w="70" w:type="dxa"/>
              <w:start w:w="85" w:type="dxa"/>
              <w:bottom w:w="70" w:type="dxa"/>
              <w:end w:w="85" w:type="dxa"/>
            </w:tcMar>
            <w:vAlign w:val="top"/>
          </w:tcPr>
          <w:p>
            <w:pPr>
              <w:spacing w:after="0"/>
            </w:pPr>
            <w:r/>
            <w:r>
              <w:rPr>
                <w:rFonts w:ascii="Noto Sans" w:hAnsi="Noto Sans"/>
                <w:color w:val="18212B"/>
                <w:sz w:val="16"/>
              </w:rPr>
              <w:t>Identity and Evidence Adapters</w:t>
            </w:r>
          </w:p>
        </w:tc>
        <w:tc>
          <w:tcPr>
            <w:tcW w:type="dxa" w:w="4917"/>
            <w:tcMar>
              <w:top w:w="70" w:type="dxa"/>
              <w:start w:w="85" w:type="dxa"/>
              <w:bottom w:w="70" w:type="dxa"/>
              <w:end w:w="85" w:type="dxa"/>
            </w:tcMar>
            <w:vAlign w:val="top"/>
          </w:tcPr>
          <w:p>
            <w:pPr>
              <w:spacing w:after="0"/>
            </w:pPr>
            <w:r/>
            <w:r>
              <w:rPr>
                <w:rFonts w:ascii="Noto Sans" w:hAnsi="Noto Sans"/>
                <w:color w:val="18212B"/>
                <w:sz w:val="16"/>
              </w:rPr>
              <w:t>Bind accounts, ingest KYC/KYB, authority, account-control and behavioral attestations, refresh status and preserve provenance.</w:t>
            </w:r>
          </w:p>
        </w:tc>
      </w:tr>
      <w:tr>
        <w:trPr>
          <w:cantSplit/>
        </w:trPr>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Multi-Rail Adapters</w:t>
            </w:r>
          </w:p>
        </w:tc>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Execute traditional or on-chain account binding, instruction preparation, transaction submission, event observation, finality, partial reconciliation, reversal and correction.</w:t>
            </w:r>
          </w:p>
        </w:tc>
      </w:tr>
      <w:tr>
        <w:trPr>
          <w:cantSplit/>
        </w:trPr>
        <w:tc>
          <w:tcPr>
            <w:tcW w:type="dxa" w:w="4917"/>
            <w:tcMar>
              <w:top w:w="70" w:type="dxa"/>
              <w:start w:w="85" w:type="dxa"/>
              <w:bottom w:w="70" w:type="dxa"/>
              <w:end w:w="85" w:type="dxa"/>
            </w:tcMar>
            <w:vAlign w:val="top"/>
          </w:tcPr>
          <w:p>
            <w:pPr>
              <w:spacing w:after="0"/>
            </w:pPr>
            <w:r/>
            <w:r>
              <w:rPr>
                <w:rFonts w:ascii="Noto Sans" w:hAnsi="Noto Sans"/>
                <w:color w:val="18212B"/>
                <w:sz w:val="16"/>
              </w:rPr>
              <w:t>Capital Facility Adapters</w:t>
            </w:r>
          </w:p>
        </w:tc>
        <w:tc>
          <w:tcPr>
            <w:tcW w:type="dxa" w:w="4917"/>
            <w:tcMar>
              <w:top w:w="70" w:type="dxa"/>
              <w:start w:w="85" w:type="dxa"/>
              <w:bottom w:w="70" w:type="dxa"/>
              <w:end w:w="85" w:type="dxa"/>
            </w:tcMar>
            <w:vAlign w:val="top"/>
          </w:tcPr>
          <w:p>
            <w:pPr>
              <w:spacing w:after="0"/>
            </w:pPr>
            <w:r/>
            <w:r>
              <w:rPr>
                <w:rFonts w:ascii="Noto Sans" w:hAnsi="Noto Sans"/>
                <w:color w:val="18212B"/>
                <w:sz w:val="16"/>
              </w:rPr>
              <w:t>Register off-chain or on-chain mandates, reserve or allocate capital, receive standardized asset data and report performance.</w:t>
            </w:r>
          </w:p>
        </w:tc>
      </w:tr>
      <w:tr>
        <w:trPr>
          <w:cantSplit/>
        </w:trPr>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Proof and Attestation Adapters</w:t>
            </w:r>
          </w:p>
        </w:tc>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Anchor or verify commitments, credentials, revocations, execution evidence and purpose-limited performance proofs.</w:t>
            </w:r>
          </w:p>
        </w:tc>
      </w:tr>
    </w:tbl>
    <w:p>
      <w:pPr>
        <w:spacing w:after="0"/>
      </w:pPr>
    </w:p>
    <w:p>
      <w:pPr>
        <w:pStyle w:val="Heading3"/>
        <w:keepNext/>
      </w:pPr>
      <w:r>
        <w:rPr>
          <w:rFonts w:ascii="Noto Sans" w:hAnsi="Noto Sans"/>
        </w:rPr>
        <w:t>14.3 Multi-Rail Adapter contract</w:t>
      </w:r>
    </w:p>
    <w:p>
      <w:r>
        <w:rPr>
          <w:rFonts w:ascii="Noto Sans" w:hAnsi="Noto Sans"/>
        </w:rPr>
        <w:t>A Multi-Rail Adapter provides a common control surface for account binding, instruction preparation, transaction submission, event observation, finality confirmation, reconciliation and correction. Each adapter translates rail-specific evidence into normalized RailEvents. The kernel determines whether those events satisfy the applicable settlement policy; the adapter cannot alter credit terms or create exposure.</w:t>
      </w:r>
    </w:p>
    <w:p>
      <w:pPr>
        <w:pStyle w:val="Heading3"/>
        <w:keepNext/>
      </w:pPr>
      <w:r>
        <w:rPr>
          <w:rFonts w:ascii="Noto Sans" w:hAnsi="Noto Sans"/>
        </w:rPr>
        <w:t>14.4 Protocol normalization</w:t>
      </w:r>
    </w:p>
    <w:p>
      <w:r>
        <w:rPr>
          <w:rFonts w:ascii="Noto Sans" w:hAnsi="Noto Sans"/>
        </w:rPr>
        <w:t>All external systems—including human interfaces, Agent communication protocols, payment networks and on-chain protocols—are transport, evidence or execution environments. Adapters normalize them into internal objects such as Subject, CreditIntent, ExecutionPlan, Authorization, SettlementInstruction, RailReceipt and FinalityProof. Blockchain environments may support both verifiable Agent execution and capital interaction, but they do not define a separate credit ontology. This normalization prevents integration-driven technical debt and preserves one long-lived kernel.</w:t>
      </w:r>
    </w:p>
    <w:p>
      <w:pPr>
        <w:pStyle w:val="Heading3"/>
        <w:keepNext/>
      </w:pPr>
      <w:r>
        <w:rPr>
          <w:rFonts w:ascii="Noto Sans" w:hAnsi="Noto Sans"/>
        </w:rPr>
        <w:t>14.5 Failure isolation</w:t>
      </w:r>
    </w:p>
    <w:p>
      <w:pPr>
        <w:pStyle w:val="ListBullet"/>
        <w:spacing w:after="32"/>
      </w:pPr>
      <w:r>
        <w:rPr>
          <w:rFonts w:ascii="Noto Sans" w:hAnsi="Noto Sans"/>
        </w:rPr>
        <w:t>A rail outage, chain reorganization, processor reversal or Agent-protocol failure cannot silently finalize an Obligation.</w:t>
      </w:r>
    </w:p>
    <w:p>
      <w:pPr>
        <w:pStyle w:val="ListBullet"/>
        <w:spacing w:after="32"/>
      </w:pPr>
      <w:r>
        <w:rPr>
          <w:rFonts w:ascii="Noto Sans" w:hAnsi="Noto Sans"/>
        </w:rPr>
        <w:t>Adapters are versioned, monitored and replaceable; a failing adapter can be paused without changing the kernel.</w:t>
      </w:r>
    </w:p>
    <w:p>
      <w:pPr>
        <w:pStyle w:val="ListBullet"/>
        <w:spacing w:after="32"/>
      </w:pPr>
      <w:r>
        <w:rPr>
          <w:rFonts w:ascii="Noto Sans" w:hAnsi="Noto Sans"/>
        </w:rPr>
        <w:t>Canonical idempotency keys prevent duplicate funding or repayment effects across retries and multiple rails.</w:t>
      </w:r>
    </w:p>
    <w:p>
      <w:pPr>
        <w:pStyle w:val="ListBullet"/>
        <w:spacing w:after="32"/>
      </w:pPr>
      <w:r>
        <w:rPr>
          <w:rFonts w:ascii="Noto Sans" w:hAnsi="Noto Sans"/>
        </w:rPr>
        <w:t>Fallback rails require an explicit policy and cannot increase total authorized exposure.</w:t>
      </w:r>
    </w:p>
    <w:p>
      <w:pPr>
        <w:pStyle w:val="Heading2"/>
        <w:keepNext/>
      </w:pPr>
      <w:r>
        <w:rPr>
          <w:rFonts w:ascii="Noto Sans" w:hAnsi="Noto Sans"/>
        </w:rPr>
        <w:t>15. Origination, Obligations, Servicing and Multi-Rail Settlement</w:t>
      </w:r>
    </w:p>
    <w:p>
      <w:r>
        <w:rPr>
          <w:rFonts w:ascii="Noto Sans" w:hAnsi="Noto Sans"/>
        </w:rPr>
        <w:t>After offer acceptance, the legal lender or Originator creates the agreement and disclosures. IPO.ONE stores references and canonical economic terms, not a claim that software overrides local law. The Obligation remains rail-independent while its funding and repayment can occur off-chain, on-chain or through a hybrid combination.</w:t>
      </w:r>
    </w:p>
    <w:tbl>
      <w:tblPr>
        <w:tblStyle w:val="TableGrid"/>
        <w:tblW w:type="auto" w:w="0"/>
        <w:jc w:val="center"/>
        <w:tblLayout w:type="autofit"/>
        <w:tblLook w:firstColumn="1" w:firstRow="1" w:lastColumn="0" w:lastRow="0" w:noHBand="0" w:noVBand="1" w:val="04A0"/>
      </w:tblPr>
      <w:tblGrid>
        <w:gridCol w:w="4917"/>
        <w:gridCol w:w="4917"/>
      </w:tblGrid>
      <w:tr>
        <w:trPr>
          <w:tblHeader w:val="true"/>
          <w:cantSplit/>
        </w:trPr>
        <w:tc>
          <w:tcPr>
            <w:tcW w:type="dxa" w:w="4917"/>
            <w:shd w:fill="0B1F33"/>
            <w:tcMar>
              <w:top w:w="70" w:type="dxa"/>
              <w:start w:w="85" w:type="dxa"/>
              <w:bottom w:w="70" w:type="dxa"/>
              <w:end w:w="85" w:type="dxa"/>
            </w:tcMar>
            <w:vAlign w:val="center"/>
          </w:tcPr>
          <w:p>
            <w:pPr>
              <w:spacing w:after="0"/>
            </w:pPr>
            <w:r/>
            <w:r>
              <w:rPr>
                <w:rFonts w:ascii="Noto Sans" w:hAnsi="Noto Sans"/>
                <w:b/>
                <w:color w:val="FFFFFF"/>
                <w:sz w:val="16"/>
              </w:rPr>
              <w:t>State</w:t>
            </w:r>
          </w:p>
        </w:tc>
        <w:tc>
          <w:tcPr>
            <w:tcW w:type="dxa" w:w="4917"/>
            <w:shd w:fill="0B1F33"/>
            <w:tcMar>
              <w:top w:w="70" w:type="dxa"/>
              <w:start w:w="85" w:type="dxa"/>
              <w:bottom w:w="70" w:type="dxa"/>
              <w:end w:w="85" w:type="dxa"/>
            </w:tcMar>
            <w:vAlign w:val="center"/>
          </w:tcPr>
          <w:p>
            <w:pPr>
              <w:spacing w:after="0"/>
            </w:pPr>
            <w:r/>
            <w:r>
              <w:rPr>
                <w:rFonts w:ascii="Noto Sans" w:hAnsi="Noto Sans"/>
                <w:b/>
                <w:color w:val="FFFFFF"/>
                <w:sz w:val="16"/>
              </w:rPr>
              <w:t>Meaning</w:t>
            </w:r>
          </w:p>
        </w:tc>
      </w:tr>
      <w:tr>
        <w:trPr>
          <w:cantSplit/>
        </w:trPr>
        <w:tc>
          <w:tcPr>
            <w:tcW w:type="dxa" w:w="4917"/>
            <w:tcMar>
              <w:top w:w="70" w:type="dxa"/>
              <w:start w:w="85" w:type="dxa"/>
              <w:bottom w:w="70" w:type="dxa"/>
              <w:end w:w="85" w:type="dxa"/>
            </w:tcMar>
            <w:vAlign w:val="top"/>
          </w:tcPr>
          <w:p>
            <w:pPr>
              <w:spacing w:after="0"/>
            </w:pPr>
            <w:r/>
            <w:r>
              <w:rPr>
                <w:rFonts w:ascii="Noto Sans" w:hAnsi="Noto Sans"/>
                <w:color w:val="18212B"/>
                <w:sz w:val="16"/>
              </w:rPr>
              <w:t>Offered</w:t>
            </w:r>
          </w:p>
        </w:tc>
        <w:tc>
          <w:tcPr>
            <w:tcW w:type="dxa" w:w="4917"/>
            <w:tcMar>
              <w:top w:w="70" w:type="dxa"/>
              <w:start w:w="85" w:type="dxa"/>
              <w:bottom w:w="70" w:type="dxa"/>
              <w:end w:w="85" w:type="dxa"/>
            </w:tcMar>
            <w:vAlign w:val="top"/>
          </w:tcPr>
          <w:p>
            <w:pPr>
              <w:spacing w:after="0"/>
            </w:pPr>
            <w:r/>
            <w:r>
              <w:rPr>
                <w:rFonts w:ascii="Noto Sans" w:hAnsi="Noto Sans"/>
                <w:color w:val="18212B"/>
                <w:sz w:val="16"/>
              </w:rPr>
              <w:t>Conditional or binding terms issued by an identified lender.</w:t>
            </w:r>
          </w:p>
        </w:tc>
      </w:tr>
      <w:tr>
        <w:trPr>
          <w:cantSplit/>
        </w:trPr>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Accepted / Contracted</w:t>
            </w:r>
          </w:p>
        </w:tc>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Borrower accepts; required agreement and disclosures completed.</w:t>
            </w:r>
          </w:p>
        </w:tc>
      </w:tr>
      <w:tr>
        <w:trPr>
          <w:cantSplit/>
        </w:trPr>
        <w:tc>
          <w:tcPr>
            <w:tcW w:type="dxa" w:w="4917"/>
            <w:tcMar>
              <w:top w:w="70" w:type="dxa"/>
              <w:start w:w="85" w:type="dxa"/>
              <w:bottom w:w="70" w:type="dxa"/>
              <w:end w:w="85" w:type="dxa"/>
            </w:tcMar>
            <w:vAlign w:val="top"/>
          </w:tcPr>
          <w:p>
            <w:pPr>
              <w:spacing w:after="0"/>
            </w:pPr>
            <w:r/>
            <w:r>
              <w:rPr>
                <w:rFonts w:ascii="Noto Sans" w:hAnsi="Noto Sans"/>
                <w:color w:val="18212B"/>
                <w:sz w:val="16"/>
              </w:rPr>
              <w:t>Funding instructed</w:t>
            </w:r>
          </w:p>
        </w:tc>
        <w:tc>
          <w:tcPr>
            <w:tcW w:type="dxa" w:w="4917"/>
            <w:tcMar>
              <w:top w:w="70" w:type="dxa"/>
              <w:start w:w="85" w:type="dxa"/>
              <w:bottom w:w="70" w:type="dxa"/>
              <w:end w:w="85" w:type="dxa"/>
            </w:tcMar>
            <w:vAlign w:val="top"/>
          </w:tcPr>
          <w:p>
            <w:pPr>
              <w:spacing w:after="0"/>
            </w:pPr>
            <w:r/>
            <w:r>
              <w:rPr>
                <w:rFonts w:ascii="Noto Sans" w:hAnsi="Noto Sans"/>
                <w:color w:val="18212B"/>
                <w:sz w:val="16"/>
              </w:rPr>
              <w:t>A rail-neutral instruction is created for an approved adapter and destination.</w:t>
            </w:r>
          </w:p>
        </w:tc>
      </w:tr>
      <w:tr>
        <w:trPr>
          <w:cantSplit/>
        </w:trPr>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Pending finality</w:t>
            </w:r>
          </w:p>
        </w:tc>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The rail has accepted or observed the transaction but applicable finality conditions are not yet satisfied.</w:t>
            </w:r>
          </w:p>
        </w:tc>
      </w:tr>
      <w:tr>
        <w:trPr>
          <w:cantSplit/>
        </w:trPr>
        <w:tc>
          <w:tcPr>
            <w:tcW w:type="dxa" w:w="4917"/>
            <w:tcMar>
              <w:top w:w="70" w:type="dxa"/>
              <w:start w:w="85" w:type="dxa"/>
              <w:bottom w:w="70" w:type="dxa"/>
              <w:end w:w="85" w:type="dxa"/>
            </w:tcMar>
            <w:vAlign w:val="top"/>
          </w:tcPr>
          <w:p>
            <w:pPr>
              <w:spacing w:after="0"/>
            </w:pPr>
            <w:r/>
            <w:r>
              <w:rPr>
                <w:rFonts w:ascii="Noto Sans" w:hAnsi="Noto Sans"/>
                <w:color w:val="18212B"/>
                <w:sz w:val="16"/>
              </w:rPr>
              <w:t>Funded / Active</w:t>
            </w:r>
          </w:p>
        </w:tc>
        <w:tc>
          <w:tcPr>
            <w:tcW w:type="dxa" w:w="4917"/>
            <w:tcMar>
              <w:top w:w="70" w:type="dxa"/>
              <w:start w:w="85" w:type="dxa"/>
              <w:bottom w:w="70" w:type="dxa"/>
              <w:end w:w="85" w:type="dxa"/>
            </w:tcMar>
            <w:vAlign w:val="top"/>
          </w:tcPr>
          <w:p>
            <w:pPr>
              <w:spacing w:after="0"/>
            </w:pPr>
            <w:r/>
            <w:r>
              <w:rPr>
                <w:rFonts w:ascii="Noto Sans" w:hAnsi="Noto Sans"/>
                <w:color w:val="18212B"/>
                <w:sz w:val="16"/>
              </w:rPr>
              <w:t>Required funding finality is confirmed; the Obligation is outstanding and restrictions are tracked.</w:t>
            </w:r>
          </w:p>
        </w:tc>
      </w:tr>
      <w:tr>
        <w:trPr>
          <w:cantSplit/>
        </w:trPr>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Partially settled</w:t>
            </w:r>
          </w:p>
        </w:tc>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A valid portion is reconciled, including combinations of traditional and on-chain receipts.</w:t>
            </w:r>
          </w:p>
        </w:tc>
      </w:tr>
      <w:tr>
        <w:trPr>
          <w:cantSplit/>
        </w:trPr>
        <w:tc>
          <w:tcPr>
            <w:tcW w:type="dxa" w:w="4917"/>
            <w:tcMar>
              <w:top w:w="70" w:type="dxa"/>
              <w:start w:w="85" w:type="dxa"/>
              <w:bottom w:w="70" w:type="dxa"/>
              <w:end w:w="85" w:type="dxa"/>
            </w:tcMar>
            <w:vAlign w:val="top"/>
          </w:tcPr>
          <w:p>
            <w:pPr>
              <w:spacing w:after="0"/>
            </w:pPr>
            <w:r/>
            <w:r>
              <w:rPr>
                <w:rFonts w:ascii="Noto Sans" w:hAnsi="Noto Sans"/>
                <w:color w:val="18212B"/>
                <w:sz w:val="16"/>
              </w:rPr>
              <w:t>Due / Delinquent</w:t>
            </w:r>
          </w:p>
        </w:tc>
        <w:tc>
          <w:tcPr>
            <w:tcW w:type="dxa" w:w="4917"/>
            <w:tcMar>
              <w:top w:w="70" w:type="dxa"/>
              <w:start w:w="85" w:type="dxa"/>
              <w:bottom w:w="70" w:type="dxa"/>
              <w:end w:w="85" w:type="dxa"/>
            </w:tcMar>
            <w:vAlign w:val="top"/>
          </w:tcPr>
          <w:p>
            <w:pPr>
              <w:spacing w:after="0"/>
            </w:pPr>
            <w:r/>
            <w:r>
              <w:rPr>
                <w:rFonts w:ascii="Noto Sans" w:hAnsi="Noto Sans"/>
                <w:color w:val="18212B"/>
                <w:sz w:val="16"/>
              </w:rPr>
              <w:t>Payment is due or past due according to the product-specific DPD definition.</w:t>
            </w:r>
          </w:p>
        </w:tc>
      </w:tr>
      <w:tr>
        <w:trPr>
          <w:cantSplit/>
        </w:trPr>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Cured / Restructured</w:t>
            </w:r>
          </w:p>
        </w:tc>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A delinquency is resolved or terms are lawfully modified.</w:t>
            </w:r>
          </w:p>
        </w:tc>
      </w:tr>
      <w:tr>
        <w:trPr>
          <w:cantSplit/>
        </w:trPr>
        <w:tc>
          <w:tcPr>
            <w:tcW w:type="dxa" w:w="4917"/>
            <w:tcMar>
              <w:top w:w="70" w:type="dxa"/>
              <w:start w:w="85" w:type="dxa"/>
              <w:bottom w:w="70" w:type="dxa"/>
              <w:end w:w="85" w:type="dxa"/>
            </w:tcMar>
            <w:vAlign w:val="top"/>
          </w:tcPr>
          <w:p>
            <w:pPr>
              <w:spacing w:after="0"/>
            </w:pPr>
            <w:r/>
            <w:r>
              <w:rPr>
                <w:rFonts w:ascii="Noto Sans" w:hAnsi="Noto Sans"/>
                <w:color w:val="18212B"/>
                <w:sz w:val="16"/>
              </w:rPr>
              <w:t>Settled</w:t>
            </w:r>
          </w:p>
        </w:tc>
        <w:tc>
          <w:tcPr>
            <w:tcW w:type="dxa" w:w="4917"/>
            <w:tcMar>
              <w:top w:w="70" w:type="dxa"/>
              <w:start w:w="85" w:type="dxa"/>
              <w:bottom w:w="70" w:type="dxa"/>
              <w:end w:w="85" w:type="dxa"/>
            </w:tcMar>
            <w:vAlign w:val="top"/>
          </w:tcPr>
          <w:p>
            <w:pPr>
              <w:spacing w:after="0"/>
            </w:pPr>
            <w:r/>
            <w:r>
              <w:rPr>
                <w:rFonts w:ascii="Noto Sans" w:hAnsi="Noto Sans"/>
                <w:color w:val="18212B"/>
                <w:sz w:val="16"/>
              </w:rPr>
              <w:t>Principal, interest and fees are fully reconciled and legally discharged under the applicable terms.</w:t>
            </w:r>
          </w:p>
        </w:tc>
      </w:tr>
      <w:tr>
        <w:trPr>
          <w:cantSplit/>
        </w:trPr>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Reversed / Corrected</w:t>
            </w:r>
          </w:p>
        </w:tc>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A chargeback, return, reorganization, duplicate or operational error is recorded through an additive correction event.</w:t>
            </w:r>
          </w:p>
        </w:tc>
      </w:tr>
      <w:tr>
        <w:trPr>
          <w:cantSplit/>
        </w:trPr>
        <w:tc>
          <w:tcPr>
            <w:tcW w:type="dxa" w:w="4917"/>
            <w:tcMar>
              <w:top w:w="70" w:type="dxa"/>
              <w:start w:w="85" w:type="dxa"/>
              <w:bottom w:w="70" w:type="dxa"/>
              <w:end w:w="85" w:type="dxa"/>
            </w:tcMar>
            <w:vAlign w:val="top"/>
          </w:tcPr>
          <w:p>
            <w:pPr>
              <w:spacing w:after="0"/>
            </w:pPr>
            <w:r/>
            <w:r>
              <w:rPr>
                <w:rFonts w:ascii="Noto Sans" w:hAnsi="Noto Sans"/>
                <w:color w:val="18212B"/>
                <w:sz w:val="16"/>
              </w:rPr>
              <w:t>Defaulted / Written off</w:t>
            </w:r>
          </w:p>
        </w:tc>
        <w:tc>
          <w:tcPr>
            <w:tcW w:type="dxa" w:w="4917"/>
            <w:tcMar>
              <w:top w:w="70" w:type="dxa"/>
              <w:start w:w="85" w:type="dxa"/>
              <w:bottom w:w="70" w:type="dxa"/>
              <w:end w:w="85" w:type="dxa"/>
            </w:tcMar>
            <w:vAlign w:val="top"/>
          </w:tcPr>
          <w:p>
            <w:pPr>
              <w:spacing w:after="0"/>
            </w:pPr>
            <w:r/>
            <w:r>
              <w:rPr>
                <w:rFonts w:ascii="Noto Sans" w:hAnsi="Noto Sans"/>
                <w:color w:val="18212B"/>
                <w:sz w:val="16"/>
              </w:rPr>
              <w:t>Loss state recorded with recovery and correction rights.</w:t>
            </w:r>
          </w:p>
        </w:tc>
      </w:tr>
    </w:tbl>
    <w:p>
      <w:pPr>
        <w:spacing w:after="0"/>
      </w:pPr>
    </w:p>
    <w:p>
      <w:pPr>
        <w:pStyle w:val="Heading3"/>
        <w:keepNext/>
      </w:pPr>
      <w:r>
        <w:rPr>
          <w:rFonts w:ascii="Noto Sans" w:hAnsi="Noto Sans"/>
        </w:rPr>
        <w:t>15.1 On-chain, off-chain and hybrid settlement</w:t>
      </w:r>
    </w:p>
    <w:p>
      <w:r>
        <w:rPr>
          <w:rFonts w:ascii="Noto Sans" w:hAnsi="Noto Sans"/>
        </w:rPr>
        <w:t>A single Obligation may settle entirely through a traditional rail, entirely through an on-chain rail, or through multiple partial payments across both. IPO.ONE aggregates only normalized, authenticated receipts and prevents the sum of recognized settlement from exceeding the valid Obligation amount.</w:t>
      </w:r>
    </w:p>
    <w:p>
      <w:pPr>
        <w:pStyle w:val="Heading3"/>
        <w:keepNext/>
      </w:pPr>
      <w:r>
        <w:rPr>
          <w:rFonts w:ascii="Noto Sans" w:hAnsi="Noto Sans"/>
        </w:rPr>
        <w:t>15.2 Finality and legal discharge</w:t>
      </w:r>
    </w:p>
    <w:p>
      <w:r>
        <w:rPr>
          <w:rFonts w:ascii="Noto Sans" w:hAnsi="Noto Sans"/>
        </w:rPr>
        <w:t>On-chain finality may be evidenced by transaction inclusion, confirmation depth, protocol finality or a trusted attestation. Off-chain finality may be evidenced by a bank, processor, custodian, mobile-money or platform receipt. Technical finality is not automatically identical to legal discharge; the applicable agreement, reversal rights and law determine when an Obligation is legally settled.</w:t>
      </w:r>
    </w:p>
    <w:p>
      <w:pPr>
        <w:pStyle w:val="Heading3"/>
        <w:keepNext/>
      </w:pPr>
      <w:r>
        <w:rPr>
          <w:rFonts w:ascii="Noto Sans" w:hAnsi="Noto Sans"/>
        </w:rPr>
        <w:t>15.3 Event sourcing and reconciliation</w:t>
      </w:r>
    </w:p>
    <w:p>
      <w:r>
        <w:rPr>
          <w:rFonts w:ascii="Noto Sans" w:hAnsi="Noto Sans"/>
        </w:rPr>
        <w:t>Every funding, repayment, refund, reversal, write-off and recovery event is authenticated, idempotent, amount-bounded and linked to its external receipt. Hybrid settlement is represented as multiple partial events against one Obligation. Corrections are additive and preserve the complete event trail.</w:t>
      </w:r>
    </w:p>
    <w:p>
      <w:pPr>
        <w:pStyle w:val="Heading2"/>
        <w:keepNext/>
      </w:pPr>
      <w:r>
        <w:rPr>
          <w:rFonts w:ascii="Noto Sans" w:hAnsi="Noto Sans"/>
        </w:rPr>
        <w:t>16. Progressive Credit and the Credit Intelligence Network</w:t>
      </w:r>
    </w:p>
    <w:p>
      <w:pPr>
        <w:jc w:val="center"/>
      </w:pPr>
      <w:r>
        <w:rPr>
          <w:rFonts w:ascii="Noto Sans" w:hAnsi="Noto Sans"/>
        </w:rPr>
        <w:drawing>
          <wp:inline xmlns:a="http://schemas.openxmlformats.org/drawingml/2006/main" xmlns:pic="http://schemas.openxmlformats.org/drawingml/2006/picture">
            <wp:extent cx="6172200" cy="2376856"/>
            <wp:docPr id="5" name="Picture 5" title="Figure 5 — Progressive credit allows thin-file humans and Agents to earn broader capacity and better terms from verified performance." descr="Six-step progressive credit ladder from verified identity to advanced autonomy."/>
            <wp:cNvGraphicFramePr>
              <a:graphicFrameLocks noChangeAspect="1"/>
            </wp:cNvGraphicFramePr>
            <a:graphic>
              <a:graphicData uri="http://schemas.openxmlformats.org/drawingml/2006/picture">
                <pic:pic>
                  <pic:nvPicPr>
                    <pic:cNvPr id="0" name="progressive_credit_ladder.png"/>
                    <pic:cNvPicPr/>
                  </pic:nvPicPr>
                  <pic:blipFill>
                    <a:blip r:embed="rId15"/>
                    <a:stretch>
                      <a:fillRect/>
                    </a:stretch>
                  </pic:blipFill>
                  <pic:spPr>
                    <a:xfrm>
                      <a:off x="0" y="0"/>
                      <a:ext cx="6172200" cy="2376856"/>
                    </a:xfrm>
                    <a:prstGeom prst="rect"/>
                  </pic:spPr>
                </pic:pic>
              </a:graphicData>
            </a:graphic>
          </wp:inline>
        </w:drawing>
      </w:r>
    </w:p>
    <w:p>
      <w:pPr>
        <w:spacing w:after="80"/>
        <w:jc w:val="center"/>
      </w:pPr>
      <w:r>
        <w:rPr>
          <w:rFonts w:ascii="Noto Sans" w:hAnsi="Noto Sans"/>
          <w:i/>
          <w:color w:val="5E6A75"/>
          <w:sz w:val="15"/>
        </w:rPr>
        <w:t>Figure 5 — Progressive credit allows thin-file humans and Agents to earn broader capacity and better terms from verified performance.</w:t>
      </w:r>
    </w:p>
    <w:p>
      <w:r>
        <w:rPr>
          <w:rFonts w:ascii="Noto Sans" w:hAnsi="Noto Sans"/>
        </w:rPr>
        <w:t>Inclusive credit should not infer large unsecured exposure from weak evidence. IPO.ONE begins with affordable, purpose-appropriate capacity, observes verified performance and expands only when evidence, borrower benefit and lender policy support progression. This principle is dual-native: the lifecycle is shared, while the relevant evidence and safeguards differ by Human or Agent policy profile.</w:t>
      </w:r>
    </w:p>
    <w:p>
      <w:pPr>
        <w:pStyle w:val="Heading3"/>
        <w:keepNext/>
      </w:pPr>
      <w:r>
        <w:rPr>
          <w:rFonts w:ascii="Noto Sans" w:hAnsi="Noto Sans"/>
        </w:rPr>
        <w:t>16.1 Continuous optimization targets</w:t>
      </w:r>
    </w:p>
    <w:tbl>
      <w:tblPr>
        <w:tblStyle w:val="TableGrid"/>
        <w:tblW w:type="auto" w:w="0"/>
        <w:jc w:val="center"/>
        <w:tblLayout w:type="autofit"/>
        <w:tblLook w:firstColumn="1" w:firstRow="1" w:lastColumn="0" w:lastRow="0" w:noHBand="0" w:noVBand="1" w:val="04A0"/>
      </w:tblPr>
      <w:tblGrid>
        <w:gridCol w:w="3278"/>
        <w:gridCol w:w="3278"/>
        <w:gridCol w:w="3278"/>
      </w:tblGrid>
      <w:tr>
        <w:trPr>
          <w:tblHeader w:val="true"/>
          <w:cantSplit/>
        </w:trPr>
        <w:tc>
          <w:tcPr>
            <w:tcW w:type="dxa" w:w="3278"/>
            <w:shd w:fill="0B1F33"/>
            <w:tcMar>
              <w:top w:w="70" w:type="dxa"/>
              <w:start w:w="85" w:type="dxa"/>
              <w:bottom w:w="70" w:type="dxa"/>
              <w:end w:w="85" w:type="dxa"/>
            </w:tcMar>
            <w:vAlign w:val="center"/>
          </w:tcPr>
          <w:p>
            <w:pPr>
              <w:spacing w:after="0"/>
            </w:pPr>
            <w:r/>
            <w:r>
              <w:rPr>
                <w:rFonts w:ascii="Noto Sans" w:hAnsi="Noto Sans"/>
                <w:b/>
                <w:color w:val="FFFFFF"/>
                <w:sz w:val="16"/>
              </w:rPr>
              <w:t>Domain</w:t>
            </w:r>
          </w:p>
        </w:tc>
        <w:tc>
          <w:tcPr>
            <w:tcW w:type="dxa" w:w="3278"/>
            <w:shd w:fill="0B1F33"/>
            <w:tcMar>
              <w:top w:w="70" w:type="dxa"/>
              <w:start w:w="85" w:type="dxa"/>
              <w:bottom w:w="70" w:type="dxa"/>
              <w:end w:w="85" w:type="dxa"/>
            </w:tcMar>
            <w:vAlign w:val="center"/>
          </w:tcPr>
          <w:p>
            <w:pPr>
              <w:spacing w:after="0"/>
            </w:pPr>
            <w:r/>
            <w:r>
              <w:rPr>
                <w:rFonts w:ascii="Noto Sans" w:hAnsi="Noto Sans"/>
                <w:b/>
                <w:color w:val="FFFFFF"/>
                <w:sz w:val="16"/>
              </w:rPr>
              <w:t>Verified signals</w:t>
            </w:r>
          </w:p>
        </w:tc>
        <w:tc>
          <w:tcPr>
            <w:tcW w:type="dxa" w:w="3278"/>
            <w:shd w:fill="0B1F33"/>
            <w:tcMar>
              <w:top w:w="70" w:type="dxa"/>
              <w:start w:w="85" w:type="dxa"/>
              <w:bottom w:w="70" w:type="dxa"/>
              <w:end w:w="85" w:type="dxa"/>
            </w:tcMar>
            <w:vAlign w:val="center"/>
          </w:tcPr>
          <w:p>
            <w:pPr>
              <w:spacing w:after="0"/>
            </w:pPr>
            <w:r/>
            <w:r>
              <w:rPr>
                <w:rFonts w:ascii="Noto Sans" w:hAnsi="Noto Sans"/>
                <w:b/>
                <w:color w:val="FFFFFF"/>
                <w:sz w:val="16"/>
              </w:rPr>
              <w:t>Continuously optimized outputs</w:t>
            </w:r>
          </w:p>
        </w:tc>
      </w:tr>
      <w:tr>
        <w:trPr>
          <w:cantSplit/>
        </w:trPr>
        <w:tc>
          <w:tcPr>
            <w:tcW w:type="dxa" w:w="3278"/>
            <w:tcMar>
              <w:top w:w="70" w:type="dxa"/>
              <w:start w:w="85" w:type="dxa"/>
              <w:bottom w:w="70" w:type="dxa"/>
              <w:end w:w="85" w:type="dxa"/>
            </w:tcMar>
            <w:vAlign w:val="top"/>
          </w:tcPr>
          <w:p>
            <w:pPr>
              <w:spacing w:after="0"/>
            </w:pPr>
            <w:r/>
            <w:r>
              <w:rPr>
                <w:rFonts w:ascii="Noto Sans" w:hAnsi="Noto Sans"/>
                <w:color w:val="18212B"/>
                <w:sz w:val="16"/>
              </w:rPr>
              <w:t>Human</w:t>
            </w:r>
          </w:p>
        </w:tc>
        <w:tc>
          <w:tcPr>
            <w:tcW w:type="dxa" w:w="3278"/>
            <w:tcMar>
              <w:top w:w="70" w:type="dxa"/>
              <w:start w:w="85" w:type="dxa"/>
              <w:bottom w:w="70" w:type="dxa"/>
              <w:end w:w="85" w:type="dxa"/>
            </w:tcMar>
            <w:vAlign w:val="top"/>
          </w:tcPr>
          <w:p>
            <w:pPr>
              <w:spacing w:after="0"/>
            </w:pPr>
            <w:r/>
            <w:r>
              <w:rPr>
                <w:rFonts w:ascii="Noto Sans" w:hAnsi="Noto Sans"/>
                <w:color w:val="18212B"/>
                <w:sz w:val="16"/>
              </w:rPr>
              <w:t>Cash-flow stability, affordability, utilization, repayment, DPD, cure, complaints, corrections and response to interventions.</w:t>
            </w:r>
          </w:p>
        </w:tc>
        <w:tc>
          <w:tcPr>
            <w:tcW w:type="dxa" w:w="3278"/>
            <w:tcMar>
              <w:top w:w="70" w:type="dxa"/>
              <w:start w:w="85" w:type="dxa"/>
              <w:bottom w:w="70" w:type="dxa"/>
              <w:end w:w="85" w:type="dxa"/>
            </w:tcMar>
            <w:vAlign w:val="top"/>
          </w:tcPr>
          <w:p>
            <w:pPr>
              <w:spacing w:after="0"/>
            </w:pPr>
            <w:r/>
            <w:r>
              <w:rPr>
                <w:rFonts w:ascii="Noto Sans" w:hAnsi="Noto Sans"/>
                <w:color w:val="18212B"/>
                <w:sz w:val="16"/>
              </w:rPr>
              <w:t>Eligibility, score calibration, limit, tenor, schedule, price, data requests and next-best credit-improvement actions.</w:t>
            </w:r>
          </w:p>
        </w:tc>
      </w:tr>
      <w:tr>
        <w:trPr>
          <w:cantSplit/>
        </w:trPr>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Agent</w:t>
            </w:r>
          </w:p>
        </w:tc>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Mandate compliance, execution reliability, task outcome, resource efficiency, Provider concentration, revenue capture, repayment and intervention response.</w:t>
            </w:r>
          </w:p>
        </w:tc>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Capacity, per-Agent sub-limits, Provider scope, spend policy, reserve, tenor, price, settlement routing and autonomy level.</w:t>
            </w:r>
          </w:p>
        </w:tc>
      </w:tr>
      <w:tr>
        <w:trPr>
          <w:cantSplit/>
        </w:trPr>
        <w:tc>
          <w:tcPr>
            <w:tcW w:type="dxa" w:w="3278"/>
            <w:tcMar>
              <w:top w:w="70" w:type="dxa"/>
              <w:start w:w="85" w:type="dxa"/>
              <w:bottom w:w="70" w:type="dxa"/>
              <w:end w:w="85" w:type="dxa"/>
            </w:tcMar>
            <w:vAlign w:val="top"/>
          </w:tcPr>
          <w:p>
            <w:pPr>
              <w:spacing w:after="0"/>
            </w:pPr>
            <w:r/>
            <w:r>
              <w:rPr>
                <w:rFonts w:ascii="Noto Sans" w:hAnsi="Noto Sans"/>
                <w:color w:val="18212B"/>
                <w:sz w:val="16"/>
              </w:rPr>
              <w:t>Network</w:t>
            </w:r>
          </w:p>
        </w:tc>
        <w:tc>
          <w:tcPr>
            <w:tcW w:type="dxa" w:w="3278"/>
            <w:tcMar>
              <w:top w:w="70" w:type="dxa"/>
              <w:start w:w="85" w:type="dxa"/>
              <w:bottom w:w="70" w:type="dxa"/>
              <w:end w:w="85" w:type="dxa"/>
            </w:tcMar>
            <w:vAlign w:val="top"/>
          </w:tcPr>
          <w:p>
            <w:pPr>
              <w:spacing w:after="0"/>
            </w:pPr>
            <w:r/>
            <w:r>
              <w:rPr>
                <w:rFonts w:ascii="Noto Sans" w:hAnsi="Noto Sans"/>
                <w:color w:val="18212B"/>
                <w:sz w:val="16"/>
              </w:rPr>
              <w:t>Fraud and collusion patterns, attester quality, lender and Provider performance, rail reliability, macro drift, loss and capital utilization.</w:t>
            </w:r>
          </w:p>
        </w:tc>
        <w:tc>
          <w:tcPr>
            <w:tcW w:type="dxa" w:w="3278"/>
            <w:tcMar>
              <w:top w:w="70" w:type="dxa"/>
              <w:start w:w="85" w:type="dxa"/>
              <w:bottom w:w="70" w:type="dxa"/>
              <w:end w:w="85" w:type="dxa"/>
            </w:tcMar>
            <w:vAlign w:val="top"/>
          </w:tcPr>
          <w:p>
            <w:pPr>
              <w:spacing w:after="0"/>
            </w:pPr>
            <w:r/>
            <w:r>
              <w:rPr>
                <w:rFonts w:ascii="Noto Sans" w:hAnsi="Noto Sans"/>
                <w:color w:val="18212B"/>
                <w:sz w:val="16"/>
              </w:rPr>
              <w:t>Model calibration, policy recommendations, monitoring thresholds, capital matching, concentration controls and fallback rules.</w:t>
            </w:r>
          </w:p>
        </w:tc>
      </w:tr>
    </w:tbl>
    <w:p>
      <w:pPr>
        <w:spacing w:after="0"/>
      </w:pPr>
    </w:p>
    <w:p>
      <w:pPr>
        <w:pStyle w:val="Heading3"/>
        <w:keepNext/>
      </w:pPr>
      <w:r>
        <w:rPr>
          <w:rFonts w:ascii="Noto Sans" w:hAnsi="Noto Sans"/>
        </w:rPr>
        <w:t>16.2 Credit Progress and Behavioral Optimization Loop</w:t>
      </w:r>
    </w:p>
    <w:p>
      <w:r>
        <w:rPr>
          <w:rFonts w:ascii="Noto Sans" w:hAnsi="Noto Sans"/>
        </w:rPr>
        <w:t>The system does not only evaluate Subjects; it should help them improve sustainable access. The loop is: observe verified behavior; diagnose limiting factors; recommend a transparent next-best action; obtain the required consent or Mandate authority; apply a bounded intervention; measure the causal result; and update Credit State and future recommendations. The objective is not to maximize borrowing. It is to improve repayment capacity, productive outcomes, credit health and long-term access at an appropriate cost.</w:t>
      </w:r>
    </w:p>
    <w:p>
      <w:pPr>
        <w:jc w:val="center"/>
      </w:pPr>
      <w:r>
        <w:rPr>
          <w:rFonts w:ascii="Noto Sans" w:hAnsi="Noto Sans"/>
        </w:rPr>
        <w:drawing>
          <wp:inline xmlns:a="http://schemas.openxmlformats.org/drawingml/2006/main" xmlns:pic="http://schemas.openxmlformats.org/drawingml/2006/picture">
            <wp:extent cx="6172200" cy="3081016"/>
            <wp:docPr id="6" name="Picture 6" title="Figure 6 — The Credit Intelligence Network learns continuously from verified outcomes, but only lender-approved deterministic policy may authorize financial state changes." descr="Governed credit intelligence loop around a deterministic decision kernel."/>
            <wp:cNvGraphicFramePr>
              <a:graphicFrameLocks noChangeAspect="1"/>
            </wp:cNvGraphicFramePr>
            <a:graphic>
              <a:graphicData uri="http://schemas.openxmlformats.org/drawingml/2006/picture">
                <pic:pic>
                  <pic:nvPicPr>
                    <pic:cNvPr id="0" name="credit_intelligence_loop.png"/>
                    <pic:cNvPicPr/>
                  </pic:nvPicPr>
                  <pic:blipFill>
                    <a:blip r:embed="rId16"/>
                    <a:stretch>
                      <a:fillRect/>
                    </a:stretch>
                  </pic:blipFill>
                  <pic:spPr>
                    <a:xfrm>
                      <a:off x="0" y="0"/>
                      <a:ext cx="6172200" cy="3081016"/>
                    </a:xfrm>
                    <a:prstGeom prst="rect"/>
                  </pic:spPr>
                </pic:pic>
              </a:graphicData>
            </a:graphic>
          </wp:inline>
        </w:drawing>
      </w:r>
    </w:p>
    <w:p>
      <w:pPr>
        <w:spacing w:after="80"/>
        <w:jc w:val="center"/>
      </w:pPr>
      <w:r>
        <w:rPr>
          <w:rFonts w:ascii="Noto Sans" w:hAnsi="Noto Sans"/>
          <w:i/>
          <w:color w:val="5E6A75"/>
          <w:sz w:val="15"/>
        </w:rPr>
        <w:t>Figure 6 — The Credit Intelligence Network learns continuously from verified outcomes, but only lender-approved deterministic policy may authorize financial state changes.</w:t>
      </w:r>
    </w:p>
    <w:p>
      <w:pPr>
        <w:pStyle w:val="Heading3"/>
        <w:keepNext/>
      </w:pPr>
      <w:r>
        <w:rPr>
          <w:rFonts w:ascii="Noto Sans" w:hAnsi="Noto Sans"/>
        </w:rPr>
        <w:t>16.3 Three learning scopes</w:t>
      </w:r>
    </w:p>
    <w:tbl>
      <w:tblPr>
        <w:tblStyle w:val="TableGrid"/>
        <w:tblW w:type="auto" w:w="0"/>
        <w:jc w:val="center"/>
        <w:tblLayout w:type="autofit"/>
        <w:tblLook w:firstColumn="1" w:firstRow="1" w:lastColumn="0" w:lastRow="0" w:noHBand="0" w:noVBand="1" w:val="04A0"/>
      </w:tblPr>
      <w:tblGrid>
        <w:gridCol w:w="3278"/>
        <w:gridCol w:w="3278"/>
        <w:gridCol w:w="3278"/>
      </w:tblGrid>
      <w:tr>
        <w:trPr>
          <w:tblHeader w:val="true"/>
          <w:cantSplit/>
        </w:trPr>
        <w:tc>
          <w:tcPr>
            <w:tcW w:type="dxa" w:w="3278"/>
            <w:shd w:fill="0B1F33"/>
            <w:tcMar>
              <w:top w:w="70" w:type="dxa"/>
              <w:start w:w="85" w:type="dxa"/>
              <w:bottom w:w="70" w:type="dxa"/>
              <w:end w:w="85" w:type="dxa"/>
            </w:tcMar>
            <w:vAlign w:val="center"/>
          </w:tcPr>
          <w:p>
            <w:pPr>
              <w:spacing w:after="0"/>
            </w:pPr>
            <w:r/>
            <w:r>
              <w:rPr>
                <w:rFonts w:ascii="Noto Sans" w:hAnsi="Noto Sans"/>
                <w:b/>
                <w:color w:val="FFFFFF"/>
                <w:sz w:val="16"/>
              </w:rPr>
              <w:t>Scope</w:t>
            </w:r>
          </w:p>
        </w:tc>
        <w:tc>
          <w:tcPr>
            <w:tcW w:type="dxa" w:w="3278"/>
            <w:shd w:fill="0B1F33"/>
            <w:tcMar>
              <w:top w:w="70" w:type="dxa"/>
              <w:start w:w="85" w:type="dxa"/>
              <w:bottom w:w="70" w:type="dxa"/>
              <w:end w:w="85" w:type="dxa"/>
            </w:tcMar>
            <w:vAlign w:val="center"/>
          </w:tcPr>
          <w:p>
            <w:pPr>
              <w:spacing w:after="0"/>
            </w:pPr>
            <w:r/>
            <w:r>
              <w:rPr>
                <w:rFonts w:ascii="Noto Sans" w:hAnsi="Noto Sans"/>
                <w:b/>
                <w:color w:val="FFFFFF"/>
                <w:sz w:val="16"/>
              </w:rPr>
              <w:t>May learn</w:t>
            </w:r>
          </w:p>
        </w:tc>
        <w:tc>
          <w:tcPr>
            <w:tcW w:type="dxa" w:w="3278"/>
            <w:shd w:fill="0B1F33"/>
            <w:tcMar>
              <w:top w:w="70" w:type="dxa"/>
              <w:start w:w="85" w:type="dxa"/>
              <w:bottom w:w="70" w:type="dxa"/>
              <w:end w:w="85" w:type="dxa"/>
            </w:tcMar>
            <w:vAlign w:val="center"/>
          </w:tcPr>
          <w:p>
            <w:pPr>
              <w:spacing w:after="0"/>
            </w:pPr>
            <w:r/>
            <w:r>
              <w:rPr>
                <w:rFonts w:ascii="Noto Sans" w:hAnsi="Noto Sans"/>
                <w:b/>
                <w:color w:val="FFFFFF"/>
                <w:sz w:val="16"/>
              </w:rPr>
              <w:t>Boundary</w:t>
            </w:r>
          </w:p>
        </w:tc>
      </w:tr>
      <w:tr>
        <w:trPr>
          <w:cantSplit/>
        </w:trPr>
        <w:tc>
          <w:tcPr>
            <w:tcW w:type="dxa" w:w="3278"/>
            <w:tcMar>
              <w:top w:w="70" w:type="dxa"/>
              <w:start w:w="85" w:type="dxa"/>
              <w:bottom w:w="70" w:type="dxa"/>
              <w:end w:w="85" w:type="dxa"/>
            </w:tcMar>
            <w:vAlign w:val="top"/>
          </w:tcPr>
          <w:p>
            <w:pPr>
              <w:spacing w:after="0"/>
            </w:pPr>
            <w:r/>
            <w:r>
              <w:rPr>
                <w:rFonts w:ascii="Noto Sans" w:hAnsi="Noto Sans"/>
                <w:color w:val="18212B"/>
                <w:sz w:val="16"/>
              </w:rPr>
              <w:t>Individual</w:t>
            </w:r>
          </w:p>
        </w:tc>
        <w:tc>
          <w:tcPr>
            <w:tcW w:type="dxa" w:w="3278"/>
            <w:tcMar>
              <w:top w:w="70" w:type="dxa"/>
              <w:start w:w="85" w:type="dxa"/>
              <w:bottom w:w="70" w:type="dxa"/>
              <w:end w:w="85" w:type="dxa"/>
            </w:tcMar>
            <w:vAlign w:val="top"/>
          </w:tcPr>
          <w:p>
            <w:pPr>
              <w:spacing w:after="0"/>
            </w:pPr>
            <w:r/>
            <w:r>
              <w:rPr>
                <w:rFonts w:ascii="Noto Sans" w:hAnsi="Noto Sans"/>
                <w:color w:val="18212B"/>
                <w:sz w:val="16"/>
              </w:rPr>
              <w:t>Cash-flow stability, repayment pattern, execution quality, preferred interventions, Mandate compliance and response to prior recommendations.</w:t>
            </w:r>
          </w:p>
        </w:tc>
        <w:tc>
          <w:tcPr>
            <w:tcW w:type="dxa" w:w="3278"/>
            <w:tcMar>
              <w:top w:w="70" w:type="dxa"/>
              <w:start w:w="85" w:type="dxa"/>
              <w:bottom w:w="70" w:type="dxa"/>
              <w:end w:w="85" w:type="dxa"/>
            </w:tcMar>
            <w:vAlign w:val="top"/>
          </w:tcPr>
          <w:p>
            <w:pPr>
              <w:spacing w:after="0"/>
            </w:pPr>
            <w:r/>
            <w:r>
              <w:rPr>
                <w:rFonts w:ascii="Noto Sans" w:hAnsi="Noto Sans"/>
                <w:color w:val="18212B"/>
                <w:sz w:val="16"/>
              </w:rPr>
              <w:t>Purpose limitation, consent, explainability, correction rights and no hidden universal profile.</w:t>
            </w:r>
          </w:p>
        </w:tc>
      </w:tr>
      <w:tr>
        <w:trPr>
          <w:cantSplit/>
        </w:trPr>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Cohort</w:t>
            </w:r>
          </w:p>
        </w:tc>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Patterns across comparable Subjects, Providers, products, tasks, tenors, jurisdictions and economic contexts.</w:t>
            </w:r>
          </w:p>
        </w:tc>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Minimum cohort size, fairness and stability tests, temporal validation and no invalid extrapolation.</w:t>
            </w:r>
          </w:p>
        </w:tc>
      </w:tr>
      <w:tr>
        <w:trPr>
          <w:cantSplit/>
        </w:trPr>
        <w:tc>
          <w:tcPr>
            <w:tcW w:type="dxa" w:w="3278"/>
            <w:tcMar>
              <w:top w:w="70" w:type="dxa"/>
              <w:start w:w="85" w:type="dxa"/>
              <w:bottom w:w="70" w:type="dxa"/>
              <w:end w:w="85" w:type="dxa"/>
            </w:tcMar>
            <w:vAlign w:val="top"/>
          </w:tcPr>
          <w:p>
            <w:pPr>
              <w:spacing w:after="0"/>
            </w:pPr>
            <w:r/>
            <w:r>
              <w:rPr>
                <w:rFonts w:ascii="Noto Sans" w:hAnsi="Noto Sans"/>
                <w:color w:val="18212B"/>
                <w:sz w:val="16"/>
              </w:rPr>
              <w:t>Network</w:t>
            </w:r>
          </w:p>
        </w:tc>
        <w:tc>
          <w:tcPr>
            <w:tcW w:type="dxa" w:w="3278"/>
            <w:tcMar>
              <w:top w:w="70" w:type="dxa"/>
              <w:start w:w="85" w:type="dxa"/>
              <w:bottom w:w="70" w:type="dxa"/>
              <w:end w:w="85" w:type="dxa"/>
            </w:tcMar>
            <w:vAlign w:val="top"/>
          </w:tcPr>
          <w:p>
            <w:pPr>
              <w:spacing w:after="0"/>
            </w:pPr>
            <w:r/>
            <w:r>
              <w:rPr>
                <w:rFonts w:ascii="Noto Sans" w:hAnsi="Noto Sans"/>
                <w:color w:val="18212B"/>
                <w:sz w:val="16"/>
              </w:rPr>
              <w:t>Fraud rings, attester quality, systemic drift, capital performance, rail reliability, portfolio correlation and cross-platform outcomes.</w:t>
            </w:r>
          </w:p>
        </w:tc>
        <w:tc>
          <w:tcPr>
            <w:tcW w:type="dxa" w:w="3278"/>
            <w:tcMar>
              <w:top w:w="70" w:type="dxa"/>
              <w:start w:w="85" w:type="dxa"/>
              <w:bottom w:w="70" w:type="dxa"/>
              <w:end w:w="85" w:type="dxa"/>
            </w:tcMar>
            <w:vAlign w:val="top"/>
          </w:tcPr>
          <w:p>
            <w:pPr>
              <w:spacing w:after="0"/>
            </w:pPr>
            <w:r/>
            <w:r>
              <w:rPr>
                <w:rFonts w:ascii="Noto Sans" w:hAnsi="Noto Sans"/>
                <w:color w:val="18212B"/>
                <w:sz w:val="16"/>
              </w:rPr>
              <w:t>Aggregation, access control, privacy-enhancing methods, independent governance and domain separation where required.</w:t>
            </w:r>
          </w:p>
        </w:tc>
      </w:tr>
    </w:tbl>
    <w:p>
      <w:pPr>
        <w:spacing w:after="0"/>
      </w:pPr>
    </w:p>
    <w:p>
      <w:pPr>
        <w:pStyle w:val="Heading3"/>
        <w:keepNext/>
      </w:pPr>
      <w:r>
        <w:rPr>
          <w:rFonts w:ascii="Noto Sans" w:hAnsi="Noto Sans"/>
        </w:rPr>
        <w:t>16.4 Self-improvement without uncontrolled autonomy</w:t>
      </w:r>
    </w:p>
    <w:p>
      <w:r>
        <w:rPr>
          <w:rFonts w:ascii="Noto Sans" w:hAnsi="Noto Sans"/>
        </w:rPr>
        <w:t>Candidate techniques may include deterministic scorecards, supervised learning, graph methods, Bayesian updating, causal inference, anomaly detection, contextual bandits and constrained reinforcement learning. NIST’s AI RMF provides a useful reference for trustworthiness, governance and monitoring. [4]</w:t>
      </w:r>
    </w:p>
    <w:p>
      <w:pPr>
        <w:pStyle w:val="ListBullet"/>
        <w:spacing w:after="32"/>
      </w:pPr>
      <w:r>
        <w:rPr>
          <w:rFonts w:ascii="Noto Sans" w:hAnsi="Noto Sans"/>
        </w:rPr>
        <w:t>Data ingestion, monitoring, model training and recommendation generation may be automated; deployment authority remains versioned and governed.</w:t>
      </w:r>
    </w:p>
    <w:p>
      <w:pPr>
        <w:pStyle w:val="ListBullet"/>
        <w:spacing w:after="32"/>
      </w:pPr>
      <w:r>
        <w:rPr>
          <w:rFonts w:ascii="Noto Sans" w:hAnsi="Noto Sans"/>
        </w:rPr>
        <w:t>Models may score, forecast, diagnose and propose; only approved lender policies may authorize, price or expand exposure.</w:t>
      </w:r>
    </w:p>
    <w:p>
      <w:pPr>
        <w:pStyle w:val="ListBullet"/>
        <w:spacing w:after="32"/>
      </w:pPr>
      <w:r>
        <w:rPr>
          <w:rFonts w:ascii="Noto Sans" w:hAnsi="Noto Sans"/>
        </w:rPr>
        <w:t>Every production model and feature set has a version, scope, owner, provenance, independent validation, rollback path and monitoring threshold.</w:t>
      </w:r>
    </w:p>
    <w:p>
      <w:pPr>
        <w:pStyle w:val="ListBullet"/>
        <w:spacing w:after="32"/>
      </w:pPr>
      <w:r>
        <w:rPr>
          <w:rFonts w:ascii="Noto Sans" w:hAnsi="Noto Sans"/>
        </w:rPr>
        <w:t>Exploration is limited by explicit exposure, fairness, customer-harm and loss budgets; material deterioration triggers automatic fallback.</w:t>
      </w:r>
    </w:p>
    <w:p>
      <w:pPr>
        <w:pStyle w:val="ListBullet"/>
        <w:spacing w:after="32"/>
      </w:pPr>
      <w:r>
        <w:rPr>
          <w:rFonts w:ascii="Noto Sans" w:hAnsi="Noto Sans"/>
        </w:rPr>
        <w:t>Human and Agent models share a canonical ontology and learning infrastructure, while domain-specific features and protections remain separated unless transfer is validated, lawful and explainable.</w:t>
      </w:r>
    </w:p>
    <w:p>
      <w:pPr>
        <w:pStyle w:val="ListBullet"/>
        <w:spacing w:after="32"/>
      </w:pPr>
      <w:r>
        <w:rPr>
          <w:rFonts w:ascii="Noto Sans" w:hAnsi="Noto Sans"/>
        </w:rPr>
        <w:t>No model may rewrite protocol invariants, move funds, conceal the responsible lender or optimize solely for borrowing volume or platform revenue.</w:t>
      </w:r>
    </w:p>
    <w:p>
      <w:pPr>
        <w:pStyle w:val="Heading2"/>
        <w:keepNext/>
      </w:pPr>
      <w:r>
        <w:rPr>
          <w:rFonts w:ascii="Noto Sans" w:hAnsi="Noto Sans"/>
        </w:rPr>
        <w:t>17. Safety, Fairness, Privacy and Governance</w:t>
      </w:r>
    </w:p>
    <w:p>
      <w:pPr>
        <w:pStyle w:val="Heading3"/>
        <w:keepNext/>
      </w:pPr>
      <w:r>
        <w:rPr>
          <w:rFonts w:ascii="Noto Sans" w:hAnsi="Noto Sans"/>
        </w:rPr>
        <w:t>17.1 Credit and protocol invariants</w:t>
      </w:r>
    </w:p>
    <w:p>
      <w:pPr>
        <w:pStyle w:val="ListBullet"/>
        <w:spacing w:after="32"/>
      </w:pPr>
      <w:r>
        <w:rPr>
          <w:rFonts w:ascii="Noto Sans" w:hAnsi="Noto Sans"/>
        </w:rPr>
        <w:t>No credit exposure without a valid Subject, responsible Principal and applicable lender policy.</w:t>
      </w:r>
    </w:p>
    <w:p>
      <w:pPr>
        <w:pStyle w:val="ListBullet"/>
        <w:spacing w:after="32"/>
      </w:pPr>
      <w:r>
        <w:rPr>
          <w:rFonts w:ascii="Noto Sans" w:hAnsi="Noto Sans"/>
        </w:rPr>
        <w:t>No automated approval outside the lender’s signed decision envelope.</w:t>
      </w:r>
    </w:p>
    <w:p>
      <w:pPr>
        <w:pStyle w:val="ListBullet"/>
        <w:spacing w:after="32"/>
      </w:pPr>
      <w:r>
        <w:rPr>
          <w:rFonts w:ascii="Noto Sans" w:hAnsi="Noto Sans"/>
        </w:rPr>
        <w:t>No Obligation without accepted terms, bounded Authorization and a unique state transition.</w:t>
      </w:r>
    </w:p>
    <w:p>
      <w:pPr>
        <w:pStyle w:val="ListBullet"/>
        <w:spacing w:after="32"/>
      </w:pPr>
      <w:r>
        <w:rPr>
          <w:rFonts w:ascii="Noto Sans" w:hAnsi="Noto Sans"/>
        </w:rPr>
        <w:t>No adapter may directly change credit terms, create exposure or redefine canonical state.</w:t>
      </w:r>
    </w:p>
    <w:p>
      <w:pPr>
        <w:pStyle w:val="ListBullet"/>
        <w:spacing w:after="32"/>
      </w:pPr>
      <w:r>
        <w:rPr>
          <w:rFonts w:ascii="Noto Sans" w:hAnsi="Noto Sans"/>
        </w:rPr>
        <w:t>No funding or settlement becomes final until the applicable rail-finality profile is satisfied.</w:t>
      </w:r>
    </w:p>
    <w:p>
      <w:pPr>
        <w:pStyle w:val="ListBullet"/>
        <w:spacing w:after="32"/>
      </w:pPr>
      <w:r>
        <w:rPr>
          <w:rFonts w:ascii="Noto Sans" w:hAnsi="Noto Sans"/>
        </w:rPr>
        <w:t>No partial or hybrid settlement may cause recognized value to exceed the valid Obligation amount.</w:t>
      </w:r>
    </w:p>
    <w:p>
      <w:pPr>
        <w:pStyle w:val="ListBullet"/>
        <w:spacing w:after="32"/>
      </w:pPr>
      <w:r>
        <w:rPr>
          <w:rFonts w:ascii="Noto Sans" w:hAnsi="Noto Sans"/>
        </w:rPr>
        <w:t>No tokenized representation may duplicate or exceed the underlying legal or economic claim.</w:t>
      </w:r>
    </w:p>
    <w:p>
      <w:pPr>
        <w:pStyle w:val="ListBullet"/>
        <w:spacing w:after="32"/>
      </w:pPr>
      <w:r>
        <w:rPr>
          <w:rFonts w:ascii="Noto Sans" w:hAnsi="Noto Sans"/>
        </w:rPr>
        <w:t>No repayment, refund, reversal or write-off may be counted twice.</w:t>
      </w:r>
    </w:p>
    <w:p>
      <w:pPr>
        <w:pStyle w:val="ListBullet"/>
        <w:spacing w:after="32"/>
      </w:pPr>
      <w:r>
        <w:rPr>
          <w:rFonts w:ascii="Noto Sans" w:hAnsi="Noto Sans"/>
        </w:rPr>
        <w:t>No model may directly move funds, change protocol invariants or hide the responsible lender.</w:t>
      </w:r>
    </w:p>
    <w:p>
      <w:pPr>
        <w:pStyle w:val="ListBullet"/>
        <w:spacing w:after="32"/>
      </w:pPr>
      <w:r>
        <w:rPr>
          <w:rFonts w:ascii="Noto Sans" w:hAnsi="Noto Sans"/>
        </w:rPr>
        <w:t>No cross-purpose data reuse without a valid Consent Grant.</w:t>
      </w:r>
    </w:p>
    <w:p>
      <w:pPr>
        <w:pStyle w:val="Heading3"/>
        <w:keepNext/>
      </w:pPr>
      <w:r>
        <w:rPr>
          <w:rFonts w:ascii="Noto Sans" w:hAnsi="Noto Sans"/>
        </w:rPr>
        <w:t>17.2 Inclusive-finance safeguards</w:t>
      </w:r>
    </w:p>
    <w:p>
      <w:pPr>
        <w:pStyle w:val="ListBullet"/>
        <w:spacing w:after="32"/>
      </w:pPr>
      <w:r>
        <w:rPr>
          <w:rFonts w:ascii="Noto Sans" w:hAnsi="Noto Sans"/>
        </w:rPr>
        <w:t>Affordability and repayment capacity constrain limits even when predictive risk appears low.</w:t>
      </w:r>
    </w:p>
    <w:p>
      <w:pPr>
        <w:pStyle w:val="ListBullet"/>
        <w:spacing w:after="32"/>
      </w:pPr>
      <w:r>
        <w:rPr>
          <w:rFonts w:ascii="Noto Sans" w:hAnsi="Noto Sans"/>
        </w:rPr>
        <w:t>Borrowers see total cost, lender identity, schedule, conditions and material reason codes before acceptance.</w:t>
      </w:r>
    </w:p>
    <w:p>
      <w:pPr>
        <w:pStyle w:val="ListBullet"/>
        <w:spacing w:after="32"/>
      </w:pPr>
      <w:r>
        <w:rPr>
          <w:rFonts w:ascii="Noto Sans" w:hAnsi="Noto Sans"/>
        </w:rPr>
        <w:t>Policies monitor repeat borrowing, rollovers, debt stacking and signs of harmful overextension.</w:t>
      </w:r>
    </w:p>
    <w:p>
      <w:pPr>
        <w:pStyle w:val="ListBullet"/>
        <w:spacing w:after="32"/>
      </w:pPr>
      <w:r>
        <w:rPr>
          <w:rFonts w:ascii="Noto Sans" w:hAnsi="Noto Sans"/>
        </w:rPr>
        <w:t>Data correction, complaint and appeal routes are measurable product requirements.</w:t>
      </w:r>
    </w:p>
    <w:p>
      <w:pPr>
        <w:pStyle w:val="ListBullet"/>
        <w:spacing w:after="32"/>
      </w:pPr>
      <w:r>
        <w:rPr>
          <w:rFonts w:ascii="Noto Sans" w:hAnsi="Noto Sans"/>
        </w:rPr>
        <w:t>Fairness tests examine approval, pricing and loss outcomes; proxy features require explicit review.</w:t>
      </w:r>
    </w:p>
    <w:p>
      <w:pPr>
        <w:pStyle w:val="ListBullet"/>
        <w:spacing w:after="32"/>
      </w:pPr>
      <w:r>
        <w:rPr>
          <w:rFonts w:ascii="Noto Sans" w:hAnsi="Noto Sans"/>
        </w:rPr>
        <w:t>IPO.ONE does not sell raw personal data as the core business model.</w:t>
      </w:r>
    </w:p>
    <w:p>
      <w:pPr>
        <w:pStyle w:val="Heading3"/>
        <w:keepNext/>
      </w:pPr>
      <w:r>
        <w:rPr>
          <w:rFonts w:ascii="Noto Sans" w:hAnsi="Noto Sans"/>
        </w:rPr>
        <w:t>17.3 Privacy and credentials</w:t>
      </w:r>
    </w:p>
    <w:p>
      <w:r>
        <w:rPr>
          <w:rFonts w:ascii="Noto Sans" w:hAnsi="Noto Sans"/>
        </w:rPr>
        <w:t>Sensitive identity, bank, device, wallet, contract and behavioral data should remain under controlled governance and data-minimization rules. Portable proofs disclose the minimum fact required for a decision. Public chains may anchor commitments, finality receipts or revocation registries, but should not become a repository of raw personal or commercially sensitive data.</w:t>
      </w:r>
    </w:p>
    <w:p>
      <w:pPr>
        <w:pStyle w:val="Heading3"/>
        <w:keepNext/>
      </w:pPr>
      <w:r>
        <w:rPr>
          <w:rFonts w:ascii="Noto Sans" w:hAnsi="Noto Sans"/>
        </w:rPr>
        <w:t>17.4 Regulated roles</w:t>
      </w:r>
    </w:p>
    <w:tbl>
      <w:tblPr>
        <w:tblStyle w:val="TableGrid"/>
        <w:tblW w:type="auto" w:w="0"/>
        <w:jc w:val="center"/>
        <w:tblLayout w:type="autofit"/>
        <w:tblLook w:firstColumn="1" w:firstRow="1" w:lastColumn="0" w:lastRow="0" w:noHBand="0" w:noVBand="1" w:val="04A0"/>
      </w:tblPr>
      <w:tblGrid>
        <w:gridCol w:w="4917"/>
        <w:gridCol w:w="4917"/>
      </w:tblGrid>
      <w:tr>
        <w:trPr>
          <w:tblHeader w:val="true"/>
          <w:cantSplit/>
        </w:trPr>
        <w:tc>
          <w:tcPr>
            <w:tcW w:type="dxa" w:w="4917"/>
            <w:shd w:fill="0B1F33"/>
            <w:tcMar>
              <w:top w:w="70" w:type="dxa"/>
              <w:start w:w="85" w:type="dxa"/>
              <w:bottom w:w="70" w:type="dxa"/>
              <w:end w:w="85" w:type="dxa"/>
            </w:tcMar>
            <w:vAlign w:val="center"/>
          </w:tcPr>
          <w:p>
            <w:pPr>
              <w:spacing w:after="0"/>
            </w:pPr>
            <w:r/>
            <w:r>
              <w:rPr>
                <w:rFonts w:ascii="Noto Sans" w:hAnsi="Noto Sans"/>
                <w:b/>
                <w:color w:val="FFFFFF"/>
                <w:sz w:val="16"/>
              </w:rPr>
              <w:t>Role</w:t>
            </w:r>
          </w:p>
        </w:tc>
        <w:tc>
          <w:tcPr>
            <w:tcW w:type="dxa" w:w="4917"/>
            <w:shd w:fill="0B1F33"/>
            <w:tcMar>
              <w:top w:w="70" w:type="dxa"/>
              <w:start w:w="85" w:type="dxa"/>
              <w:bottom w:w="70" w:type="dxa"/>
              <w:end w:w="85" w:type="dxa"/>
            </w:tcMar>
            <w:vAlign w:val="center"/>
          </w:tcPr>
          <w:p>
            <w:pPr>
              <w:spacing w:after="0"/>
            </w:pPr>
            <w:r/>
            <w:r>
              <w:rPr>
                <w:rFonts w:ascii="Noto Sans" w:hAnsi="Noto Sans"/>
                <w:b/>
                <w:color w:val="FFFFFF"/>
                <w:sz w:val="16"/>
              </w:rPr>
              <w:t>Responsibility boundary</w:t>
            </w:r>
          </w:p>
        </w:tc>
      </w:tr>
      <w:tr>
        <w:trPr>
          <w:cantSplit/>
        </w:trPr>
        <w:tc>
          <w:tcPr>
            <w:tcW w:type="dxa" w:w="4917"/>
            <w:tcMar>
              <w:top w:w="70" w:type="dxa"/>
              <w:start w:w="85" w:type="dxa"/>
              <w:bottom w:w="70" w:type="dxa"/>
              <w:end w:w="85" w:type="dxa"/>
            </w:tcMar>
            <w:vAlign w:val="top"/>
          </w:tcPr>
          <w:p>
            <w:pPr>
              <w:spacing w:after="0"/>
            </w:pPr>
            <w:r/>
            <w:r>
              <w:rPr>
                <w:rFonts w:ascii="Noto Sans" w:hAnsi="Noto Sans"/>
                <w:color w:val="18212B"/>
                <w:sz w:val="16"/>
              </w:rPr>
              <w:t>IPO.ONE</w:t>
            </w:r>
          </w:p>
        </w:tc>
        <w:tc>
          <w:tcPr>
            <w:tcW w:type="dxa" w:w="4917"/>
            <w:tcMar>
              <w:top w:w="70" w:type="dxa"/>
              <w:start w:w="85" w:type="dxa"/>
              <w:bottom w:w="70" w:type="dxa"/>
              <w:end w:w="85" w:type="dxa"/>
            </w:tcMar>
            <w:vAlign w:val="top"/>
          </w:tcPr>
          <w:p>
            <w:pPr>
              <w:spacing w:after="0"/>
            </w:pPr>
            <w:r/>
            <w:r>
              <w:rPr>
                <w:rFonts w:ascii="Noto Sans" w:hAnsi="Noto Sans"/>
                <w:color w:val="18212B"/>
                <w:sz w:val="16"/>
              </w:rPr>
              <w:t>Credit infrastructure, decision technology, routing, canonical state, evidence and audit; not automatically lender, broker, servicer or custodian in every jurisdiction.</w:t>
            </w:r>
          </w:p>
        </w:tc>
      </w:tr>
      <w:tr>
        <w:trPr>
          <w:cantSplit/>
        </w:trPr>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KYC/KYB provider</w:t>
            </w:r>
          </w:p>
        </w:tc>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Performs identity and screening within its assurance and contractual scope.</w:t>
            </w:r>
          </w:p>
        </w:tc>
      </w:tr>
      <w:tr>
        <w:trPr>
          <w:cantSplit/>
        </w:trPr>
        <w:tc>
          <w:tcPr>
            <w:tcW w:type="dxa" w:w="4917"/>
            <w:tcMar>
              <w:top w:w="70" w:type="dxa"/>
              <w:start w:w="85" w:type="dxa"/>
              <w:bottom w:w="70" w:type="dxa"/>
              <w:end w:w="85" w:type="dxa"/>
            </w:tcMar>
            <w:vAlign w:val="top"/>
          </w:tcPr>
          <w:p>
            <w:pPr>
              <w:spacing w:after="0"/>
            </w:pPr>
            <w:r/>
            <w:r>
              <w:rPr>
                <w:rFonts w:ascii="Noto Sans" w:hAnsi="Noto Sans"/>
                <w:color w:val="18212B"/>
                <w:sz w:val="16"/>
              </w:rPr>
              <w:t>Originator / lender</w:t>
            </w:r>
          </w:p>
        </w:tc>
        <w:tc>
          <w:tcPr>
            <w:tcW w:type="dxa" w:w="4917"/>
            <w:tcMar>
              <w:top w:w="70" w:type="dxa"/>
              <w:start w:w="85" w:type="dxa"/>
              <w:bottom w:w="70" w:type="dxa"/>
              <w:end w:w="85" w:type="dxa"/>
            </w:tcMar>
            <w:vAlign w:val="top"/>
          </w:tcPr>
          <w:p>
            <w:pPr>
              <w:spacing w:after="0"/>
            </w:pPr>
            <w:r/>
            <w:r>
              <w:rPr>
                <w:rFonts w:ascii="Noto Sans" w:hAnsi="Noto Sans"/>
                <w:color w:val="18212B"/>
                <w:sz w:val="16"/>
              </w:rPr>
              <w:t>Owns regulated approval, contract, disclosures, capital, servicing or delegated oversight as applicable.</w:t>
            </w:r>
          </w:p>
        </w:tc>
      </w:tr>
      <w:tr>
        <w:trPr>
          <w:cantSplit/>
        </w:trPr>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Capital provider</w:t>
            </w:r>
          </w:p>
        </w:tc>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Funds eligible obligations under a defined facility or mandate and bears agreed economic risk.</w:t>
            </w:r>
          </w:p>
        </w:tc>
      </w:tr>
      <w:tr>
        <w:trPr>
          <w:cantSplit/>
        </w:trPr>
        <w:tc>
          <w:tcPr>
            <w:tcW w:type="dxa" w:w="4917"/>
            <w:tcMar>
              <w:top w:w="70" w:type="dxa"/>
              <w:start w:w="85" w:type="dxa"/>
              <w:bottom w:w="70" w:type="dxa"/>
              <w:end w:w="85" w:type="dxa"/>
            </w:tcMar>
            <w:vAlign w:val="top"/>
          </w:tcPr>
          <w:p>
            <w:pPr>
              <w:spacing w:after="0"/>
            </w:pPr>
            <w:r/>
            <w:r>
              <w:rPr>
                <w:rFonts w:ascii="Noto Sans" w:hAnsi="Noto Sans"/>
                <w:color w:val="18212B"/>
                <w:sz w:val="16"/>
              </w:rPr>
              <w:t>Platform / data provider</w:t>
            </w:r>
          </w:p>
        </w:tc>
        <w:tc>
          <w:tcPr>
            <w:tcW w:type="dxa" w:w="4917"/>
            <w:tcMar>
              <w:top w:w="70" w:type="dxa"/>
              <w:start w:w="85" w:type="dxa"/>
              <w:bottom w:w="70" w:type="dxa"/>
              <w:end w:w="85" w:type="dxa"/>
            </w:tcMar>
            <w:vAlign w:val="top"/>
          </w:tcPr>
          <w:p>
            <w:pPr>
              <w:spacing w:after="0"/>
            </w:pPr>
            <w:r/>
            <w:r>
              <w:rPr>
                <w:rFonts w:ascii="Noto Sans" w:hAnsi="Noto Sans"/>
                <w:color w:val="18212B"/>
                <w:sz w:val="16"/>
              </w:rPr>
              <w:t>Supplies permitted evidence and distribution; cannot silently redefine credit state.</w:t>
            </w:r>
          </w:p>
        </w:tc>
      </w:tr>
      <w:tr>
        <w:trPr>
          <w:cantSplit/>
        </w:trPr>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Rail or chain adapter provider</w:t>
            </w:r>
          </w:p>
        </w:tc>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Executes external instructions and reports status or finality; cannot approve credit or mutate canonical state.</w:t>
            </w:r>
          </w:p>
        </w:tc>
      </w:tr>
      <w:tr>
        <w:trPr>
          <w:cantSplit/>
        </w:trPr>
        <w:tc>
          <w:tcPr>
            <w:tcW w:type="dxa" w:w="4917"/>
            <w:tcMar>
              <w:top w:w="70" w:type="dxa"/>
              <w:start w:w="85" w:type="dxa"/>
              <w:bottom w:w="70" w:type="dxa"/>
              <w:end w:w="85" w:type="dxa"/>
            </w:tcMar>
            <w:vAlign w:val="top"/>
          </w:tcPr>
          <w:p>
            <w:pPr>
              <w:spacing w:after="0"/>
            </w:pPr>
            <w:r/>
            <w:r>
              <w:rPr>
                <w:rFonts w:ascii="Noto Sans" w:hAnsi="Noto Sans"/>
                <w:color w:val="18212B"/>
                <w:sz w:val="16"/>
              </w:rPr>
              <w:t>On-chain capital facility</w:t>
            </w:r>
          </w:p>
        </w:tc>
        <w:tc>
          <w:tcPr>
            <w:tcW w:type="dxa" w:w="4917"/>
            <w:tcMar>
              <w:top w:w="70" w:type="dxa"/>
              <w:start w:w="85" w:type="dxa"/>
              <w:bottom w:w="70" w:type="dxa"/>
              <w:end w:w="85" w:type="dxa"/>
            </w:tcMar>
            <w:vAlign w:val="top"/>
          </w:tcPr>
          <w:p>
            <w:pPr>
              <w:spacing w:after="0"/>
            </w:pPr>
            <w:r/>
            <w:r>
              <w:rPr>
                <w:rFonts w:ascii="Noto Sans" w:hAnsi="Noto Sans"/>
                <w:color w:val="18212B"/>
                <w:sz w:val="16"/>
              </w:rPr>
              <w:t>Provides capital or receives eligible asset representations under defined legal, custody, investor and servicing terms.</w:t>
            </w:r>
          </w:p>
        </w:tc>
      </w:tr>
    </w:tbl>
    <w:p>
      <w:pPr>
        <w:spacing w:after="0"/>
      </w:pPr>
    </w:p>
    <w:p>
      <w:pPr>
        <w:pStyle w:val="Heading1"/>
        <w:keepNext/>
      </w:pPr>
      <w:r>
        <w:rPr>
          <w:rFonts w:ascii="Noto Sans" w:hAnsi="Noto Sans"/>
        </w:rPr>
        <w:t>PART IV — Commercialization and Network Evolution</w:t>
      </w:r>
    </w:p>
    <w:p>
      <w:pPr>
        <w:pStyle w:val="Heading2"/>
        <w:keepNext/>
      </w:pPr>
      <w:r>
        <w:rPr>
          <w:rFonts w:ascii="Noto Sans" w:hAnsi="Noto Sans"/>
        </w:rPr>
        <w:t>18. Product-Market Fit: One Wedge, Dual-Native Pilots</w:t>
      </w:r>
    </w:p>
    <w:p>
      <w:r>
        <w:rPr>
          <w:rFonts w:ascii="Noto Sans" w:hAnsi="Noto Sans"/>
        </w:rPr>
        <w:t>The shared wedge is cash-flow-backed productive credit for digitally observable borrowers. Human and Agent pilots use one kernel and one settlement model, while verification, legal, lender-policy and risk profiles remain independently calibrated.</w:t>
      </w:r>
    </w:p>
    <w:p>
      <w:pPr>
        <w:pStyle w:val="Heading3"/>
        <w:keepNext/>
      </w:pPr>
      <w:r>
        <w:rPr>
          <w:rFonts w:ascii="Noto Sans" w:hAnsi="Noto Sans"/>
        </w:rPr>
        <w:t>18.1 Human pilot</w:t>
      </w:r>
    </w:p>
    <w:p>
      <w:r>
        <w:rPr>
          <w:rFonts w:ascii="Noto Sans" w:hAnsi="Noto Sans"/>
        </w:rPr>
        <w:t>One country, one distribution platform, one licensed Originator, one product, one currency and a small number of capital providers. Target users are thin-file digital earners or micro-businesses with verifiable platform or merchant cash flow. The initial product should finance a productive use such as software, equipment or working capital rather than unrestricted high-cost cash.</w:t>
      </w:r>
    </w:p>
    <w:p>
      <w:pPr>
        <w:pStyle w:val="Heading3"/>
        <w:keepNext/>
      </w:pPr>
      <w:r>
        <w:rPr>
          <w:rFonts w:ascii="Noto Sans" w:hAnsi="Noto Sans"/>
        </w:rPr>
        <w:t>18.2 Agent pilot</w:t>
      </w:r>
    </w:p>
    <w:p>
      <w:r>
        <w:rPr>
          <w:rFonts w:ascii="Noto Sans" w:hAnsi="Noto Sans"/>
        </w:rPr>
        <w:t>Verified B2B Operators and approved digital-service Providers. Limits are sponsor-backed, Provider-funded or financed by a closed facility; uses are restricted to approved compute, APIs, data and tools.</w:t>
      </w:r>
    </w:p>
    <w:p>
      <w:pPr>
        <w:pStyle w:val="Heading3"/>
        <w:keepNext/>
      </w:pPr>
      <w:r>
        <w:rPr>
          <w:rFonts w:ascii="Noto Sans" w:hAnsi="Noto Sans"/>
        </w:rPr>
        <w:t>18.3 Quantified pilot gates — illustrative, to be calibrated by product</w:t>
      </w:r>
    </w:p>
    <w:tbl>
      <w:tblPr>
        <w:tblStyle w:val="TableGrid"/>
        <w:tblW w:type="auto" w:w="0"/>
        <w:jc w:val="center"/>
        <w:tblLayout w:type="autofit"/>
        <w:tblLook w:firstColumn="1" w:firstRow="1" w:lastColumn="0" w:lastRow="0" w:noHBand="0" w:noVBand="1" w:val="04A0"/>
      </w:tblPr>
      <w:tblGrid>
        <w:gridCol w:w="4917"/>
        <w:gridCol w:w="4917"/>
      </w:tblGrid>
      <w:tr>
        <w:trPr>
          <w:tblHeader w:val="true"/>
          <w:cantSplit/>
        </w:trPr>
        <w:tc>
          <w:tcPr>
            <w:tcW w:type="dxa" w:w="4917"/>
            <w:shd w:fill="0B1F33"/>
            <w:tcMar>
              <w:top w:w="70" w:type="dxa"/>
              <w:start w:w="85" w:type="dxa"/>
              <w:bottom w:w="70" w:type="dxa"/>
              <w:end w:w="85" w:type="dxa"/>
            </w:tcMar>
            <w:vAlign w:val="center"/>
          </w:tcPr>
          <w:p>
            <w:pPr>
              <w:spacing w:after="0"/>
            </w:pPr>
            <w:r/>
            <w:r>
              <w:rPr>
                <w:rFonts w:ascii="Noto Sans" w:hAnsi="Noto Sans"/>
                <w:b/>
                <w:color w:val="FFFFFF"/>
                <w:sz w:val="16"/>
              </w:rPr>
              <w:t>Domain</w:t>
            </w:r>
          </w:p>
        </w:tc>
        <w:tc>
          <w:tcPr>
            <w:tcW w:type="dxa" w:w="4917"/>
            <w:shd w:fill="0B1F33"/>
            <w:tcMar>
              <w:top w:w="70" w:type="dxa"/>
              <w:start w:w="85" w:type="dxa"/>
              <w:bottom w:w="70" w:type="dxa"/>
              <w:end w:w="85" w:type="dxa"/>
            </w:tcMar>
            <w:vAlign w:val="center"/>
          </w:tcPr>
          <w:p>
            <w:pPr>
              <w:spacing w:after="0"/>
            </w:pPr>
            <w:r/>
            <w:r>
              <w:rPr>
                <w:rFonts w:ascii="Noto Sans" w:hAnsi="Noto Sans"/>
                <w:b/>
                <w:color w:val="FFFFFF"/>
                <w:sz w:val="16"/>
              </w:rPr>
              <w:t>Minimum evidence to expand</w:t>
            </w:r>
          </w:p>
        </w:tc>
      </w:tr>
      <w:tr>
        <w:trPr>
          <w:cantSplit/>
        </w:trPr>
        <w:tc>
          <w:tcPr>
            <w:tcW w:type="dxa" w:w="4917"/>
            <w:tcMar>
              <w:top w:w="70" w:type="dxa"/>
              <w:start w:w="85" w:type="dxa"/>
              <w:bottom w:w="70" w:type="dxa"/>
              <w:end w:w="85" w:type="dxa"/>
            </w:tcMar>
            <w:vAlign w:val="top"/>
          </w:tcPr>
          <w:p>
            <w:pPr>
              <w:spacing w:after="0"/>
            </w:pPr>
            <w:r/>
            <w:r>
              <w:rPr>
                <w:rFonts w:ascii="Noto Sans" w:hAnsi="Noto Sans"/>
                <w:color w:val="18212B"/>
                <w:sz w:val="16"/>
              </w:rPr>
              <w:t>Human demand</w:t>
            </w:r>
          </w:p>
        </w:tc>
        <w:tc>
          <w:tcPr>
            <w:tcW w:type="dxa" w:w="4917"/>
            <w:tcMar>
              <w:top w:w="70" w:type="dxa"/>
              <w:start w:w="85" w:type="dxa"/>
              <w:bottom w:w="70" w:type="dxa"/>
              <w:end w:w="85" w:type="dxa"/>
            </w:tcMar>
            <w:vAlign w:val="top"/>
          </w:tcPr>
          <w:p>
            <w:pPr>
              <w:spacing w:after="0"/>
            </w:pPr>
            <w:r/>
            <w:r>
              <w:rPr>
                <w:rFonts w:ascii="Noto Sans" w:hAnsi="Noto Sans"/>
                <w:color w:val="18212B"/>
                <w:sz w:val="16"/>
              </w:rPr>
              <w:t>≥1,000 KYC-complete applicants and ≥300 funded borrowers within the pilot window; ≥40% are thin-file or lack a usable bureau score.</w:t>
            </w:r>
          </w:p>
        </w:tc>
      </w:tr>
      <w:tr>
        <w:trPr>
          <w:cantSplit/>
        </w:trPr>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Human speed</w:t>
            </w:r>
          </w:p>
        </w:tc>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Median decision &lt;5 minutes after complete data; median disbursement &lt;24 hours where partner rails permit.</w:t>
            </w:r>
          </w:p>
        </w:tc>
      </w:tr>
      <w:tr>
        <w:trPr>
          <w:cantSplit/>
        </w:trPr>
        <w:tc>
          <w:tcPr>
            <w:tcW w:type="dxa" w:w="4917"/>
            <w:tcMar>
              <w:top w:w="70" w:type="dxa"/>
              <w:start w:w="85" w:type="dxa"/>
              <w:bottom w:w="70" w:type="dxa"/>
              <w:end w:w="85" w:type="dxa"/>
            </w:tcMar>
            <w:vAlign w:val="top"/>
          </w:tcPr>
          <w:p>
            <w:pPr>
              <w:spacing w:after="0"/>
            </w:pPr>
            <w:r/>
            <w:r>
              <w:rPr>
                <w:rFonts w:ascii="Noto Sans" w:hAnsi="Noto Sans"/>
                <w:color w:val="18212B"/>
                <w:sz w:val="16"/>
              </w:rPr>
              <w:t>Human performance</w:t>
            </w:r>
          </w:p>
        </w:tc>
        <w:tc>
          <w:tcPr>
            <w:tcW w:type="dxa" w:w="4917"/>
            <w:tcMar>
              <w:top w:w="70" w:type="dxa"/>
              <w:start w:w="85" w:type="dxa"/>
              <w:bottom w:w="70" w:type="dxa"/>
              <w:end w:w="85" w:type="dxa"/>
            </w:tcMar>
            <w:vAlign w:val="top"/>
          </w:tcPr>
          <w:p>
            <w:pPr>
              <w:spacing w:after="0"/>
            </w:pPr>
            <w:r/>
            <w:r>
              <w:rPr>
                <w:rFonts w:ascii="Noto Sans" w:hAnsi="Noto Sans"/>
                <w:color w:val="18212B"/>
                <w:sz w:val="16"/>
              </w:rPr>
              <w:t>On-time payment ≥95%; 30+ DPD ≤5%; net credit loss ≤3%; fraud loss ≤0.5%.</w:t>
            </w:r>
          </w:p>
        </w:tc>
      </w:tr>
      <w:tr>
        <w:trPr>
          <w:cantSplit/>
        </w:trPr>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Human progression</w:t>
            </w:r>
          </w:p>
        </w:tc>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≥50% of eligible good payers receive a higher limit or lower price after three completed cycles; median total borrowing cost falls ≥10% for the comparable next offer.</w:t>
            </w:r>
          </w:p>
        </w:tc>
      </w:tr>
      <w:tr>
        <w:trPr>
          <w:cantSplit/>
        </w:trPr>
        <w:tc>
          <w:tcPr>
            <w:tcW w:type="dxa" w:w="4917"/>
            <w:tcMar>
              <w:top w:w="70" w:type="dxa"/>
              <w:start w:w="85" w:type="dxa"/>
              <w:bottom w:w="70" w:type="dxa"/>
              <w:end w:w="85" w:type="dxa"/>
            </w:tcMar>
            <w:vAlign w:val="top"/>
          </w:tcPr>
          <w:p>
            <w:pPr>
              <w:spacing w:after="0"/>
            </w:pPr>
            <w:r/>
            <w:r>
              <w:rPr>
                <w:rFonts w:ascii="Noto Sans" w:hAnsi="Noto Sans"/>
                <w:color w:val="18212B"/>
                <w:sz w:val="16"/>
              </w:rPr>
              <w:t>Human protection</w:t>
            </w:r>
          </w:p>
        </w:tc>
        <w:tc>
          <w:tcPr>
            <w:tcW w:type="dxa" w:w="4917"/>
            <w:tcMar>
              <w:top w:w="70" w:type="dxa"/>
              <w:start w:w="85" w:type="dxa"/>
              <w:bottom w:w="70" w:type="dxa"/>
              <w:end w:w="85" w:type="dxa"/>
            </w:tcMar>
            <w:vAlign w:val="top"/>
          </w:tcPr>
          <w:p>
            <w:pPr>
              <w:spacing w:after="0"/>
            </w:pPr>
            <w:r/>
            <w:r>
              <w:rPr>
                <w:rFonts w:ascii="Noto Sans" w:hAnsi="Noto Sans"/>
                <w:color w:val="18212B"/>
                <w:sz w:val="16"/>
              </w:rPr>
              <w:t>Complaint rate &lt;1%; verified data-correction / appeal cases resolved within 5 business days; no material unexplained disparity.</w:t>
            </w:r>
          </w:p>
        </w:tc>
      </w:tr>
      <w:tr>
        <w:trPr>
          <w:cantSplit/>
        </w:trPr>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Agent adoption</w:t>
            </w:r>
          </w:p>
        </w:tc>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≥3 live Providers, ≥30 active Operators and ≥$100,000 monthly credit-enabled volume.</w:t>
            </w:r>
          </w:p>
        </w:tc>
      </w:tr>
      <w:tr>
        <w:trPr>
          <w:cantSplit/>
        </w:trPr>
        <w:tc>
          <w:tcPr>
            <w:tcW w:type="dxa" w:w="4917"/>
            <w:tcMar>
              <w:top w:w="70" w:type="dxa"/>
              <w:start w:w="85" w:type="dxa"/>
              <w:bottom w:w="70" w:type="dxa"/>
              <w:end w:w="85" w:type="dxa"/>
            </w:tcMar>
            <w:vAlign w:val="top"/>
          </w:tcPr>
          <w:p>
            <w:pPr>
              <w:spacing w:after="0"/>
            </w:pPr>
            <w:r/>
            <w:r>
              <w:rPr>
                <w:rFonts w:ascii="Noto Sans" w:hAnsi="Noto Sans"/>
                <w:color w:val="18212B"/>
                <w:sz w:val="16"/>
              </w:rPr>
              <w:t>Agent performance</w:t>
            </w:r>
          </w:p>
        </w:tc>
        <w:tc>
          <w:tcPr>
            <w:tcW w:type="dxa" w:w="4917"/>
            <w:tcMar>
              <w:top w:w="70" w:type="dxa"/>
              <w:start w:w="85" w:type="dxa"/>
              <w:bottom w:w="70" w:type="dxa"/>
              <w:end w:w="85" w:type="dxa"/>
            </w:tcMar>
            <w:vAlign w:val="top"/>
          </w:tcPr>
          <w:p>
            <w:pPr>
              <w:spacing w:after="0"/>
            </w:pPr>
            <w:r/>
            <w:r>
              <w:rPr>
                <w:rFonts w:ascii="Noto Sans" w:hAnsi="Noto Sans"/>
                <w:color w:val="18212B"/>
                <w:sz w:val="16"/>
              </w:rPr>
              <w:t>On-time settlement ≥97%; net loss ≤1%; unauthorized or fraud loss ≤0.25%; paid Provider or Operator renewals.</w:t>
            </w:r>
          </w:p>
        </w:tc>
      </w:tr>
      <w:tr>
        <w:trPr>
          <w:cantSplit/>
        </w:trPr>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Capital network</w:t>
            </w:r>
          </w:p>
        </w:tc>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≥2 independent capital sources; ≥60% of qualified requests match at least one offer; no single source exceeds 50% of funded exposure.</w:t>
            </w:r>
          </w:p>
        </w:tc>
      </w:tr>
      <w:tr>
        <w:trPr>
          <w:cantSplit/>
        </w:trPr>
        <w:tc>
          <w:tcPr>
            <w:tcW w:type="dxa" w:w="4917"/>
            <w:tcMar>
              <w:top w:w="70" w:type="dxa"/>
              <w:start w:w="85" w:type="dxa"/>
              <w:bottom w:w="70" w:type="dxa"/>
              <w:end w:w="85" w:type="dxa"/>
            </w:tcMar>
            <w:vAlign w:val="top"/>
          </w:tcPr>
          <w:p>
            <w:pPr>
              <w:spacing w:after="0"/>
            </w:pPr>
            <w:r/>
            <w:r>
              <w:rPr>
                <w:rFonts w:ascii="Noto Sans" w:hAnsi="Noto Sans"/>
                <w:color w:val="18212B"/>
                <w:sz w:val="16"/>
              </w:rPr>
              <w:t>Rail integrity</w:t>
            </w:r>
          </w:p>
        </w:tc>
        <w:tc>
          <w:tcPr>
            <w:tcW w:type="dxa" w:w="4917"/>
            <w:tcMar>
              <w:top w:w="70" w:type="dxa"/>
              <w:start w:w="85" w:type="dxa"/>
              <w:bottom w:w="70" w:type="dxa"/>
              <w:end w:w="85" w:type="dxa"/>
            </w:tcMar>
            <w:vAlign w:val="top"/>
          </w:tcPr>
          <w:p>
            <w:pPr>
              <w:spacing w:after="0"/>
            </w:pPr>
            <w:r/>
            <w:r>
              <w:rPr>
                <w:rFonts w:ascii="Noto Sans" w:hAnsi="Noto Sans"/>
                <w:color w:val="18212B"/>
                <w:sz w:val="16"/>
              </w:rPr>
              <w:t>100% of funded and repayment events reconcile to authenticated receipts; zero duplicate settlement effects; tested recovery from at least one adapter failure or delayed-finality scenario.</w:t>
            </w:r>
          </w:p>
        </w:tc>
      </w:tr>
      <w:tr>
        <w:trPr>
          <w:cantSplit/>
        </w:trPr>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Economics</w:t>
            </w:r>
          </w:p>
        </w:tc>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Positive risk-adjusted contribution after funding cost, expected loss, fraud, servicing, compliance and partner revenue share.</w:t>
            </w:r>
          </w:p>
        </w:tc>
      </w:tr>
    </w:tbl>
    <w:p>
      <w:pPr>
        <w:spacing w:after="0"/>
      </w:pPr>
    </w:p>
    <w:p>
      <w:r>
        <w:rPr>
          <w:rFonts w:ascii="Noto Sans" w:hAnsi="Noto Sans"/>
        </w:rPr>
        <w:t>Failure to meet these gates should trigger product redesign, not narrative expansion. A high application count without repayment, customer renewal or positive risk-adjusted contribution is not PMF.</w:t>
      </w:r>
    </w:p>
    <w:p>
      <w:pPr>
        <w:pStyle w:val="Heading2"/>
        <w:keepNext/>
      </w:pPr>
      <w:r>
        <w:rPr>
          <w:rFonts w:ascii="Noto Sans" w:hAnsi="Noto Sans"/>
        </w:rPr>
        <w:t>19. Business Model</w:t>
      </w:r>
    </w:p>
    <w:tbl>
      <w:tblPr>
        <w:tblStyle w:val="TableGrid"/>
        <w:tblW w:type="auto" w:w="0"/>
        <w:jc w:val="center"/>
        <w:tblLayout w:type="autofit"/>
        <w:tblLook w:firstColumn="1" w:firstRow="1" w:lastColumn="0" w:lastRow="0" w:noHBand="0" w:noVBand="1" w:val="04A0"/>
      </w:tblPr>
      <w:tblGrid>
        <w:gridCol w:w="3278"/>
        <w:gridCol w:w="3278"/>
        <w:gridCol w:w="3278"/>
      </w:tblGrid>
      <w:tr>
        <w:trPr>
          <w:tblHeader w:val="true"/>
          <w:cantSplit/>
        </w:trPr>
        <w:tc>
          <w:tcPr>
            <w:tcW w:type="dxa" w:w="3278"/>
            <w:shd w:fill="0B1F33"/>
            <w:tcMar>
              <w:top w:w="70" w:type="dxa"/>
              <w:start w:w="85" w:type="dxa"/>
              <w:bottom w:w="70" w:type="dxa"/>
              <w:end w:w="85" w:type="dxa"/>
            </w:tcMar>
            <w:vAlign w:val="center"/>
          </w:tcPr>
          <w:p>
            <w:pPr>
              <w:spacing w:after="0"/>
            </w:pPr>
            <w:r/>
            <w:r>
              <w:rPr>
                <w:rFonts w:ascii="Noto Sans" w:hAnsi="Noto Sans"/>
                <w:b/>
                <w:color w:val="FFFFFF"/>
                <w:sz w:val="16"/>
              </w:rPr>
              <w:t>Revenue line</w:t>
            </w:r>
          </w:p>
        </w:tc>
        <w:tc>
          <w:tcPr>
            <w:tcW w:type="dxa" w:w="3278"/>
            <w:shd w:fill="0B1F33"/>
            <w:tcMar>
              <w:top w:w="70" w:type="dxa"/>
              <w:start w:w="85" w:type="dxa"/>
              <w:bottom w:w="70" w:type="dxa"/>
              <w:end w:w="85" w:type="dxa"/>
            </w:tcMar>
            <w:vAlign w:val="center"/>
          </w:tcPr>
          <w:p>
            <w:pPr>
              <w:spacing w:after="0"/>
            </w:pPr>
            <w:r/>
            <w:r>
              <w:rPr>
                <w:rFonts w:ascii="Noto Sans" w:hAnsi="Noto Sans"/>
                <w:b/>
                <w:color w:val="FFFFFF"/>
                <w:sz w:val="16"/>
              </w:rPr>
              <w:t>Payer</w:t>
            </w:r>
          </w:p>
        </w:tc>
        <w:tc>
          <w:tcPr>
            <w:tcW w:type="dxa" w:w="3278"/>
            <w:shd w:fill="0B1F33"/>
            <w:tcMar>
              <w:top w:w="70" w:type="dxa"/>
              <w:start w:w="85" w:type="dxa"/>
              <w:bottom w:w="70" w:type="dxa"/>
              <w:end w:w="85" w:type="dxa"/>
            </w:tcMar>
            <w:vAlign w:val="center"/>
          </w:tcPr>
          <w:p>
            <w:pPr>
              <w:spacing w:after="0"/>
            </w:pPr>
            <w:r/>
            <w:r>
              <w:rPr>
                <w:rFonts w:ascii="Noto Sans" w:hAnsi="Noto Sans"/>
                <w:b/>
                <w:color w:val="FFFFFF"/>
                <w:sz w:val="16"/>
              </w:rPr>
              <w:t>Rationale</w:t>
            </w:r>
          </w:p>
        </w:tc>
      </w:tr>
      <w:tr>
        <w:trPr>
          <w:cantSplit/>
        </w:trPr>
        <w:tc>
          <w:tcPr>
            <w:tcW w:type="dxa" w:w="3278"/>
            <w:tcMar>
              <w:top w:w="70" w:type="dxa"/>
              <w:start w:w="85" w:type="dxa"/>
              <w:bottom w:w="70" w:type="dxa"/>
              <w:end w:w="85" w:type="dxa"/>
            </w:tcMar>
            <w:vAlign w:val="top"/>
          </w:tcPr>
          <w:p>
            <w:pPr>
              <w:spacing w:after="0"/>
            </w:pPr>
            <w:r/>
            <w:r>
              <w:rPr>
                <w:rFonts w:ascii="Noto Sans" w:hAnsi="Noto Sans"/>
                <w:color w:val="18212B"/>
                <w:sz w:val="16"/>
              </w:rPr>
              <w:t>Platform / API subscription</w:t>
            </w:r>
          </w:p>
        </w:tc>
        <w:tc>
          <w:tcPr>
            <w:tcW w:type="dxa" w:w="3278"/>
            <w:tcMar>
              <w:top w:w="70" w:type="dxa"/>
              <w:start w:w="85" w:type="dxa"/>
              <w:bottom w:w="70" w:type="dxa"/>
              <w:end w:w="85" w:type="dxa"/>
            </w:tcMar>
            <w:vAlign w:val="top"/>
          </w:tcPr>
          <w:p>
            <w:pPr>
              <w:spacing w:after="0"/>
            </w:pPr>
            <w:r/>
            <w:r>
              <w:rPr>
                <w:rFonts w:ascii="Noto Sans" w:hAnsi="Noto Sans"/>
                <w:color w:val="18212B"/>
                <w:sz w:val="16"/>
              </w:rPr>
              <w:t>Lender, Originator, Provider or distribution partner</w:t>
            </w:r>
          </w:p>
        </w:tc>
        <w:tc>
          <w:tcPr>
            <w:tcW w:type="dxa" w:w="3278"/>
            <w:tcMar>
              <w:top w:w="70" w:type="dxa"/>
              <w:start w:w="85" w:type="dxa"/>
              <w:bottom w:w="70" w:type="dxa"/>
              <w:end w:w="85" w:type="dxa"/>
            </w:tcMar>
            <w:vAlign w:val="top"/>
          </w:tcPr>
          <w:p>
            <w:pPr>
              <w:spacing w:after="0"/>
            </w:pPr>
            <w:r/>
            <w:r>
              <w:rPr>
                <w:rFonts w:ascii="Noto Sans" w:hAnsi="Noto Sans"/>
                <w:color w:val="18212B"/>
                <w:sz w:val="16"/>
              </w:rPr>
              <w:t>Access to decisioning, policy, workflow, reporting and integration.</w:t>
            </w:r>
          </w:p>
        </w:tc>
      </w:tr>
      <w:tr>
        <w:trPr>
          <w:cantSplit/>
        </w:trPr>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Credit decision / offer-routing fee</w:t>
            </w:r>
          </w:p>
        </w:tc>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Lender or partner; borrower only where transparent and lawful</w:t>
            </w:r>
          </w:p>
        </w:tc>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Eligibility, delegated decisioning and lender marketplace orchestration.</w:t>
            </w:r>
          </w:p>
        </w:tc>
      </w:tr>
      <w:tr>
        <w:trPr>
          <w:cantSplit/>
        </w:trPr>
        <w:tc>
          <w:tcPr>
            <w:tcW w:type="dxa" w:w="3278"/>
            <w:tcMar>
              <w:top w:w="70" w:type="dxa"/>
              <w:start w:w="85" w:type="dxa"/>
              <w:bottom w:w="70" w:type="dxa"/>
              <w:end w:w="85" w:type="dxa"/>
            </w:tcMar>
            <w:vAlign w:val="top"/>
          </w:tcPr>
          <w:p>
            <w:pPr>
              <w:spacing w:after="0"/>
            </w:pPr>
            <w:r/>
            <w:r>
              <w:rPr>
                <w:rFonts w:ascii="Noto Sans" w:hAnsi="Noto Sans"/>
                <w:color w:val="18212B"/>
                <w:sz w:val="16"/>
              </w:rPr>
              <w:t>Origination / transaction fee share</w:t>
            </w:r>
          </w:p>
        </w:tc>
        <w:tc>
          <w:tcPr>
            <w:tcW w:type="dxa" w:w="3278"/>
            <w:tcMar>
              <w:top w:w="70" w:type="dxa"/>
              <w:start w:w="85" w:type="dxa"/>
              <w:bottom w:w="70" w:type="dxa"/>
              <w:end w:w="85" w:type="dxa"/>
            </w:tcMar>
            <w:vAlign w:val="top"/>
          </w:tcPr>
          <w:p>
            <w:pPr>
              <w:spacing w:after="0"/>
            </w:pPr>
            <w:r/>
            <w:r>
              <w:rPr>
                <w:rFonts w:ascii="Noto Sans" w:hAnsi="Noto Sans"/>
                <w:color w:val="18212B"/>
                <w:sz w:val="16"/>
              </w:rPr>
              <w:t>Originator or capital partner</w:t>
            </w:r>
          </w:p>
        </w:tc>
        <w:tc>
          <w:tcPr>
            <w:tcW w:type="dxa" w:w="3278"/>
            <w:tcMar>
              <w:top w:w="70" w:type="dxa"/>
              <w:start w:w="85" w:type="dxa"/>
              <w:bottom w:w="70" w:type="dxa"/>
              <w:end w:w="85" w:type="dxa"/>
            </w:tcMar>
            <w:vAlign w:val="top"/>
          </w:tcPr>
          <w:p>
            <w:pPr>
              <w:spacing w:after="0"/>
            </w:pPr>
            <w:r/>
            <w:r>
              <w:rPr>
                <w:rFonts w:ascii="Noto Sans" w:hAnsi="Noto Sans"/>
                <w:color w:val="18212B"/>
                <w:sz w:val="16"/>
              </w:rPr>
              <w:t>Successful funded obligation; disclosed in total cost where applicable.</w:t>
            </w:r>
          </w:p>
        </w:tc>
      </w:tr>
      <w:tr>
        <w:trPr>
          <w:cantSplit/>
        </w:trPr>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Servicing / reconciliation fee</w:t>
            </w:r>
          </w:p>
        </w:tc>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Lender, facility or Provider</w:t>
            </w:r>
          </w:p>
        </w:tc>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Payment state, DPD, collections events, reconciliation and audit.</w:t>
            </w:r>
          </w:p>
        </w:tc>
      </w:tr>
      <w:tr>
        <w:trPr>
          <w:cantSplit/>
        </w:trPr>
        <w:tc>
          <w:tcPr>
            <w:tcW w:type="dxa" w:w="3278"/>
            <w:tcMar>
              <w:top w:w="70" w:type="dxa"/>
              <w:start w:w="85" w:type="dxa"/>
              <w:bottom w:w="70" w:type="dxa"/>
              <w:end w:w="85" w:type="dxa"/>
            </w:tcMar>
            <w:vAlign w:val="top"/>
          </w:tcPr>
          <w:p>
            <w:pPr>
              <w:spacing w:after="0"/>
            </w:pPr>
            <w:r/>
            <w:r>
              <w:rPr>
                <w:rFonts w:ascii="Noto Sans" w:hAnsi="Noto Sans"/>
                <w:color w:val="18212B"/>
                <w:sz w:val="16"/>
              </w:rPr>
              <w:t>Facility and capital-routing fee</w:t>
            </w:r>
          </w:p>
        </w:tc>
        <w:tc>
          <w:tcPr>
            <w:tcW w:type="dxa" w:w="3278"/>
            <w:tcMar>
              <w:top w:w="70" w:type="dxa"/>
              <w:start w:w="85" w:type="dxa"/>
              <w:bottom w:w="70" w:type="dxa"/>
              <w:end w:w="85" w:type="dxa"/>
            </w:tcMar>
            <w:vAlign w:val="top"/>
          </w:tcPr>
          <w:p>
            <w:pPr>
              <w:spacing w:after="0"/>
            </w:pPr>
            <w:r/>
            <w:r>
              <w:rPr>
                <w:rFonts w:ascii="Noto Sans" w:hAnsi="Noto Sans"/>
                <w:color w:val="18212B"/>
                <w:sz w:val="16"/>
              </w:rPr>
              <w:t>Capital provider</w:t>
            </w:r>
          </w:p>
        </w:tc>
        <w:tc>
          <w:tcPr>
            <w:tcW w:type="dxa" w:w="3278"/>
            <w:tcMar>
              <w:top w:w="70" w:type="dxa"/>
              <w:start w:w="85" w:type="dxa"/>
              <w:bottom w:w="70" w:type="dxa"/>
              <w:end w:w="85" w:type="dxa"/>
            </w:tcMar>
            <w:vAlign w:val="top"/>
          </w:tcPr>
          <w:p>
            <w:pPr>
              <w:spacing w:after="0"/>
            </w:pPr>
            <w:r/>
            <w:r>
              <w:rPr>
                <w:rFonts w:ascii="Noto Sans" w:hAnsi="Noto Sans"/>
                <w:color w:val="18212B"/>
                <w:sz w:val="16"/>
              </w:rPr>
              <w:t>Eligibility, allocation, reporting, reserves and waterfall administration.</w:t>
            </w:r>
          </w:p>
        </w:tc>
      </w:tr>
      <w:tr>
        <w:trPr>
          <w:cantSplit/>
        </w:trPr>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Passport verification / institutional analytics</w:t>
            </w:r>
          </w:p>
        </w:tc>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Authorized verifier</w:t>
            </w:r>
          </w:p>
        </w:tc>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Purpose-limited proofs and portfolio intelligence; no sale of raw personal data.</w:t>
            </w:r>
          </w:p>
        </w:tc>
      </w:tr>
    </w:tbl>
    <w:p>
      <w:pPr>
        <w:spacing w:after="0"/>
      </w:pPr>
    </w:p>
    <w:p>
      <w:r>
        <w:rPr>
          <w:rFonts w:ascii="Noto Sans" w:hAnsi="Noto Sans"/>
        </w:rPr>
        <w:t>IPO.ONE should not depend on earning an undisclosed interest spread or funding loans from its own treasury. It may participate economically through transparent fees and risk-sharing arrangements only where aligned, capitalized and legally appropriate.</w:t>
      </w:r>
    </w:p>
    <w:p>
      <w:pPr>
        <w:pStyle w:val="Heading2"/>
        <w:keepNext/>
      </w:pPr>
      <w:r>
        <w:rPr>
          <w:rFonts w:ascii="Noto Sans" w:hAnsi="Noto Sans"/>
        </w:rPr>
        <w:t>20. Durable Moat and Compounding Network Effects</w:t>
      </w:r>
    </w:p>
    <w:tbl>
      <w:tblPr>
        <w:tblStyle w:val="TableGrid"/>
        <w:tblW w:type="auto" w:w="0"/>
        <w:jc w:val="center"/>
        <w:tblLayout w:type="autofit"/>
        <w:tblLook w:firstColumn="1" w:firstRow="1" w:lastColumn="0" w:lastRow="0" w:noHBand="0" w:noVBand="1" w:val="04A0"/>
      </w:tblPr>
      <w:tblGrid>
        <w:gridCol w:w="4917"/>
        <w:gridCol w:w="4917"/>
      </w:tblGrid>
      <w:tr>
        <w:trPr>
          <w:tblHeader w:val="true"/>
          <w:cantSplit/>
        </w:trPr>
        <w:tc>
          <w:tcPr>
            <w:tcW w:type="dxa" w:w="4917"/>
            <w:shd w:fill="0B1F33"/>
            <w:tcMar>
              <w:top w:w="70" w:type="dxa"/>
              <w:start w:w="85" w:type="dxa"/>
              <w:bottom w:w="70" w:type="dxa"/>
              <w:end w:w="85" w:type="dxa"/>
            </w:tcMar>
            <w:vAlign w:val="center"/>
          </w:tcPr>
          <w:p>
            <w:pPr>
              <w:spacing w:after="0"/>
            </w:pPr>
            <w:r/>
            <w:r>
              <w:rPr>
                <w:rFonts w:ascii="Noto Sans" w:hAnsi="Noto Sans"/>
                <w:b/>
                <w:color w:val="FFFFFF"/>
                <w:sz w:val="16"/>
              </w:rPr>
              <w:t>Moat layer</w:t>
            </w:r>
          </w:p>
        </w:tc>
        <w:tc>
          <w:tcPr>
            <w:tcW w:type="dxa" w:w="4917"/>
            <w:shd w:fill="0B1F33"/>
            <w:tcMar>
              <w:top w:w="70" w:type="dxa"/>
              <w:start w:w="85" w:type="dxa"/>
              <w:bottom w:w="70" w:type="dxa"/>
              <w:end w:w="85" w:type="dxa"/>
            </w:tcMar>
            <w:vAlign w:val="center"/>
          </w:tcPr>
          <w:p>
            <w:pPr>
              <w:spacing w:after="0"/>
            </w:pPr>
            <w:r/>
            <w:r>
              <w:rPr>
                <w:rFonts w:ascii="Noto Sans" w:hAnsi="Noto Sans"/>
                <w:b/>
                <w:color w:val="FFFFFF"/>
                <w:sz w:val="16"/>
              </w:rPr>
              <w:t>How it compounds</w:t>
            </w:r>
          </w:p>
        </w:tc>
      </w:tr>
      <w:tr>
        <w:trPr>
          <w:cantSplit/>
        </w:trPr>
        <w:tc>
          <w:tcPr>
            <w:tcW w:type="dxa" w:w="4917"/>
            <w:tcMar>
              <w:top w:w="70" w:type="dxa"/>
              <w:start w:w="85" w:type="dxa"/>
              <w:bottom w:w="70" w:type="dxa"/>
              <w:end w:w="85" w:type="dxa"/>
            </w:tcMar>
            <w:vAlign w:val="top"/>
          </w:tcPr>
          <w:p>
            <w:pPr>
              <w:spacing w:after="0"/>
            </w:pPr>
            <w:r/>
            <w:r>
              <w:rPr>
                <w:rFonts w:ascii="Noto Sans" w:hAnsi="Noto Sans"/>
                <w:color w:val="18212B"/>
                <w:sz w:val="16"/>
              </w:rPr>
              <w:t>Credit Account and Passport</w:t>
            </w:r>
          </w:p>
        </w:tc>
        <w:tc>
          <w:tcPr>
            <w:tcW w:type="dxa" w:w="4917"/>
            <w:tcMar>
              <w:top w:w="70" w:type="dxa"/>
              <w:start w:w="85" w:type="dxa"/>
              <w:bottom w:w="70" w:type="dxa"/>
              <w:end w:w="85" w:type="dxa"/>
            </w:tcMar>
            <w:vAlign w:val="top"/>
          </w:tcPr>
          <w:p>
            <w:pPr>
              <w:spacing w:after="0"/>
            </w:pPr>
            <w:r/>
            <w:r>
              <w:rPr>
                <w:rFonts w:ascii="Noto Sans" w:hAnsi="Noto Sans"/>
                <w:color w:val="18212B"/>
                <w:sz w:val="16"/>
              </w:rPr>
              <w:t>Each verified repayment creates portable evidence and reduces repeated underwriting.</w:t>
            </w:r>
          </w:p>
        </w:tc>
      </w:tr>
      <w:tr>
        <w:trPr>
          <w:cantSplit/>
        </w:trPr>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Credit Intelligence Network</w:t>
            </w:r>
          </w:p>
        </w:tc>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Verified human and Agent outcomes continuously improve scoring, terms, interventions, fraud controls and capital matching.</w:t>
            </w:r>
          </w:p>
        </w:tc>
      </w:tr>
      <w:tr>
        <w:trPr>
          <w:cantSplit/>
        </w:trPr>
        <w:tc>
          <w:tcPr>
            <w:tcW w:type="dxa" w:w="4917"/>
            <w:tcMar>
              <w:top w:w="70" w:type="dxa"/>
              <w:start w:w="85" w:type="dxa"/>
              <w:bottom w:w="70" w:type="dxa"/>
              <w:end w:w="85" w:type="dxa"/>
            </w:tcMar>
            <w:vAlign w:val="top"/>
          </w:tcPr>
          <w:p>
            <w:pPr>
              <w:spacing w:after="0"/>
            </w:pPr>
            <w:r/>
            <w:r>
              <w:rPr>
                <w:rFonts w:ascii="Noto Sans" w:hAnsi="Noto Sans"/>
                <w:color w:val="18212B"/>
                <w:sz w:val="16"/>
              </w:rPr>
              <w:t>Outcome dataset</w:t>
            </w:r>
          </w:p>
        </w:tc>
        <w:tc>
          <w:tcPr>
            <w:tcW w:type="dxa" w:w="4917"/>
            <w:tcMar>
              <w:top w:w="70" w:type="dxa"/>
              <w:start w:w="85" w:type="dxa"/>
              <w:bottom w:w="70" w:type="dxa"/>
              <w:end w:w="85" w:type="dxa"/>
            </w:tcMar>
            <w:vAlign w:val="top"/>
          </w:tcPr>
          <w:p>
            <w:pPr>
              <w:spacing w:after="0"/>
            </w:pPr>
            <w:r/>
            <w:r>
              <w:rPr>
                <w:rFonts w:ascii="Noto Sans" w:hAnsi="Noto Sans"/>
                <w:color w:val="18212B"/>
                <w:sz w:val="16"/>
              </w:rPr>
              <w:t>Real approval, utilization, execution quality, Mandate compliance, DPD, cure, loss and productive-use outcomes improve models and policy.</w:t>
            </w:r>
          </w:p>
        </w:tc>
      </w:tr>
      <w:tr>
        <w:trPr>
          <w:cantSplit/>
        </w:trPr>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Lender policy network</w:t>
            </w:r>
          </w:p>
        </w:tc>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More mandates increase approval options, price competition and capital resilience.</w:t>
            </w:r>
          </w:p>
        </w:tc>
      </w:tr>
      <w:tr>
        <w:trPr>
          <w:cantSplit/>
        </w:trPr>
        <w:tc>
          <w:tcPr>
            <w:tcW w:type="dxa" w:w="4917"/>
            <w:tcMar>
              <w:top w:w="70" w:type="dxa"/>
              <w:start w:w="85" w:type="dxa"/>
              <w:bottom w:w="70" w:type="dxa"/>
              <w:end w:w="85" w:type="dxa"/>
            </w:tcMar>
            <w:vAlign w:val="top"/>
          </w:tcPr>
          <w:p>
            <w:pPr>
              <w:spacing w:after="0"/>
            </w:pPr>
            <w:r/>
            <w:r>
              <w:rPr>
                <w:rFonts w:ascii="Noto Sans" w:hAnsi="Noto Sans"/>
                <w:color w:val="18212B"/>
                <w:sz w:val="16"/>
              </w:rPr>
              <w:t>Distribution integrations</w:t>
            </w:r>
          </w:p>
        </w:tc>
        <w:tc>
          <w:tcPr>
            <w:tcW w:type="dxa" w:w="4917"/>
            <w:tcMar>
              <w:top w:w="70" w:type="dxa"/>
              <w:start w:w="85" w:type="dxa"/>
              <w:bottom w:w="70" w:type="dxa"/>
              <w:end w:w="85" w:type="dxa"/>
            </w:tcMar>
            <w:vAlign w:val="top"/>
          </w:tcPr>
          <w:p>
            <w:pPr>
              <w:spacing w:after="0"/>
            </w:pPr>
            <w:r/>
            <w:r>
              <w:rPr>
                <w:rFonts w:ascii="Noto Sans" w:hAnsi="Noto Sans"/>
                <w:color w:val="18212B"/>
                <w:sz w:val="16"/>
              </w:rPr>
              <w:t>One platform can bring many thin-file humans or Agents; switching requires replacing deeply embedded workflow and evidence.</w:t>
            </w:r>
          </w:p>
        </w:tc>
      </w:tr>
      <w:tr>
        <w:trPr>
          <w:cantSplit/>
        </w:trPr>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Cash-flow and servicing connections</w:t>
            </w:r>
          </w:p>
        </w:tc>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Repayment observation and collection control improve loss, liquidity and lender confidence.</w:t>
            </w:r>
          </w:p>
        </w:tc>
      </w:tr>
      <w:tr>
        <w:trPr>
          <w:cantSplit/>
        </w:trPr>
        <w:tc>
          <w:tcPr>
            <w:tcW w:type="dxa" w:w="4917"/>
            <w:tcMar>
              <w:top w:w="70" w:type="dxa"/>
              <w:start w:w="85" w:type="dxa"/>
              <w:bottom w:w="70" w:type="dxa"/>
              <w:end w:w="85" w:type="dxa"/>
            </w:tcMar>
            <w:vAlign w:val="top"/>
          </w:tcPr>
          <w:p>
            <w:pPr>
              <w:spacing w:after="0"/>
            </w:pPr>
            <w:r/>
            <w:r>
              <w:rPr>
                <w:rFonts w:ascii="Noto Sans" w:hAnsi="Noto Sans"/>
                <w:color w:val="18212B"/>
                <w:sz w:val="16"/>
              </w:rPr>
              <w:t>Compliance adapters</w:t>
            </w:r>
          </w:p>
        </w:tc>
        <w:tc>
          <w:tcPr>
            <w:tcW w:type="dxa" w:w="4917"/>
            <w:tcMar>
              <w:top w:w="70" w:type="dxa"/>
              <w:start w:w="85" w:type="dxa"/>
              <w:bottom w:w="70" w:type="dxa"/>
              <w:end w:w="85" w:type="dxa"/>
            </w:tcMar>
            <w:vAlign w:val="top"/>
          </w:tcPr>
          <w:p>
            <w:pPr>
              <w:spacing w:after="0"/>
            </w:pPr>
            <w:r/>
            <w:r>
              <w:rPr>
                <w:rFonts w:ascii="Noto Sans" w:hAnsi="Noto Sans"/>
                <w:color w:val="18212B"/>
                <w:sz w:val="16"/>
              </w:rPr>
              <w:t>Reusable KYC, consent, disclosure, adverse-action and audit controls reduce market expansion friction.</w:t>
            </w:r>
          </w:p>
        </w:tc>
      </w:tr>
      <w:tr>
        <w:trPr>
          <w:cantSplit/>
        </w:trPr>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Capital performance</w:t>
            </w:r>
          </w:p>
        </w:tc>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Standardized assets and transparent vintages attract additional off-chain and on-chain facilities.</w:t>
            </w:r>
          </w:p>
        </w:tc>
      </w:tr>
      <w:tr>
        <w:trPr>
          <w:cantSplit/>
        </w:trPr>
        <w:tc>
          <w:tcPr>
            <w:tcW w:type="dxa" w:w="4917"/>
            <w:tcMar>
              <w:top w:w="70" w:type="dxa"/>
              <w:start w:w="85" w:type="dxa"/>
              <w:bottom w:w="70" w:type="dxa"/>
              <w:end w:w="85" w:type="dxa"/>
            </w:tcMar>
            <w:vAlign w:val="top"/>
          </w:tcPr>
          <w:p>
            <w:pPr>
              <w:spacing w:after="0"/>
            </w:pPr>
            <w:r/>
            <w:r>
              <w:rPr>
                <w:rFonts w:ascii="Noto Sans" w:hAnsi="Noto Sans"/>
                <w:color w:val="18212B"/>
                <w:sz w:val="16"/>
              </w:rPr>
              <w:t>Multi-rail interoperability</w:t>
            </w:r>
          </w:p>
        </w:tc>
        <w:tc>
          <w:tcPr>
            <w:tcW w:type="dxa" w:w="4917"/>
            <w:tcMar>
              <w:top w:w="70" w:type="dxa"/>
              <w:start w:w="85" w:type="dxa"/>
              <w:bottom w:w="70" w:type="dxa"/>
              <w:end w:w="85" w:type="dxa"/>
            </w:tcMar>
            <w:vAlign w:val="top"/>
          </w:tcPr>
          <w:p>
            <w:pPr>
              <w:spacing w:after="0"/>
            </w:pPr>
            <w:r/>
            <w:r>
              <w:rPr>
                <w:rFonts w:ascii="Noto Sans" w:hAnsi="Noto Sans"/>
                <w:color w:val="18212B"/>
                <w:sz w:val="16"/>
              </w:rPr>
              <w:t>One canonical state across traditional and on-chain rails reduces reconciliation cost, settlement fragmentation and technical lock-in.</w:t>
            </w:r>
          </w:p>
        </w:tc>
      </w:tr>
    </w:tbl>
    <w:p>
      <w:pPr>
        <w:spacing w:after="0"/>
      </w:pPr>
    </w:p>
    <w:p>
      <w:r>
        <w:rPr>
          <w:rFonts w:ascii="Noto Sans" w:hAnsi="Noto Sans"/>
        </w:rPr>
        <w:t>The moat is not one proprietary score, model, chain or payment rail. It is the compounding interaction among canonical credit history, verified human and Agent outcomes, lender policies, distribution, compliance, capital performance and multi-rail state. As this network grows, IPO.ONE can improve decisions and liquidity without forcing participants into one closed balance sheet or technical environment.</w:t>
      </w:r>
    </w:p>
    <w:p>
      <w:pPr>
        <w:pStyle w:val="Heading2"/>
        <w:keepNext/>
      </w:pPr>
      <w:r>
        <w:rPr>
          <w:rFonts w:ascii="Noto Sans" w:hAnsi="Noto Sans"/>
        </w:rPr>
        <w:t>21. Evidence-Gated Roadmap</w:t>
      </w:r>
    </w:p>
    <w:tbl>
      <w:tblPr>
        <w:tblStyle w:val="TableGrid"/>
        <w:tblW w:type="auto" w:w="0"/>
        <w:jc w:val="center"/>
        <w:tblLayout w:type="autofit"/>
        <w:tblLook w:firstColumn="1" w:firstRow="1" w:lastColumn="0" w:lastRow="0" w:noHBand="0" w:noVBand="1" w:val="04A0"/>
      </w:tblPr>
      <w:tblGrid>
        <w:gridCol w:w="3278"/>
        <w:gridCol w:w="3278"/>
        <w:gridCol w:w="3278"/>
      </w:tblGrid>
      <w:tr>
        <w:trPr>
          <w:tblHeader w:val="true"/>
          <w:cantSplit/>
        </w:trPr>
        <w:tc>
          <w:tcPr>
            <w:tcW w:type="dxa" w:w="3278"/>
            <w:shd w:fill="0B1F33"/>
            <w:tcMar>
              <w:top w:w="70" w:type="dxa"/>
              <w:start w:w="85" w:type="dxa"/>
              <w:bottom w:w="70" w:type="dxa"/>
              <w:end w:w="85" w:type="dxa"/>
            </w:tcMar>
            <w:vAlign w:val="center"/>
          </w:tcPr>
          <w:p>
            <w:pPr>
              <w:spacing w:after="0"/>
            </w:pPr>
            <w:r/>
            <w:r>
              <w:rPr>
                <w:rFonts w:ascii="Noto Sans" w:hAnsi="Noto Sans"/>
                <w:b/>
                <w:color w:val="FFFFFF"/>
                <w:sz w:val="16"/>
              </w:rPr>
              <w:t>Phase</w:t>
            </w:r>
          </w:p>
        </w:tc>
        <w:tc>
          <w:tcPr>
            <w:tcW w:type="dxa" w:w="3278"/>
            <w:shd w:fill="0B1F33"/>
            <w:tcMar>
              <w:top w:w="70" w:type="dxa"/>
              <w:start w:w="85" w:type="dxa"/>
              <w:bottom w:w="70" w:type="dxa"/>
              <w:end w:w="85" w:type="dxa"/>
            </w:tcMar>
            <w:vAlign w:val="center"/>
          </w:tcPr>
          <w:p>
            <w:pPr>
              <w:spacing w:after="0"/>
            </w:pPr>
            <w:r/>
            <w:r>
              <w:rPr>
                <w:rFonts w:ascii="Noto Sans" w:hAnsi="Noto Sans"/>
                <w:b/>
                <w:color w:val="FFFFFF"/>
                <w:sz w:val="16"/>
              </w:rPr>
              <w:t>Product outcome</w:t>
            </w:r>
          </w:p>
        </w:tc>
        <w:tc>
          <w:tcPr>
            <w:tcW w:type="dxa" w:w="3278"/>
            <w:shd w:fill="0B1F33"/>
            <w:tcMar>
              <w:top w:w="70" w:type="dxa"/>
              <w:start w:w="85" w:type="dxa"/>
              <w:bottom w:w="70" w:type="dxa"/>
              <w:end w:w="85" w:type="dxa"/>
            </w:tcMar>
            <w:vAlign w:val="center"/>
          </w:tcPr>
          <w:p>
            <w:pPr>
              <w:spacing w:after="0"/>
            </w:pPr>
            <w:r/>
            <w:r>
              <w:rPr>
                <w:rFonts w:ascii="Noto Sans" w:hAnsi="Noto Sans"/>
                <w:b/>
                <w:color w:val="FFFFFF"/>
                <w:sz w:val="16"/>
              </w:rPr>
              <w:t>Gate to proceed</w:t>
            </w:r>
          </w:p>
        </w:tc>
      </w:tr>
      <w:tr>
        <w:trPr>
          <w:cantSplit/>
        </w:trPr>
        <w:tc>
          <w:tcPr>
            <w:tcW w:type="dxa" w:w="3278"/>
            <w:tcMar>
              <w:top w:w="70" w:type="dxa"/>
              <w:start w:w="85" w:type="dxa"/>
              <w:bottom w:w="70" w:type="dxa"/>
              <w:end w:w="85" w:type="dxa"/>
            </w:tcMar>
            <w:vAlign w:val="top"/>
          </w:tcPr>
          <w:p>
            <w:pPr>
              <w:spacing w:after="0"/>
            </w:pPr>
            <w:r/>
            <w:r>
              <w:rPr>
                <w:rFonts w:ascii="Noto Sans" w:hAnsi="Noto Sans"/>
                <w:color w:val="18212B"/>
                <w:sz w:val="16"/>
              </w:rPr>
              <w:t>0 — Foundation</w:t>
            </w:r>
          </w:p>
        </w:tc>
        <w:tc>
          <w:tcPr>
            <w:tcW w:type="dxa" w:w="3278"/>
            <w:tcMar>
              <w:top w:w="70" w:type="dxa"/>
              <w:start w:w="85" w:type="dxa"/>
              <w:bottom w:w="70" w:type="dxa"/>
              <w:end w:w="85" w:type="dxa"/>
            </w:tcMar>
            <w:vAlign w:val="top"/>
          </w:tcPr>
          <w:p>
            <w:pPr>
              <w:spacing w:after="0"/>
            </w:pPr>
            <w:r/>
            <w:r>
              <w:rPr>
                <w:rFonts w:ascii="Noto Sans" w:hAnsi="Noto Sans"/>
                <w:color w:val="18212B"/>
                <w:sz w:val="16"/>
              </w:rPr>
              <w:t>Single-kernel canonical objects, dual-native entry profiles, Consent, external KYC/KYB adapters, Agent Communication Adapters, rule-based risk, lender policy, Offer, Obligation, repayment ledger and Multi-Rail Adapter contract.</w:t>
            </w:r>
          </w:p>
        </w:tc>
        <w:tc>
          <w:tcPr>
            <w:tcW w:type="dxa" w:w="3278"/>
            <w:tcMar>
              <w:top w:w="70" w:type="dxa"/>
              <w:start w:w="85" w:type="dxa"/>
              <w:bottom w:w="70" w:type="dxa"/>
              <w:end w:w="85" w:type="dxa"/>
            </w:tcMar>
            <w:vAlign w:val="top"/>
          </w:tcPr>
          <w:p>
            <w:pPr>
              <w:spacing w:after="0"/>
            </w:pPr>
            <w:r/>
            <w:r>
              <w:rPr>
                <w:rFonts w:ascii="Noto Sans" w:hAnsi="Noto Sans"/>
                <w:color w:val="18212B"/>
                <w:sz w:val="16"/>
              </w:rPr>
              <w:t>Security, reconciliation, legal-role mapping, 3–5 design partners, complete data contracts, and sandbox proof of both Human and Agent entry plus traditional and on-chain rail profiles.</w:t>
            </w:r>
          </w:p>
        </w:tc>
      </w:tr>
      <w:tr>
        <w:trPr>
          <w:cantSplit/>
        </w:trPr>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1A — Human Credit Pilot</w:t>
            </w:r>
          </w:p>
        </w:tc>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One embedded or direct Human Credit product with a licensed Originator and external capital; settlement may use any approved rail.</w:t>
            </w:r>
          </w:p>
        </w:tc>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Section 18 Human demand, protection, repayment, rail-integrity and unit-economic gates.</w:t>
            </w:r>
          </w:p>
        </w:tc>
      </w:tr>
      <w:tr>
        <w:trPr>
          <w:cantSplit/>
        </w:trPr>
        <w:tc>
          <w:tcPr>
            <w:tcW w:type="dxa" w:w="3278"/>
            <w:tcMar>
              <w:top w:w="70" w:type="dxa"/>
              <w:start w:w="85" w:type="dxa"/>
              <w:bottom w:w="70" w:type="dxa"/>
              <w:end w:w="85" w:type="dxa"/>
            </w:tcMar>
            <w:vAlign w:val="top"/>
          </w:tcPr>
          <w:p>
            <w:pPr>
              <w:spacing w:after="0"/>
            </w:pPr>
            <w:r/>
            <w:r>
              <w:rPr>
                <w:rFonts w:ascii="Noto Sans" w:hAnsi="Noto Sans"/>
                <w:color w:val="18212B"/>
                <w:sz w:val="16"/>
              </w:rPr>
              <w:t>1B — Agent Credit Pilot</w:t>
            </w:r>
          </w:p>
        </w:tc>
        <w:tc>
          <w:tcPr>
            <w:tcW w:type="dxa" w:w="3278"/>
            <w:tcMar>
              <w:top w:w="70" w:type="dxa"/>
              <w:start w:w="85" w:type="dxa"/>
              <w:bottom w:w="70" w:type="dxa"/>
              <w:end w:w="85" w:type="dxa"/>
            </w:tcMar>
            <w:vAlign w:val="top"/>
          </w:tcPr>
          <w:p>
            <w:pPr>
              <w:spacing w:after="0"/>
            </w:pPr>
            <w:r/>
            <w:r>
              <w:rPr>
                <w:rFonts w:ascii="Noto Sans" w:hAnsi="Noto Sans"/>
                <w:color w:val="18212B"/>
                <w:sz w:val="16"/>
              </w:rPr>
              <w:t>Purpose-bound credit for verified Operators and Providers through Agent-native interfaces; settlement may use traditional or on-chain accounts.</w:t>
            </w:r>
          </w:p>
        </w:tc>
        <w:tc>
          <w:tcPr>
            <w:tcW w:type="dxa" w:w="3278"/>
            <w:tcMar>
              <w:top w:w="70" w:type="dxa"/>
              <w:start w:w="85" w:type="dxa"/>
              <w:bottom w:w="70" w:type="dxa"/>
              <w:end w:w="85" w:type="dxa"/>
            </w:tcMar>
            <w:vAlign w:val="top"/>
          </w:tcPr>
          <w:p>
            <w:pPr>
              <w:spacing w:after="0"/>
            </w:pPr>
            <w:r/>
            <w:r>
              <w:rPr>
                <w:rFonts w:ascii="Noto Sans" w:hAnsi="Noto Sans"/>
                <w:color w:val="18212B"/>
                <w:sz w:val="16"/>
              </w:rPr>
              <w:t>Section 18 Agent adoption, execution, loss, renewal and rail-integrity gates.</w:t>
            </w:r>
          </w:p>
        </w:tc>
      </w:tr>
      <w:tr>
        <w:trPr>
          <w:cantSplit/>
        </w:trPr>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2 — Multi-Lender, Multi-Rail Credit Network</w:t>
            </w:r>
          </w:p>
        </w:tc>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Offer marketplace, delegated decisioning, portable Credit Passport, multiple capital mandates, production-grade adapters and L2–L3 intelligence in shadow or lender-approved policy envelopes.</w:t>
            </w:r>
          </w:p>
        </w:tc>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At least two active lenders per qualified segment; measurable approval or price improvement; calibrated model lift; complete cross-rail reconciliation without higher loss or harmful disparity.</w:t>
            </w:r>
          </w:p>
        </w:tc>
      </w:tr>
      <w:tr>
        <w:trPr>
          <w:cantSplit/>
        </w:trPr>
        <w:tc>
          <w:tcPr>
            <w:tcW w:type="dxa" w:w="3278"/>
            <w:tcMar>
              <w:top w:w="70" w:type="dxa"/>
              <w:start w:w="85" w:type="dxa"/>
              <w:bottom w:w="70" w:type="dxa"/>
              <w:end w:w="85" w:type="dxa"/>
            </w:tcMar>
            <w:vAlign w:val="top"/>
          </w:tcPr>
          <w:p>
            <w:pPr>
              <w:spacing w:after="0"/>
            </w:pPr>
            <w:r/>
            <w:r>
              <w:rPr>
                <w:rFonts w:ascii="Noto Sans" w:hAnsi="Noto Sans"/>
                <w:color w:val="18212B"/>
                <w:sz w:val="16"/>
              </w:rPr>
              <w:t>3 — Bounded Adaptive Credit Intelligence</w:t>
            </w:r>
          </w:p>
        </w:tc>
        <w:tc>
          <w:tcPr>
            <w:tcW w:type="dxa" w:w="3278"/>
            <w:tcMar>
              <w:top w:w="70" w:type="dxa"/>
              <w:start w:w="85" w:type="dxa"/>
              <w:bottom w:w="70" w:type="dxa"/>
              <w:end w:w="85" w:type="dxa"/>
            </w:tcMar>
            <w:vAlign w:val="top"/>
          </w:tcPr>
          <w:p>
            <w:pPr>
              <w:spacing w:after="0"/>
            </w:pPr>
            <w:r/>
            <w:r>
              <w:rPr>
                <w:rFonts w:ascii="Noto Sans" w:hAnsi="Noto Sans"/>
                <w:color w:val="18212B"/>
                <w:sz w:val="16"/>
              </w:rPr>
              <w:t>L4 continuous optimization of limits, tenor, pricing, interventions, fraud controls and capital routing for Human and Agent profiles within explicit policy and loss budgets.</w:t>
            </w:r>
          </w:p>
        </w:tc>
        <w:tc>
          <w:tcPr>
            <w:tcW w:type="dxa" w:w="3278"/>
            <w:tcMar>
              <w:top w:w="70" w:type="dxa"/>
              <w:start w:w="85" w:type="dxa"/>
              <w:bottom w:w="70" w:type="dxa"/>
              <w:end w:w="85" w:type="dxa"/>
            </w:tcMar>
            <w:vAlign w:val="top"/>
          </w:tcPr>
          <w:p>
            <w:pPr>
              <w:spacing w:after="0"/>
            </w:pPr>
            <w:r/>
            <w:r>
              <w:rPr>
                <w:rFonts w:ascii="Noto Sans" w:hAnsi="Noto Sans"/>
                <w:color w:val="18212B"/>
                <w:sz w:val="16"/>
              </w:rPr>
              <w:t>Independent validation, stable out-of-sample performance, zero policy-envelope breaches, explainable borrower benefit, fairness thresholds, rollback readiness and positive risk-adjusted economics.</w:t>
            </w:r>
          </w:p>
        </w:tc>
      </w:tr>
      <w:tr>
        <w:trPr>
          <w:cantSplit/>
        </w:trPr>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4 — On-Chain Capital and Native Settlement Expansion</w:t>
            </w:r>
          </w:p>
        </w:tc>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On-chain capital-facility adapters, native finality monitoring, eligible tokenized credit-asset representation, custody controls and hybrid settlement.</w:t>
            </w:r>
          </w:p>
        </w:tc>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Reconciled cohorts, stable loss, legally valid asset structure, positive contribution, no duplicate claims and concentration control.</w:t>
            </w:r>
          </w:p>
        </w:tc>
      </w:tr>
      <w:tr>
        <w:trPr>
          <w:cantSplit/>
        </w:trPr>
        <w:tc>
          <w:tcPr>
            <w:tcW w:type="dxa" w:w="3278"/>
            <w:tcMar>
              <w:top w:w="70" w:type="dxa"/>
              <w:start w:w="85" w:type="dxa"/>
              <w:bottom w:w="70" w:type="dxa"/>
              <w:end w:w="85" w:type="dxa"/>
            </w:tcMar>
            <w:vAlign w:val="top"/>
          </w:tcPr>
          <w:p>
            <w:pPr>
              <w:spacing w:after="0"/>
            </w:pPr>
            <w:r/>
            <w:r>
              <w:rPr>
                <w:rFonts w:ascii="Noto Sans" w:hAnsi="Noto Sans"/>
                <w:color w:val="18212B"/>
                <w:sz w:val="16"/>
              </w:rPr>
              <w:t>5 — Cross-Platform, Cross-Market and Network Intelligence</w:t>
            </w:r>
          </w:p>
        </w:tc>
        <w:tc>
          <w:tcPr>
            <w:tcW w:type="dxa" w:w="3278"/>
            <w:tcMar>
              <w:top w:w="70" w:type="dxa"/>
              <w:start w:w="85" w:type="dxa"/>
              <w:bottom w:w="70" w:type="dxa"/>
              <w:end w:w="85" w:type="dxa"/>
            </w:tcMar>
            <w:vAlign w:val="top"/>
          </w:tcPr>
          <w:p>
            <w:pPr>
              <w:spacing w:after="0"/>
            </w:pPr>
            <w:r/>
            <w:r>
              <w:rPr>
                <w:rFonts w:ascii="Noto Sans" w:hAnsi="Noto Sans"/>
                <w:color w:val="18212B"/>
                <w:sz w:val="16"/>
              </w:rPr>
              <w:t>External acceptance of proofs, additional Originators, platforms, Agent environments and settlement rails, with L5 privacy-preserving network intelligence.</w:t>
            </w:r>
          </w:p>
        </w:tc>
        <w:tc>
          <w:tcPr>
            <w:tcW w:type="dxa" w:w="3278"/>
            <w:tcMar>
              <w:top w:w="70" w:type="dxa"/>
              <w:start w:w="85" w:type="dxa"/>
              <w:bottom w:w="70" w:type="dxa"/>
              <w:end w:w="85" w:type="dxa"/>
            </w:tcMar>
            <w:vAlign w:val="top"/>
          </w:tcPr>
          <w:p>
            <w:pPr>
              <w:spacing w:after="0"/>
            </w:pPr>
            <w:r/>
            <w:r>
              <w:rPr>
                <w:rFonts w:ascii="Noto Sans" w:hAnsi="Noto Sans"/>
                <w:color w:val="18212B"/>
                <w:sz w:val="16"/>
              </w:rPr>
              <w:t>Privacy, revocation, fairness, servicing, finality and jurisdiction controls proven in each market; measurable network-level improvement without invalid cross-domain transfer.</w:t>
            </w:r>
          </w:p>
        </w:tc>
      </w:tr>
      <w:tr>
        <w:trPr>
          <w:cantSplit/>
        </w:trPr>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6 — Universal Human–Agent Credit and Obligation Protocol</w:t>
            </w:r>
          </w:p>
        </w:tc>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Humans, organizations, Agents and machines use one evolving intent-to-credit lifecycle with competitive capital across interoperable rails.</w:t>
            </w:r>
          </w:p>
        </w:tc>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Sustained network utility, resilient governance, high-quality evidence, independent standard adoption and durable borrower benefit.</w:t>
            </w:r>
          </w:p>
        </w:tc>
      </w:tr>
    </w:tbl>
    <w:p>
      <w:pPr>
        <w:spacing w:after="0"/>
      </w:pPr>
    </w:p>
    <w:p>
      <w:pPr>
        <w:pStyle w:val="Heading3"/>
        <w:keepNext/>
      </w:pPr>
      <w:r>
        <w:rPr>
          <w:rFonts w:ascii="Noto Sans" w:hAnsi="Noto Sans"/>
        </w:rPr>
        <w:t>21.1 Intelligence maturity</w:t>
      </w:r>
    </w:p>
    <w:p>
      <w:r>
        <w:rPr>
          <w:rFonts w:ascii="Noto Sans" w:hAnsi="Noto Sans"/>
        </w:rPr>
        <w:t>L4 and L5 are evidence-gated product capabilities, not launch claims. Advancement requires sufficient data quality, independent validation, borrower benefit and safe rollback.</w:t>
      </w:r>
    </w:p>
    <w:p>
      <w:pPr>
        <w:pStyle w:val="ListBullet"/>
        <w:spacing w:after="32"/>
      </w:pPr>
      <w:r>
        <w:rPr>
          <w:rFonts w:ascii="Noto Sans" w:hAnsi="Noto Sans"/>
        </w:rPr>
        <w:t>L0 — Deterministic rules, manual review and complete event capture.</w:t>
      </w:r>
    </w:p>
    <w:p>
      <w:pPr>
        <w:pStyle w:val="ListBullet"/>
        <w:spacing w:after="32"/>
      </w:pPr>
      <w:r>
        <w:rPr>
          <w:rFonts w:ascii="Noto Sans" w:hAnsi="Noto Sans"/>
        </w:rPr>
        <w:t>L1 — Descriptive analytics, scorecards, borrower progress guidance and anomaly alerts.</w:t>
      </w:r>
    </w:p>
    <w:p>
      <w:pPr>
        <w:pStyle w:val="ListBullet"/>
        <w:spacing w:after="32"/>
      </w:pPr>
      <w:r>
        <w:rPr>
          <w:rFonts w:ascii="Noto Sans" w:hAnsi="Noto Sans"/>
        </w:rPr>
        <w:t>L2 — Predictive models in shadow mode with calibration, fairness and outcome-quality tests.</w:t>
      </w:r>
    </w:p>
    <w:p>
      <w:pPr>
        <w:pStyle w:val="ListBullet"/>
        <w:spacing w:after="32"/>
      </w:pPr>
      <w:r>
        <w:rPr>
          <w:rFonts w:ascii="Noto Sans" w:hAnsi="Noto Sans"/>
        </w:rPr>
        <w:t>L3 — Model-assisted decisions inside lender-approved policy envelopes.</w:t>
      </w:r>
    </w:p>
    <w:p>
      <w:pPr>
        <w:pStyle w:val="ListBullet"/>
        <w:spacing w:after="32"/>
      </w:pPr>
      <w:r>
        <w:rPr>
          <w:rFonts w:ascii="Noto Sans" w:hAnsi="Noto Sans"/>
        </w:rPr>
        <w:t>L4 — Bounded adaptive optimization of terms, interventions and routing with explicit exploration, fairness, harm and loss budgets.</w:t>
      </w:r>
    </w:p>
    <w:p>
      <w:pPr>
        <w:pStyle w:val="ListBullet"/>
        <w:spacing w:after="32"/>
      </w:pPr>
      <w:r>
        <w:rPr>
          <w:rFonts w:ascii="Noto Sans" w:hAnsi="Noto Sans"/>
        </w:rPr>
        <w:t>L5 — Privacy-preserving network intelligence across Humans, Agents, Providers, lenders, rails and markets; no autonomous protocol rewrite.</w:t>
      </w:r>
    </w:p>
    <w:p>
      <w:pPr>
        <w:pStyle w:val="Heading2"/>
        <w:keepNext/>
      </w:pPr>
      <w:r>
        <w:rPr>
          <w:rFonts w:ascii="Noto Sans" w:hAnsi="Noto Sans"/>
        </w:rPr>
        <w:t>22. Strategic Non-Goals</w:t>
      </w:r>
    </w:p>
    <w:p>
      <w:pPr>
        <w:pStyle w:val="ListBullet"/>
        <w:spacing w:after="32"/>
      </w:pPr>
      <w:r>
        <w:rPr>
          <w:rFonts w:ascii="Noto Sans" w:hAnsi="Noto Sans"/>
        </w:rPr>
        <w:t>IPO.ONE is not required to become the balance-sheet lender or raise a public liquidity pool before asset quality exists.</w:t>
      </w:r>
    </w:p>
    <w:p>
      <w:pPr>
        <w:pStyle w:val="ListBullet"/>
        <w:spacing w:after="32"/>
      </w:pPr>
      <w:r>
        <w:rPr>
          <w:rFonts w:ascii="Noto Sans" w:hAnsi="Noto Sans"/>
        </w:rPr>
        <w:t>IPO.ONE is not a global consumer cash-loan app launching in many jurisdictions at once.</w:t>
      </w:r>
    </w:p>
    <w:p>
      <w:pPr>
        <w:pStyle w:val="ListBullet"/>
        <w:spacing w:after="32"/>
      </w:pPr>
      <w:r>
        <w:rPr>
          <w:rFonts w:ascii="Noto Sans" w:hAnsi="Noto Sans"/>
        </w:rPr>
        <w:t>IPO.ONE is not a KYC company; it federates qualified verification and preserves provenance.</w:t>
      </w:r>
    </w:p>
    <w:p>
      <w:pPr>
        <w:pStyle w:val="ListBullet"/>
        <w:spacing w:after="32"/>
      </w:pPr>
      <w:r>
        <w:rPr>
          <w:rFonts w:ascii="Noto Sans" w:hAnsi="Noto Sans"/>
        </w:rPr>
        <w:t>IPO.ONE is not an opaque universal score that ignores product, purpose, affordability or jurisdiction.</w:t>
      </w:r>
    </w:p>
    <w:p>
      <w:pPr>
        <w:pStyle w:val="ListBullet"/>
        <w:spacing w:after="32"/>
      </w:pPr>
      <w:r>
        <w:rPr>
          <w:rFonts w:ascii="Noto Sans" w:hAnsi="Noto Sans"/>
        </w:rPr>
        <w:t>IPO.ONE is not a payment-rail or blockchain replacement; traditional and on-chain environments are first-class adapter categories.</w:t>
      </w:r>
    </w:p>
    <w:p>
      <w:pPr>
        <w:pStyle w:val="ListBullet"/>
        <w:spacing w:after="32"/>
      </w:pPr>
      <w:r>
        <w:rPr>
          <w:rFonts w:ascii="Noto Sans" w:hAnsi="Noto Sans"/>
        </w:rPr>
        <w:t>IPO.ONE is not an unrestricted Agent cash wallet; early Agent credit is sponsor-linked and purpose-bound.</w:t>
      </w:r>
    </w:p>
    <w:p>
      <w:pPr>
        <w:pStyle w:val="ListBullet"/>
        <w:spacing w:after="32"/>
      </w:pPr>
      <w:r>
        <w:rPr>
          <w:rFonts w:ascii="Noto Sans" w:hAnsi="Noto Sans"/>
        </w:rPr>
        <w:t>IPO.ONE does not sell raw personal data or require a speculative token to manufacture activity before PMF.</w:t>
      </w:r>
    </w:p>
    <w:p>
      <w:pPr>
        <w:pStyle w:val="ListBullet"/>
        <w:spacing w:after="32"/>
      </w:pPr>
      <w:r>
        <w:rPr>
          <w:rFonts w:ascii="Noto Sans" w:hAnsi="Noto Sans"/>
        </w:rPr>
        <w:t>IPO.ONE does not allow Credit Intelligence models, Agent protocols or rail adapters to rewrite credit rules, move funds without authorization, optimize for harmful over-borrowing or expand exposure outside approved policy.</w:t>
      </w:r>
    </w:p>
    <w:p>
      <w:pPr>
        <w:pStyle w:val="Heading1"/>
        <w:keepNext/>
      </w:pPr>
      <w:r>
        <w:rPr>
          <w:rFonts w:ascii="Noto Sans" w:hAnsi="Noto Sans"/>
        </w:rPr>
        <w:t>Conclusion</w:t>
      </w:r>
    </w:p>
    <w:p>
      <w:r>
        <w:rPr>
          <w:rFonts w:ascii="Noto Sans" w:hAnsi="Noto Sans"/>
        </w:rPr>
        <w:t>The next credit system cannot be designed only for the institutional workflows of the past or only for autonomous software at the edge. Humans and Agents will increasingly share markets, services, capital and settlement environments. They need one native credit and obligation protocol that recognizes both as first-class Subjects while preserving the legal, identity and risk distinctions that matter.</w:t>
      </w:r>
    </w:p>
    <w:p>
      <w:r>
        <w:rPr>
          <w:rFonts w:ascii="Noto Sans" w:hAnsi="Noto Sans"/>
        </w:rPr>
        <w:t>IPO.ONE provides that common layer without requiring one balance sheet, one application, one chain or one rail. Single Kernel, Dual Entry keeps the architecture coherent. External KYC/KYB and regulated lenders preserve role accountability. Multi-Rail Adapters connect traditional and on-chain environments. Canonical Obligations and Credit Passports make performance portable.</w:t>
      </w:r>
    </w:p>
    <w:p>
      <w:r>
        <w:rPr>
          <w:rFonts w:ascii="Noto Sans" w:hAnsi="Noto Sans"/>
        </w:rPr>
        <w:t>The Credit Intelligence Network makes the system evolutionary rather than static. Verified human and Agent behavior continuously improves risk assessment, conditions, capacity, pricing, interventions and capital routing. Yet the boundary remains explicit: intelligence may learn and propose; lenders and governance approve; only the deterministic kernel executes.</w:t>
      </w:r>
    </w:p>
    <w:p>
      <w:r>
        <w:rPr>
          <w:rFonts w:ascii="Noto Sans" w:hAnsi="Noto Sans"/>
        </w:rPr>
        <w:t>IPO.ONE’s long-term role is therefore larger than a lending interface and more disciplined than an autonomous lender. It is the rail-agnostic, continuously improving credit and obligation protocol layer on which an inclusive human–Agent economy can build durable trust, competitive capital access and accountable economic autonomy.</w:t>
      </w:r>
    </w:p>
    <w:tbl>
      <w:tblPr>
        <w:tblW w:type="auto" w:w="0"/>
        <w:jc w:val="center"/>
        <w:tblLayout w:type="autofit"/>
        <w:tblLook w:firstColumn="1" w:firstRow="1" w:lastColumn="0" w:lastRow="0" w:noHBand="0" w:noVBand="1" w:val="04A0"/>
      </w:tblPr>
      <w:tblGrid>
        <w:gridCol w:w="9835"/>
      </w:tblGrid>
      <w:tr>
        <w:tc>
          <w:tcPr>
            <w:tcW w:type="dxa" w:w="9835"/>
            <w:shd w:fill="EAF0FF"/>
            <w:tcMar>
              <w:top w:w="110" w:type="dxa"/>
              <w:start w:w="140" w:type="dxa"/>
              <w:bottom w:w="110" w:type="dxa"/>
              <w:end w:w="140" w:type="dxa"/>
            </w:tcMar>
            <w:tcBorders>
              <w:top w:val="single" w:sz="8" w:color="2F6BFF"/>
              <w:left w:val="single" w:sz="8" w:color="2F6BFF"/>
              <w:bottom w:val="single" w:sz="8" w:color="2F6BFF"/>
              <w:right w:val="single" w:sz="8" w:color="2F6BFF"/>
            </w:tcBorders>
          </w:tcPr>
          <w:p>
            <w:pPr>
              <w:spacing w:after="40"/>
            </w:pPr>
            <w:r>
              <w:rPr>
                <w:rFonts w:ascii="Noto Sans" w:hAnsi="Noto Sans"/>
                <w:b/>
                <w:color w:val="2F6BFF"/>
                <w:sz w:val="16"/>
              </w:rPr>
              <w:t>END STATE</w:t>
            </w:r>
          </w:p>
          <w:p>
            <w:pPr>
              <w:spacing w:after="0"/>
            </w:pPr>
            <w:r>
              <w:rPr>
                <w:rFonts w:ascii="Noto Sans" w:hAnsi="Noto Sans"/>
                <w:b/>
                <w:color w:val="0B1F33"/>
                <w:sz w:val="18"/>
              </w:rPr>
              <w:t>A trustworthy human or Agent can establish identity and responsibility, connect permitted evidence, receive an explainable and appropriately priced credit decision, transact through any approved traditional or on-chain rail, improve through verified behavior, and carry the resulting credit history across applications, lenders and economic environments.</w:t>
            </w:r>
          </w:p>
        </w:tc>
        <w:trPr>
          <w:tblHeader/>
        </w:trPr>
      </w:tr>
    </w:tbl>
    <w:p>
      <w:pPr>
        <w:spacing w:after="0"/>
      </w:pPr>
    </w:p>
    <w:p>
      <w:pPr>
        <w:pStyle w:val="Heading1"/>
        <w:keepNext/>
      </w:pPr>
      <w:r>
        <w:rPr>
          <w:rFonts w:ascii="Noto Sans" w:hAnsi="Noto Sans"/>
        </w:rPr>
        <w:t>Appendix A — Canonical Objects</w:t>
      </w:r>
    </w:p>
    <w:tbl>
      <w:tblPr>
        <w:tblStyle w:val="TableGrid"/>
        <w:tblW w:type="auto" w:w="0"/>
        <w:jc w:val="center"/>
        <w:tblLayout w:type="autofit"/>
        <w:tblLook w:firstColumn="1" w:firstRow="1" w:lastColumn="0" w:lastRow="0" w:noHBand="0" w:noVBand="1" w:val="04A0"/>
      </w:tblPr>
      <w:tblGrid>
        <w:gridCol w:w="4917"/>
        <w:gridCol w:w="4917"/>
      </w:tblGrid>
      <w:tr>
        <w:trPr>
          <w:tblHeader w:val="true"/>
          <w:cantSplit/>
        </w:trPr>
        <w:tc>
          <w:tcPr>
            <w:tcW w:type="dxa" w:w="4917"/>
            <w:shd w:fill="0B1F33"/>
            <w:tcMar>
              <w:top w:w="70" w:type="dxa"/>
              <w:start w:w="85" w:type="dxa"/>
              <w:bottom w:w="70" w:type="dxa"/>
              <w:end w:w="85" w:type="dxa"/>
            </w:tcMar>
            <w:vAlign w:val="center"/>
          </w:tcPr>
          <w:p>
            <w:pPr>
              <w:spacing w:after="0"/>
            </w:pPr>
            <w:r/>
            <w:r>
              <w:rPr>
                <w:rFonts w:ascii="Noto Sans" w:hAnsi="Noto Sans"/>
                <w:b/>
                <w:color w:val="FFFFFF"/>
                <w:sz w:val="16"/>
              </w:rPr>
              <w:t>Object</w:t>
            </w:r>
          </w:p>
        </w:tc>
        <w:tc>
          <w:tcPr>
            <w:tcW w:type="dxa" w:w="4917"/>
            <w:shd w:fill="0B1F33"/>
            <w:tcMar>
              <w:top w:w="70" w:type="dxa"/>
              <w:start w:w="85" w:type="dxa"/>
              <w:bottom w:w="70" w:type="dxa"/>
              <w:end w:w="85" w:type="dxa"/>
            </w:tcMar>
            <w:vAlign w:val="center"/>
          </w:tcPr>
          <w:p>
            <w:pPr>
              <w:spacing w:after="0"/>
            </w:pPr>
            <w:r/>
            <w:r>
              <w:rPr>
                <w:rFonts w:ascii="Noto Sans" w:hAnsi="Noto Sans"/>
                <w:b/>
                <w:color w:val="FFFFFF"/>
                <w:sz w:val="16"/>
              </w:rPr>
              <w:t>Definition</w:t>
            </w:r>
          </w:p>
        </w:tc>
      </w:tr>
      <w:tr>
        <w:trPr>
          <w:cantSplit/>
        </w:trPr>
        <w:tc>
          <w:tcPr>
            <w:tcW w:type="dxa" w:w="4917"/>
            <w:tcMar>
              <w:top w:w="70" w:type="dxa"/>
              <w:start w:w="85" w:type="dxa"/>
              <w:bottom w:w="70" w:type="dxa"/>
              <w:end w:w="85" w:type="dxa"/>
            </w:tcMar>
            <w:vAlign w:val="top"/>
          </w:tcPr>
          <w:p>
            <w:pPr>
              <w:spacing w:after="0"/>
            </w:pPr>
            <w:r/>
            <w:r>
              <w:rPr>
                <w:rFonts w:ascii="Noto Sans" w:hAnsi="Noto Sans"/>
                <w:color w:val="18212B"/>
                <w:sz w:val="16"/>
              </w:rPr>
              <w:t>Subject</w:t>
            </w:r>
          </w:p>
        </w:tc>
        <w:tc>
          <w:tcPr>
            <w:tcW w:type="dxa" w:w="4917"/>
            <w:tcMar>
              <w:top w:w="70" w:type="dxa"/>
              <w:start w:w="85" w:type="dxa"/>
              <w:bottom w:w="70" w:type="dxa"/>
              <w:end w:w="85" w:type="dxa"/>
            </w:tcMar>
            <w:vAlign w:val="top"/>
          </w:tcPr>
          <w:p>
            <w:pPr>
              <w:spacing w:after="0"/>
            </w:pPr>
            <w:r/>
            <w:r>
              <w:rPr>
                <w:rFonts w:ascii="Noto Sans" w:hAnsi="Noto Sans"/>
                <w:color w:val="18212B"/>
                <w:sz w:val="16"/>
              </w:rPr>
              <w:t>Human, Organization, Agent or Machine whose credit activity is represented.</w:t>
            </w:r>
          </w:p>
        </w:tc>
      </w:tr>
      <w:tr>
        <w:trPr>
          <w:cantSplit/>
        </w:trPr>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PrincipalRelationship</w:t>
            </w:r>
          </w:p>
        </w:tc>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Link to the person or entity granting authority or bearing legal/economic responsibility.</w:t>
            </w:r>
          </w:p>
        </w:tc>
      </w:tr>
      <w:tr>
        <w:trPr>
          <w:cantSplit/>
        </w:trPr>
        <w:tc>
          <w:tcPr>
            <w:tcW w:type="dxa" w:w="4917"/>
            <w:tcMar>
              <w:top w:w="70" w:type="dxa"/>
              <w:start w:w="85" w:type="dxa"/>
              <w:bottom w:w="70" w:type="dxa"/>
              <w:end w:w="85" w:type="dxa"/>
            </w:tcMar>
            <w:vAlign w:val="top"/>
          </w:tcPr>
          <w:p>
            <w:pPr>
              <w:spacing w:after="0"/>
            </w:pPr>
            <w:r/>
            <w:r>
              <w:rPr>
                <w:rFonts w:ascii="Noto Sans" w:hAnsi="Noto Sans"/>
                <w:color w:val="18212B"/>
                <w:sz w:val="16"/>
              </w:rPr>
              <w:t>ConsentGrant</w:t>
            </w:r>
          </w:p>
        </w:tc>
        <w:tc>
          <w:tcPr>
            <w:tcW w:type="dxa" w:w="4917"/>
            <w:tcMar>
              <w:top w:w="70" w:type="dxa"/>
              <w:start w:w="85" w:type="dxa"/>
              <w:bottom w:w="70" w:type="dxa"/>
              <w:end w:w="85" w:type="dxa"/>
            </w:tcMar>
            <w:vAlign w:val="top"/>
          </w:tcPr>
          <w:p>
            <w:pPr>
              <w:spacing w:after="0"/>
            </w:pPr>
            <w:r/>
            <w:r>
              <w:rPr>
                <w:rFonts w:ascii="Noto Sans" w:hAnsi="Noto Sans"/>
                <w:color w:val="18212B"/>
                <w:sz w:val="16"/>
              </w:rPr>
              <w:t>Purpose, data scope, recipient, duration, training permission, revocation and audit state.</w:t>
            </w:r>
          </w:p>
        </w:tc>
      </w:tr>
      <w:tr>
        <w:trPr>
          <w:cantSplit/>
        </w:trPr>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VerificationAttestation</w:t>
            </w:r>
          </w:p>
        </w:tc>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Externally issued KYC/KYB, account-control or evidence result with assurance, provenance, expiry and revocation.</w:t>
            </w:r>
          </w:p>
        </w:tc>
      </w:tr>
      <w:tr>
        <w:trPr>
          <w:cantSplit/>
        </w:trPr>
        <w:tc>
          <w:tcPr>
            <w:tcW w:type="dxa" w:w="4917"/>
            <w:tcMar>
              <w:top w:w="70" w:type="dxa"/>
              <w:start w:w="85" w:type="dxa"/>
              <w:bottom w:w="70" w:type="dxa"/>
              <w:end w:w="85" w:type="dxa"/>
            </w:tcMar>
            <w:vAlign w:val="top"/>
          </w:tcPr>
          <w:p>
            <w:pPr>
              <w:spacing w:after="0"/>
            </w:pPr>
            <w:r/>
            <w:r>
              <w:rPr>
                <w:rFonts w:ascii="Noto Sans" w:hAnsi="Noto Sans"/>
                <w:color w:val="18212B"/>
                <w:sz w:val="16"/>
              </w:rPr>
              <w:t>CreditIntent</w:t>
            </w:r>
          </w:p>
        </w:tc>
        <w:tc>
          <w:tcPr>
            <w:tcW w:type="dxa" w:w="4917"/>
            <w:tcMar>
              <w:top w:w="70" w:type="dxa"/>
              <w:start w:w="85" w:type="dxa"/>
              <w:bottom w:w="70" w:type="dxa"/>
              <w:end w:w="85" w:type="dxa"/>
            </w:tcMar>
            <w:vAlign w:val="top"/>
          </w:tcPr>
          <w:p>
            <w:pPr>
              <w:spacing w:after="0"/>
            </w:pPr>
            <w:r/>
            <w:r>
              <w:rPr>
                <w:rFonts w:ascii="Noto Sans" w:hAnsi="Noto Sans"/>
                <w:color w:val="18212B"/>
                <w:sz w:val="16"/>
              </w:rPr>
              <w:t>Subject-neutral request for amount, purpose, tenor, restrictions, repayment source and permitted execution environments.</w:t>
            </w:r>
          </w:p>
        </w:tc>
      </w:tr>
      <w:tr>
        <w:trPr>
          <w:cantSplit/>
        </w:trPr>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ExecutionPlan</w:t>
            </w:r>
          </w:p>
        </w:tc>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Optional bounded task, purchase or resource plan linked to a complex or restricted-use Intent.</w:t>
            </w:r>
          </w:p>
        </w:tc>
      </w:tr>
      <w:tr>
        <w:trPr>
          <w:cantSplit/>
        </w:trPr>
        <w:tc>
          <w:tcPr>
            <w:tcW w:type="dxa" w:w="4917"/>
            <w:tcMar>
              <w:top w:w="70" w:type="dxa"/>
              <w:start w:w="85" w:type="dxa"/>
              <w:bottom w:w="70" w:type="dxa"/>
              <w:end w:w="85" w:type="dxa"/>
            </w:tcMar>
            <w:vAlign w:val="top"/>
          </w:tcPr>
          <w:p>
            <w:pPr>
              <w:spacing w:after="0"/>
            </w:pPr>
            <w:r/>
            <w:r>
              <w:rPr>
                <w:rFonts w:ascii="Noto Sans" w:hAnsi="Noto Sans"/>
                <w:color w:val="18212B"/>
                <w:sz w:val="16"/>
              </w:rPr>
              <w:t>CreditProfile</w:t>
            </w:r>
          </w:p>
        </w:tc>
        <w:tc>
          <w:tcPr>
            <w:tcW w:type="dxa" w:w="4917"/>
            <w:tcMar>
              <w:top w:w="70" w:type="dxa"/>
              <w:start w:w="85" w:type="dxa"/>
              <w:bottom w:w="70" w:type="dxa"/>
              <w:end w:w="85" w:type="dxa"/>
            </w:tcMar>
            <w:vAlign w:val="top"/>
          </w:tcPr>
          <w:p>
            <w:pPr>
              <w:spacing w:after="0"/>
            </w:pPr>
            <w:r/>
            <w:r>
              <w:rPr>
                <w:rFonts w:ascii="Noto Sans" w:hAnsi="Noto Sans"/>
                <w:color w:val="18212B"/>
                <w:sz w:val="16"/>
              </w:rPr>
              <w:t>Multidimensional risk, affordability, fraud, stability, evidence confidence and reason factors.</w:t>
            </w:r>
          </w:p>
        </w:tc>
      </w:tr>
      <w:tr>
        <w:trPr>
          <w:cantSplit/>
        </w:trPr>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CreditLine</w:t>
            </w:r>
          </w:p>
        </w:tc>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Bounded capacity under a specific lender, policy, product and responsible party.</w:t>
            </w:r>
          </w:p>
        </w:tc>
      </w:tr>
      <w:tr>
        <w:trPr>
          <w:cantSplit/>
        </w:trPr>
        <w:tc>
          <w:tcPr>
            <w:tcW w:type="dxa" w:w="4917"/>
            <w:tcMar>
              <w:top w:w="70" w:type="dxa"/>
              <w:start w:w="85" w:type="dxa"/>
              <w:bottom w:w="70" w:type="dxa"/>
              <w:end w:w="85" w:type="dxa"/>
            </w:tcMar>
            <w:vAlign w:val="top"/>
          </w:tcPr>
          <w:p>
            <w:pPr>
              <w:spacing w:after="0"/>
            </w:pPr>
            <w:r/>
            <w:r>
              <w:rPr>
                <w:rFonts w:ascii="Noto Sans" w:hAnsi="Noto Sans"/>
                <w:color w:val="18212B"/>
                <w:sz w:val="16"/>
              </w:rPr>
              <w:t>LenderPolicy / CapitalMandate</w:t>
            </w:r>
          </w:p>
        </w:tc>
        <w:tc>
          <w:tcPr>
            <w:tcW w:type="dxa" w:w="4917"/>
            <w:tcMar>
              <w:top w:w="70" w:type="dxa"/>
              <w:start w:w="85" w:type="dxa"/>
              <w:bottom w:w="70" w:type="dxa"/>
              <w:end w:w="85" w:type="dxa"/>
            </w:tcMar>
            <w:vAlign w:val="top"/>
          </w:tcPr>
          <w:p>
            <w:pPr>
              <w:spacing w:after="0"/>
            </w:pPr>
            <w:r/>
            <w:r>
              <w:rPr>
                <w:rFonts w:ascii="Noto Sans" w:hAnsi="Noto Sans"/>
                <w:color w:val="18212B"/>
                <w:sz w:val="16"/>
              </w:rPr>
              <w:t>Machine-readable eligibility, pricing, verification, concentration, capital, rail, finality and servicing rules.</w:t>
            </w:r>
          </w:p>
        </w:tc>
      </w:tr>
      <w:tr>
        <w:trPr>
          <w:cantSplit/>
        </w:trPr>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CreditOffer</w:t>
            </w:r>
          </w:p>
        </w:tc>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Terms issued by an identified lender, including total cost, conditions, permitted rails and expiry.</w:t>
            </w:r>
          </w:p>
        </w:tc>
      </w:tr>
      <w:tr>
        <w:trPr>
          <w:cantSplit/>
        </w:trPr>
        <w:tc>
          <w:tcPr>
            <w:tcW w:type="dxa" w:w="4917"/>
            <w:tcMar>
              <w:top w:w="70" w:type="dxa"/>
              <w:start w:w="85" w:type="dxa"/>
              <w:bottom w:w="70" w:type="dxa"/>
              <w:end w:w="85" w:type="dxa"/>
            </w:tcMar>
            <w:vAlign w:val="top"/>
          </w:tcPr>
          <w:p>
            <w:pPr>
              <w:spacing w:after="0"/>
            </w:pPr>
            <w:r/>
            <w:r>
              <w:rPr>
                <w:rFonts w:ascii="Noto Sans" w:hAnsi="Noto Sans"/>
                <w:color w:val="18212B"/>
                <w:sz w:val="16"/>
              </w:rPr>
              <w:t>Authorization</w:t>
            </w:r>
          </w:p>
        </w:tc>
        <w:tc>
          <w:tcPr>
            <w:tcW w:type="dxa" w:w="4917"/>
            <w:tcMar>
              <w:top w:w="70" w:type="dxa"/>
              <w:start w:w="85" w:type="dxa"/>
              <w:bottom w:w="70" w:type="dxa"/>
              <w:end w:w="85" w:type="dxa"/>
            </w:tcMar>
            <w:vAlign w:val="top"/>
          </w:tcPr>
          <w:p>
            <w:pPr>
              <w:spacing w:after="0"/>
            </w:pPr>
            <w:r/>
            <w:r>
              <w:rPr>
                <w:rFonts w:ascii="Noto Sans" w:hAnsi="Noto Sans"/>
                <w:color w:val="18212B"/>
                <w:sz w:val="16"/>
              </w:rPr>
              <w:t>Context-bound permission to draw, spend or settle under an accepted offer and policy.</w:t>
            </w:r>
          </w:p>
        </w:tc>
      </w:tr>
      <w:tr>
        <w:trPr>
          <w:cantSplit/>
        </w:trPr>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Obligation</w:t>
            </w:r>
          </w:p>
        </w:tc>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Canonical future commitment with amount, terms, lender, obligor, state and rail-neutral settlement route.</w:t>
            </w:r>
          </w:p>
        </w:tc>
      </w:tr>
      <w:tr>
        <w:trPr>
          <w:cantSplit/>
        </w:trPr>
        <w:tc>
          <w:tcPr>
            <w:tcW w:type="dxa" w:w="4917"/>
            <w:tcMar>
              <w:top w:w="70" w:type="dxa"/>
              <w:start w:w="85" w:type="dxa"/>
              <w:bottom w:w="70" w:type="dxa"/>
              <w:end w:w="85" w:type="dxa"/>
            </w:tcMar>
            <w:vAlign w:val="top"/>
          </w:tcPr>
          <w:p>
            <w:pPr>
              <w:spacing w:after="0"/>
            </w:pPr>
            <w:r/>
            <w:r>
              <w:rPr>
                <w:rFonts w:ascii="Noto Sans" w:hAnsi="Noto Sans"/>
                <w:color w:val="18212B"/>
                <w:sz w:val="16"/>
              </w:rPr>
              <w:t>SettlementInstruction</w:t>
            </w:r>
          </w:p>
        </w:tc>
        <w:tc>
          <w:tcPr>
            <w:tcW w:type="dxa" w:w="4917"/>
            <w:tcMar>
              <w:top w:w="70" w:type="dxa"/>
              <w:start w:w="85" w:type="dxa"/>
              <w:bottom w:w="70" w:type="dxa"/>
              <w:end w:w="85" w:type="dxa"/>
            </w:tcMar>
            <w:vAlign w:val="top"/>
          </w:tcPr>
          <w:p>
            <w:pPr>
              <w:spacing w:after="0"/>
            </w:pPr>
            <w:r/>
            <w:r>
              <w:rPr>
                <w:rFonts w:ascii="Noto Sans" w:hAnsi="Noto Sans"/>
                <w:color w:val="18212B"/>
                <w:sz w:val="16"/>
              </w:rPr>
              <w:t>Rail-neutral command specifying amount, destination, purpose, adapter profile and idempotency key.</w:t>
            </w:r>
          </w:p>
        </w:tc>
      </w:tr>
      <w:tr>
        <w:trPr>
          <w:cantSplit/>
        </w:trPr>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RailReceipt</w:t>
            </w:r>
          </w:p>
        </w:tc>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Authenticated external status or transaction record normalized by a Multi-Rail Adapter.</w:t>
            </w:r>
          </w:p>
        </w:tc>
      </w:tr>
      <w:tr>
        <w:trPr>
          <w:cantSplit/>
        </w:trPr>
        <w:tc>
          <w:tcPr>
            <w:tcW w:type="dxa" w:w="4917"/>
            <w:tcMar>
              <w:top w:w="70" w:type="dxa"/>
              <w:start w:w="85" w:type="dxa"/>
              <w:bottom w:w="70" w:type="dxa"/>
              <w:end w:w="85" w:type="dxa"/>
            </w:tcMar>
            <w:vAlign w:val="top"/>
          </w:tcPr>
          <w:p>
            <w:pPr>
              <w:spacing w:after="0"/>
            </w:pPr>
            <w:r/>
            <w:r>
              <w:rPr>
                <w:rFonts w:ascii="Noto Sans" w:hAnsi="Noto Sans"/>
                <w:color w:val="18212B"/>
                <w:sz w:val="16"/>
              </w:rPr>
              <w:t>FinalityProof</w:t>
            </w:r>
          </w:p>
        </w:tc>
        <w:tc>
          <w:tcPr>
            <w:tcW w:type="dxa" w:w="4917"/>
            <w:tcMar>
              <w:top w:w="70" w:type="dxa"/>
              <w:start w:w="85" w:type="dxa"/>
              <w:bottom w:w="70" w:type="dxa"/>
              <w:end w:w="85" w:type="dxa"/>
            </w:tcMar>
            <w:vAlign w:val="top"/>
          </w:tcPr>
          <w:p>
            <w:pPr>
              <w:spacing w:after="0"/>
            </w:pPr>
            <w:r/>
            <w:r>
              <w:rPr>
                <w:rFonts w:ascii="Noto Sans" w:hAnsi="Noto Sans"/>
                <w:color w:val="18212B"/>
                <w:sz w:val="16"/>
              </w:rPr>
              <w:t>Evidence that the rail-specific technical finality policy has been satisfied.</w:t>
            </w:r>
          </w:p>
        </w:tc>
      </w:tr>
      <w:tr>
        <w:trPr>
          <w:cantSplit/>
        </w:trPr>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RepaymentEvent</w:t>
            </w:r>
          </w:p>
        </w:tc>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Reconciled value, cure, recovery, refund, reversal, correction or write-off applied to an Obligation.</w:t>
            </w:r>
          </w:p>
        </w:tc>
      </w:tr>
      <w:tr>
        <w:trPr>
          <w:cantSplit/>
        </w:trPr>
        <w:tc>
          <w:tcPr>
            <w:tcW w:type="dxa" w:w="4917"/>
            <w:tcMar>
              <w:top w:w="70" w:type="dxa"/>
              <w:start w:w="85" w:type="dxa"/>
              <w:bottom w:w="70" w:type="dxa"/>
              <w:end w:w="85" w:type="dxa"/>
            </w:tcMar>
            <w:vAlign w:val="top"/>
          </w:tcPr>
          <w:p>
            <w:pPr>
              <w:spacing w:after="0"/>
            </w:pPr>
            <w:r/>
            <w:r>
              <w:rPr>
                <w:rFonts w:ascii="Noto Sans" w:hAnsi="Noto Sans"/>
                <w:color w:val="18212B"/>
                <w:sz w:val="16"/>
              </w:rPr>
              <w:t>CreditState</w:t>
            </w:r>
          </w:p>
        </w:tc>
        <w:tc>
          <w:tcPr>
            <w:tcW w:type="dxa" w:w="4917"/>
            <w:tcMar>
              <w:top w:w="70" w:type="dxa"/>
              <w:start w:w="85" w:type="dxa"/>
              <w:bottom w:w="70" w:type="dxa"/>
              <w:end w:w="85" w:type="dxa"/>
            </w:tcMar>
            <w:vAlign w:val="top"/>
          </w:tcPr>
          <w:p>
            <w:pPr>
              <w:spacing w:after="0"/>
            </w:pPr>
            <w:r/>
            <w:r>
              <w:rPr>
                <w:rFonts w:ascii="Noto Sans" w:hAnsi="Noto Sans"/>
                <w:color w:val="18212B"/>
                <w:sz w:val="16"/>
              </w:rPr>
              <w:t>Recomputable current exposure, settlement, DPD, performance, score and progress tier.</w:t>
            </w:r>
          </w:p>
        </w:tc>
      </w:tr>
      <w:tr>
        <w:trPr>
          <w:cantSplit/>
        </w:trPr>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PerformanceProof</w:t>
            </w:r>
          </w:p>
        </w:tc>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Purpose-limited, selectively disclosed evidence of verified behavior.</w:t>
            </w:r>
          </w:p>
        </w:tc>
      </w:tr>
      <w:tr>
        <w:trPr>
          <w:cantSplit/>
        </w:trPr>
        <w:tc>
          <w:tcPr>
            <w:tcW w:type="dxa" w:w="4917"/>
            <w:tcMar>
              <w:top w:w="70" w:type="dxa"/>
              <w:start w:w="85" w:type="dxa"/>
              <w:bottom w:w="70" w:type="dxa"/>
              <w:end w:w="85" w:type="dxa"/>
            </w:tcMar>
            <w:vAlign w:val="top"/>
          </w:tcPr>
          <w:p>
            <w:pPr>
              <w:spacing w:after="0"/>
            </w:pPr>
            <w:r/>
            <w:r>
              <w:rPr>
                <w:rFonts w:ascii="Noto Sans" w:hAnsi="Noto Sans"/>
                <w:color w:val="18212B"/>
                <w:sz w:val="16"/>
              </w:rPr>
              <w:t>TokenizedCreditAsset</w:t>
            </w:r>
          </w:p>
        </w:tc>
        <w:tc>
          <w:tcPr>
            <w:tcW w:type="dxa" w:w="4917"/>
            <w:tcMar>
              <w:top w:w="70" w:type="dxa"/>
              <w:start w:w="85" w:type="dxa"/>
              <w:bottom w:w="70" w:type="dxa"/>
              <w:end w:w="85" w:type="dxa"/>
            </w:tcMar>
            <w:vAlign w:val="top"/>
          </w:tcPr>
          <w:p>
            <w:pPr>
              <w:spacing w:after="0"/>
            </w:pPr>
            <w:r/>
            <w:r>
              <w:rPr>
                <w:rFonts w:ascii="Noto Sans" w:hAnsi="Noto Sans"/>
                <w:color w:val="18212B"/>
                <w:sz w:val="16"/>
              </w:rPr>
              <w:t>Optional on-chain representation of an eligible legal or economic claim; never a duplicate source of that claim.</w:t>
            </w:r>
          </w:p>
        </w:tc>
      </w:tr>
      <w:tr>
        <w:trPr>
          <w:cantSplit/>
        </w:trPr>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OnchainCapitalFacility</w:t>
            </w:r>
          </w:p>
        </w:tc>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Capital mandate executed through an on-chain environment under defined legal, custody, investor and servicing controls.</w:t>
            </w:r>
          </w:p>
        </w:tc>
      </w:tr>
    </w:tbl>
    <w:p>
      <w:pPr>
        <w:spacing w:after="0"/>
      </w:pPr>
    </w:p>
    <w:p>
      <w:pPr>
        <w:pStyle w:val="Heading1"/>
        <w:keepNext/>
      </w:pPr>
      <w:r>
        <w:rPr>
          <w:rFonts w:ascii="Noto Sans" w:hAnsi="Noto Sans"/>
        </w:rPr>
        <w:t>Appendix B — Decision and Portfolio Formulae</w:t>
      </w:r>
    </w:p>
    <w:tbl>
      <w:tblPr>
        <w:tblStyle w:val="TableGrid"/>
        <w:tblW w:type="auto" w:w="0"/>
        <w:jc w:val="center"/>
        <w:tblLayout w:type="autofit"/>
        <w:tblLook w:firstColumn="1" w:firstRow="1" w:lastColumn="0" w:lastRow="0" w:noHBand="0" w:noVBand="1" w:val="04A0"/>
      </w:tblPr>
      <w:tblGrid>
        <w:gridCol w:w="3278"/>
        <w:gridCol w:w="3278"/>
        <w:gridCol w:w="3278"/>
      </w:tblGrid>
      <w:tr>
        <w:trPr>
          <w:tblHeader w:val="true"/>
          <w:cantSplit/>
        </w:trPr>
        <w:tc>
          <w:tcPr>
            <w:tcW w:type="dxa" w:w="3278"/>
            <w:shd w:fill="0B1F33"/>
            <w:tcMar>
              <w:top w:w="70" w:type="dxa"/>
              <w:start w:w="85" w:type="dxa"/>
              <w:bottom w:w="70" w:type="dxa"/>
              <w:end w:w="85" w:type="dxa"/>
            </w:tcMar>
            <w:vAlign w:val="center"/>
          </w:tcPr>
          <w:p>
            <w:pPr>
              <w:spacing w:after="0"/>
            </w:pPr>
            <w:r/>
            <w:r>
              <w:rPr>
                <w:rFonts w:ascii="Noto Sans" w:hAnsi="Noto Sans"/>
                <w:b/>
                <w:color w:val="FFFFFF"/>
                <w:sz w:val="16"/>
              </w:rPr>
              <w:t>Measure</w:t>
            </w:r>
          </w:p>
        </w:tc>
        <w:tc>
          <w:tcPr>
            <w:tcW w:type="dxa" w:w="3278"/>
            <w:shd w:fill="0B1F33"/>
            <w:tcMar>
              <w:top w:w="70" w:type="dxa"/>
              <w:start w:w="85" w:type="dxa"/>
              <w:bottom w:w="70" w:type="dxa"/>
              <w:end w:w="85" w:type="dxa"/>
            </w:tcMar>
            <w:vAlign w:val="center"/>
          </w:tcPr>
          <w:p>
            <w:pPr>
              <w:spacing w:after="0"/>
            </w:pPr>
            <w:r/>
            <w:r>
              <w:rPr>
                <w:rFonts w:ascii="Noto Sans" w:hAnsi="Noto Sans"/>
                <w:b/>
                <w:color w:val="FFFFFF"/>
                <w:sz w:val="16"/>
              </w:rPr>
              <w:t>Illustrative formulation</w:t>
            </w:r>
          </w:p>
        </w:tc>
        <w:tc>
          <w:tcPr>
            <w:tcW w:type="dxa" w:w="3278"/>
            <w:shd w:fill="0B1F33"/>
            <w:tcMar>
              <w:top w:w="70" w:type="dxa"/>
              <w:start w:w="85" w:type="dxa"/>
              <w:bottom w:w="70" w:type="dxa"/>
              <w:end w:w="85" w:type="dxa"/>
            </w:tcMar>
            <w:vAlign w:val="center"/>
          </w:tcPr>
          <w:p>
            <w:pPr>
              <w:spacing w:after="0"/>
            </w:pPr>
            <w:r/>
            <w:r>
              <w:rPr>
                <w:rFonts w:ascii="Noto Sans" w:hAnsi="Noto Sans"/>
                <w:b/>
                <w:color w:val="FFFFFF"/>
                <w:sz w:val="16"/>
              </w:rPr>
              <w:t>Use</w:t>
            </w:r>
          </w:p>
        </w:tc>
      </w:tr>
      <w:tr>
        <w:trPr>
          <w:cantSplit/>
        </w:trPr>
        <w:tc>
          <w:tcPr>
            <w:tcW w:type="dxa" w:w="3278"/>
            <w:tcMar>
              <w:top w:w="70" w:type="dxa"/>
              <w:start w:w="85" w:type="dxa"/>
              <w:bottom w:w="70" w:type="dxa"/>
              <w:end w:w="85" w:type="dxa"/>
            </w:tcMar>
            <w:vAlign w:val="top"/>
          </w:tcPr>
          <w:p>
            <w:pPr>
              <w:spacing w:after="0"/>
            </w:pPr>
            <w:r/>
            <w:r>
              <w:rPr>
                <w:rFonts w:ascii="Noto Sans" w:hAnsi="Noto Sans"/>
                <w:color w:val="18212B"/>
                <w:sz w:val="16"/>
              </w:rPr>
              <w:t>Expected Loss</w:t>
            </w:r>
          </w:p>
        </w:tc>
        <w:tc>
          <w:tcPr>
            <w:tcW w:type="dxa" w:w="3278"/>
            <w:tcMar>
              <w:top w:w="70" w:type="dxa"/>
              <w:start w:w="85" w:type="dxa"/>
              <w:bottom w:w="70" w:type="dxa"/>
              <w:end w:w="85" w:type="dxa"/>
            </w:tcMar>
            <w:vAlign w:val="top"/>
          </w:tcPr>
          <w:p>
            <w:pPr>
              <w:spacing w:after="0"/>
            </w:pPr>
            <w:r/>
            <w:r>
              <w:rPr>
                <w:rFonts w:ascii="Noto Sans" w:hAnsi="Noto Sans"/>
                <w:color w:val="18212B"/>
                <w:sz w:val="16"/>
              </w:rPr>
              <w:t>EL = PD × LGD × EAD</w:t>
            </w:r>
          </w:p>
        </w:tc>
        <w:tc>
          <w:tcPr>
            <w:tcW w:type="dxa" w:w="3278"/>
            <w:tcMar>
              <w:top w:w="70" w:type="dxa"/>
              <w:start w:w="85" w:type="dxa"/>
              <w:bottom w:w="70" w:type="dxa"/>
              <w:end w:w="85" w:type="dxa"/>
            </w:tcMar>
            <w:vAlign w:val="top"/>
          </w:tcPr>
          <w:p>
            <w:pPr>
              <w:spacing w:after="0"/>
            </w:pPr>
            <w:r/>
            <w:r>
              <w:rPr>
                <w:rFonts w:ascii="Noto Sans" w:hAnsi="Noto Sans"/>
                <w:color w:val="18212B"/>
                <w:sz w:val="16"/>
              </w:rPr>
              <w:t>Credit economics, reserve and policy calibration.</w:t>
            </w:r>
          </w:p>
        </w:tc>
      </w:tr>
      <w:tr>
        <w:trPr>
          <w:cantSplit/>
        </w:trPr>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Risk-adjusted contribution</w:t>
            </w:r>
          </w:p>
        </w:tc>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Fees + financing revenue − funding cost − EL − fraud − servicing − compliance − partner share</w:t>
            </w:r>
          </w:p>
        </w:tc>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Determines whether growth creates economic value.</w:t>
            </w:r>
          </w:p>
        </w:tc>
      </w:tr>
      <w:tr>
        <w:trPr>
          <w:cantSplit/>
        </w:trPr>
        <w:tc>
          <w:tcPr>
            <w:tcW w:type="dxa" w:w="3278"/>
            <w:tcMar>
              <w:top w:w="70" w:type="dxa"/>
              <w:start w:w="85" w:type="dxa"/>
              <w:bottom w:w="70" w:type="dxa"/>
              <w:end w:w="85" w:type="dxa"/>
            </w:tcMar>
            <w:vAlign w:val="top"/>
          </w:tcPr>
          <w:p>
            <w:pPr>
              <w:spacing w:after="0"/>
            </w:pPr>
            <w:r/>
            <w:r>
              <w:rPr>
                <w:rFonts w:ascii="Noto Sans" w:hAnsi="Noto Sans"/>
                <w:color w:val="18212B"/>
                <w:sz w:val="16"/>
              </w:rPr>
              <w:t>Recommended limit</w:t>
            </w:r>
          </w:p>
        </w:tc>
        <w:tc>
          <w:tcPr>
            <w:tcW w:type="dxa" w:w="3278"/>
            <w:tcMar>
              <w:top w:w="70" w:type="dxa"/>
              <w:start w:w="85" w:type="dxa"/>
              <w:bottom w:w="70" w:type="dxa"/>
              <w:end w:w="85" w:type="dxa"/>
            </w:tcMar>
            <w:vAlign w:val="top"/>
          </w:tcPr>
          <w:p>
            <w:pPr>
              <w:spacing w:after="0"/>
            </w:pPr>
            <w:r/>
            <w:r>
              <w:rPr>
                <w:rFonts w:ascii="Noto Sans" w:hAnsi="Noto Sans"/>
                <w:color w:val="18212B"/>
                <w:sz w:val="16"/>
              </w:rPr>
              <w:t>min(affordability, cash-flow, policy and facility caps) × confidence × stress haircut − exposure</w:t>
            </w:r>
          </w:p>
        </w:tc>
        <w:tc>
          <w:tcPr>
            <w:tcW w:type="dxa" w:w="3278"/>
            <w:tcMar>
              <w:top w:w="70" w:type="dxa"/>
              <w:start w:w="85" w:type="dxa"/>
              <w:bottom w:w="70" w:type="dxa"/>
              <w:end w:w="85" w:type="dxa"/>
            </w:tcMar>
            <w:vAlign w:val="top"/>
          </w:tcPr>
          <w:p>
            <w:pPr>
              <w:spacing w:after="0"/>
            </w:pPr>
            <w:r/>
            <w:r>
              <w:rPr>
                <w:rFonts w:ascii="Noto Sans" w:hAnsi="Noto Sans"/>
                <w:color w:val="18212B"/>
                <w:sz w:val="16"/>
              </w:rPr>
              <w:t>Prevents score-only overextension.</w:t>
            </w:r>
          </w:p>
        </w:tc>
      </w:tr>
      <w:tr>
        <w:trPr>
          <w:cantSplit/>
        </w:trPr>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Capital utilization</w:t>
            </w:r>
          </w:p>
        </w:tc>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Average funded exposure / committed facility capital</w:t>
            </w:r>
          </w:p>
        </w:tc>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Measures capital efficiency.</w:t>
            </w:r>
          </w:p>
        </w:tc>
      </w:tr>
      <w:tr>
        <w:trPr>
          <w:cantSplit/>
        </w:trPr>
        <w:tc>
          <w:tcPr>
            <w:tcW w:type="dxa" w:w="3278"/>
            <w:tcMar>
              <w:top w:w="70" w:type="dxa"/>
              <w:start w:w="85" w:type="dxa"/>
              <w:bottom w:w="70" w:type="dxa"/>
              <w:end w:w="85" w:type="dxa"/>
            </w:tcMar>
            <w:vAlign w:val="top"/>
          </w:tcPr>
          <w:p>
            <w:pPr>
              <w:spacing w:after="0"/>
            </w:pPr>
            <w:r/>
            <w:r>
              <w:rPr>
                <w:rFonts w:ascii="Noto Sans" w:hAnsi="Noto Sans"/>
                <w:color w:val="18212B"/>
                <w:sz w:val="16"/>
              </w:rPr>
              <w:t>Offer match rate</w:t>
            </w:r>
          </w:p>
        </w:tc>
        <w:tc>
          <w:tcPr>
            <w:tcW w:type="dxa" w:w="3278"/>
            <w:tcMar>
              <w:top w:w="70" w:type="dxa"/>
              <w:start w:w="85" w:type="dxa"/>
              <w:bottom w:w="70" w:type="dxa"/>
              <w:end w:w="85" w:type="dxa"/>
            </w:tcMar>
            <w:vAlign w:val="top"/>
          </w:tcPr>
          <w:p>
            <w:pPr>
              <w:spacing w:after="0"/>
            </w:pPr>
            <w:r/>
            <w:r>
              <w:rPr>
                <w:rFonts w:ascii="Noto Sans" w:hAnsi="Noto Sans"/>
                <w:color w:val="18212B"/>
                <w:sz w:val="16"/>
              </w:rPr>
              <w:t>Qualified requests receiving ≥1 compliant offer / qualified requests</w:t>
            </w:r>
          </w:p>
        </w:tc>
        <w:tc>
          <w:tcPr>
            <w:tcW w:type="dxa" w:w="3278"/>
            <w:tcMar>
              <w:top w:w="70" w:type="dxa"/>
              <w:start w:w="85" w:type="dxa"/>
              <w:bottom w:w="70" w:type="dxa"/>
              <w:end w:w="85" w:type="dxa"/>
            </w:tcMar>
            <w:vAlign w:val="top"/>
          </w:tcPr>
          <w:p>
            <w:pPr>
              <w:spacing w:after="0"/>
            </w:pPr>
            <w:r/>
            <w:r>
              <w:rPr>
                <w:rFonts w:ascii="Noto Sans" w:hAnsi="Noto Sans"/>
                <w:color w:val="18212B"/>
                <w:sz w:val="16"/>
              </w:rPr>
              <w:t>Measures lender-network liquidity.</w:t>
            </w:r>
          </w:p>
        </w:tc>
      </w:tr>
      <w:tr>
        <w:trPr>
          <w:cantSplit/>
        </w:trPr>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Progression rate</w:t>
            </w:r>
          </w:p>
        </w:tc>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Good payers receiving improved limit or price / eligible good payers</w:t>
            </w:r>
          </w:p>
        </w:tc>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Measures whether credit history creates inclusion.</w:t>
            </w:r>
          </w:p>
        </w:tc>
      </w:tr>
    </w:tbl>
    <w:p>
      <w:pPr>
        <w:spacing w:after="0"/>
      </w:pPr>
    </w:p>
    <w:p>
      <w:pPr>
        <w:pStyle w:val="Heading1"/>
        <w:keepNext/>
      </w:pPr>
      <w:r>
        <w:rPr>
          <w:rFonts w:ascii="Noto Sans" w:hAnsi="Noto Sans"/>
        </w:rPr>
        <w:t>Appendix C — Pilot Scorecard</w:t>
      </w:r>
    </w:p>
    <w:tbl>
      <w:tblPr>
        <w:tblStyle w:val="TableGrid"/>
        <w:tblW w:type="auto" w:w="0"/>
        <w:jc w:val="center"/>
        <w:tblLayout w:type="autofit"/>
        <w:tblLook w:firstColumn="1" w:firstRow="1" w:lastColumn="0" w:lastRow="0" w:noHBand="0" w:noVBand="1" w:val="04A0"/>
      </w:tblPr>
      <w:tblGrid>
        <w:gridCol w:w="3278"/>
        <w:gridCol w:w="3278"/>
        <w:gridCol w:w="3278"/>
      </w:tblGrid>
      <w:tr>
        <w:trPr>
          <w:tblHeader w:val="true"/>
          <w:cantSplit/>
        </w:trPr>
        <w:tc>
          <w:tcPr>
            <w:tcW w:type="dxa" w:w="3278"/>
            <w:shd w:fill="0B1F33"/>
            <w:tcMar>
              <w:top w:w="70" w:type="dxa"/>
              <w:start w:w="85" w:type="dxa"/>
              <w:bottom w:w="70" w:type="dxa"/>
              <w:end w:w="85" w:type="dxa"/>
            </w:tcMar>
            <w:vAlign w:val="center"/>
          </w:tcPr>
          <w:p>
            <w:pPr>
              <w:spacing w:after="0"/>
            </w:pPr>
            <w:r/>
            <w:r>
              <w:rPr>
                <w:rFonts w:ascii="Noto Sans" w:hAnsi="Noto Sans"/>
                <w:b/>
                <w:color w:val="FFFFFF"/>
                <w:sz w:val="16"/>
              </w:rPr>
              <w:t>Category</w:t>
            </w:r>
          </w:p>
        </w:tc>
        <w:tc>
          <w:tcPr>
            <w:tcW w:type="dxa" w:w="3278"/>
            <w:shd w:fill="0B1F33"/>
            <w:tcMar>
              <w:top w:w="70" w:type="dxa"/>
              <w:start w:w="85" w:type="dxa"/>
              <w:bottom w:w="70" w:type="dxa"/>
              <w:end w:w="85" w:type="dxa"/>
            </w:tcMar>
            <w:vAlign w:val="center"/>
          </w:tcPr>
          <w:p>
            <w:pPr>
              <w:spacing w:after="0"/>
            </w:pPr>
            <w:r/>
            <w:r>
              <w:rPr>
                <w:rFonts w:ascii="Noto Sans" w:hAnsi="Noto Sans"/>
                <w:b/>
                <w:color w:val="FFFFFF"/>
                <w:sz w:val="16"/>
              </w:rPr>
              <w:t>Human pilot</w:t>
            </w:r>
          </w:p>
        </w:tc>
        <w:tc>
          <w:tcPr>
            <w:tcW w:type="dxa" w:w="3278"/>
            <w:shd w:fill="0B1F33"/>
            <w:tcMar>
              <w:top w:w="70" w:type="dxa"/>
              <w:start w:w="85" w:type="dxa"/>
              <w:bottom w:w="70" w:type="dxa"/>
              <w:end w:w="85" w:type="dxa"/>
            </w:tcMar>
            <w:vAlign w:val="center"/>
          </w:tcPr>
          <w:p>
            <w:pPr>
              <w:spacing w:after="0"/>
            </w:pPr>
            <w:r/>
            <w:r>
              <w:rPr>
                <w:rFonts w:ascii="Noto Sans" w:hAnsi="Noto Sans"/>
                <w:b/>
                <w:color w:val="FFFFFF"/>
                <w:sz w:val="16"/>
              </w:rPr>
              <w:t>Agent pilot</w:t>
            </w:r>
          </w:p>
        </w:tc>
      </w:tr>
      <w:tr>
        <w:trPr>
          <w:cantSplit/>
        </w:trPr>
        <w:tc>
          <w:tcPr>
            <w:tcW w:type="dxa" w:w="3278"/>
            <w:tcMar>
              <w:top w:w="70" w:type="dxa"/>
              <w:start w:w="85" w:type="dxa"/>
              <w:bottom w:w="70" w:type="dxa"/>
              <w:end w:w="85" w:type="dxa"/>
            </w:tcMar>
            <w:vAlign w:val="top"/>
          </w:tcPr>
          <w:p>
            <w:pPr>
              <w:spacing w:after="0"/>
            </w:pPr>
            <w:r/>
            <w:r>
              <w:rPr>
                <w:rFonts w:ascii="Noto Sans" w:hAnsi="Noto Sans"/>
                <w:color w:val="18212B"/>
                <w:sz w:val="16"/>
              </w:rPr>
              <w:t>Distribution</w:t>
            </w:r>
          </w:p>
        </w:tc>
        <w:tc>
          <w:tcPr>
            <w:tcW w:type="dxa" w:w="3278"/>
            <w:tcMar>
              <w:top w:w="70" w:type="dxa"/>
              <w:start w:w="85" w:type="dxa"/>
              <w:bottom w:w="70" w:type="dxa"/>
              <w:end w:w="85" w:type="dxa"/>
            </w:tcMar>
            <w:vAlign w:val="top"/>
          </w:tcPr>
          <w:p>
            <w:pPr>
              <w:spacing w:after="0"/>
            </w:pPr>
            <w:r/>
            <w:r>
              <w:rPr>
                <w:rFonts w:ascii="Noto Sans" w:hAnsi="Noto Sans"/>
                <w:color w:val="18212B"/>
                <w:sz w:val="16"/>
              </w:rPr>
              <w:t>One platform or IPO.ONE App plus one embedded partner.</w:t>
            </w:r>
          </w:p>
        </w:tc>
        <w:tc>
          <w:tcPr>
            <w:tcW w:type="dxa" w:w="3278"/>
            <w:tcMar>
              <w:top w:w="70" w:type="dxa"/>
              <w:start w:w="85" w:type="dxa"/>
              <w:bottom w:w="70" w:type="dxa"/>
              <w:end w:w="85" w:type="dxa"/>
            </w:tcMar>
            <w:vAlign w:val="top"/>
          </w:tcPr>
          <w:p>
            <w:pPr>
              <w:spacing w:after="0"/>
            </w:pPr>
            <w:r/>
            <w:r>
              <w:rPr>
                <w:rFonts w:ascii="Noto Sans" w:hAnsi="Noto Sans"/>
                <w:color w:val="18212B"/>
                <w:sz w:val="16"/>
              </w:rPr>
              <w:t>Three or more digital-service Providers.</w:t>
            </w:r>
          </w:p>
        </w:tc>
      </w:tr>
      <w:tr>
        <w:trPr>
          <w:cantSplit/>
        </w:trPr>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Regulated / responsible party</w:t>
            </w:r>
          </w:p>
        </w:tc>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One licensed Originator and one or more capital mandates.</w:t>
            </w:r>
          </w:p>
        </w:tc>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Verified Operator / sponsor; Provider or commercial lender.</w:t>
            </w:r>
          </w:p>
        </w:tc>
      </w:tr>
      <w:tr>
        <w:trPr>
          <w:cantSplit/>
        </w:trPr>
        <w:tc>
          <w:tcPr>
            <w:tcW w:type="dxa" w:w="3278"/>
            <w:tcMar>
              <w:top w:w="70" w:type="dxa"/>
              <w:start w:w="85" w:type="dxa"/>
              <w:bottom w:w="70" w:type="dxa"/>
              <w:end w:w="85" w:type="dxa"/>
            </w:tcMar>
            <w:vAlign w:val="top"/>
          </w:tcPr>
          <w:p>
            <w:pPr>
              <w:spacing w:after="0"/>
            </w:pPr>
            <w:r/>
            <w:r>
              <w:rPr>
                <w:rFonts w:ascii="Noto Sans" w:hAnsi="Noto Sans"/>
                <w:color w:val="18212B"/>
                <w:sz w:val="16"/>
              </w:rPr>
              <w:t>Use of proceeds</w:t>
            </w:r>
          </w:p>
        </w:tc>
        <w:tc>
          <w:tcPr>
            <w:tcW w:type="dxa" w:w="3278"/>
            <w:tcMar>
              <w:top w:w="70" w:type="dxa"/>
              <w:start w:w="85" w:type="dxa"/>
              <w:bottom w:w="70" w:type="dxa"/>
              <w:end w:w="85" w:type="dxa"/>
            </w:tcMar>
            <w:vAlign w:val="top"/>
          </w:tcPr>
          <w:p>
            <w:pPr>
              <w:spacing w:after="0"/>
            </w:pPr>
            <w:r/>
            <w:r>
              <w:rPr>
                <w:rFonts w:ascii="Noto Sans" w:hAnsi="Noto Sans"/>
                <w:color w:val="18212B"/>
                <w:sz w:val="16"/>
              </w:rPr>
              <w:t>Productive, cash-flow-linked and bounded.</w:t>
            </w:r>
          </w:p>
        </w:tc>
        <w:tc>
          <w:tcPr>
            <w:tcW w:type="dxa" w:w="3278"/>
            <w:tcMar>
              <w:top w:w="70" w:type="dxa"/>
              <w:start w:w="85" w:type="dxa"/>
              <w:bottom w:w="70" w:type="dxa"/>
              <w:end w:w="85" w:type="dxa"/>
            </w:tcMar>
            <w:vAlign w:val="top"/>
          </w:tcPr>
          <w:p>
            <w:pPr>
              <w:spacing w:after="0"/>
            </w:pPr>
            <w:r/>
            <w:r>
              <w:rPr>
                <w:rFonts w:ascii="Noto Sans" w:hAnsi="Noto Sans"/>
                <w:color w:val="18212B"/>
                <w:sz w:val="16"/>
              </w:rPr>
              <w:t>Approved APIs, data, compute and tools.</w:t>
            </w:r>
          </w:p>
        </w:tc>
      </w:tr>
      <w:tr>
        <w:trPr>
          <w:cantSplit/>
        </w:trPr>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Initial limit</w:t>
            </w:r>
          </w:p>
        </w:tc>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Small starter limit determined by affordability and evidence.</w:t>
            </w:r>
          </w:p>
        </w:tc>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Purpose-bound aggregate line with per-Agent sub-limits.</w:t>
            </w:r>
          </w:p>
        </w:tc>
      </w:tr>
      <w:tr>
        <w:trPr>
          <w:cantSplit/>
        </w:trPr>
        <w:tc>
          <w:tcPr>
            <w:tcW w:type="dxa" w:w="3278"/>
            <w:tcMar>
              <w:top w:w="70" w:type="dxa"/>
              <w:start w:w="85" w:type="dxa"/>
              <w:bottom w:w="70" w:type="dxa"/>
              <w:end w:w="85" w:type="dxa"/>
            </w:tcMar>
            <w:vAlign w:val="top"/>
          </w:tcPr>
          <w:p>
            <w:pPr>
              <w:spacing w:after="0"/>
            </w:pPr>
            <w:r/>
            <w:r>
              <w:rPr>
                <w:rFonts w:ascii="Noto Sans" w:hAnsi="Noto Sans"/>
                <w:color w:val="18212B"/>
                <w:sz w:val="16"/>
              </w:rPr>
              <w:t>Core outcomes</w:t>
            </w:r>
          </w:p>
        </w:tc>
        <w:tc>
          <w:tcPr>
            <w:tcW w:type="dxa" w:w="3278"/>
            <w:tcMar>
              <w:top w:w="70" w:type="dxa"/>
              <w:start w:w="85" w:type="dxa"/>
              <w:bottom w:w="70" w:type="dxa"/>
              <w:end w:w="85" w:type="dxa"/>
            </w:tcMar>
            <w:vAlign w:val="top"/>
          </w:tcPr>
          <w:p>
            <w:pPr>
              <w:spacing w:after="0"/>
            </w:pPr>
            <w:r/>
            <w:r>
              <w:rPr>
                <w:rFonts w:ascii="Noto Sans" w:hAnsi="Noto Sans"/>
                <w:color w:val="18212B"/>
                <w:sz w:val="16"/>
              </w:rPr>
              <w:t>Approval, price, DPD, loss, progression, complaints and partner renewal.</w:t>
            </w:r>
          </w:p>
        </w:tc>
        <w:tc>
          <w:tcPr>
            <w:tcW w:type="dxa" w:w="3278"/>
            <w:tcMar>
              <w:top w:w="70" w:type="dxa"/>
              <w:start w:w="85" w:type="dxa"/>
              <w:bottom w:w="70" w:type="dxa"/>
              <w:end w:w="85" w:type="dxa"/>
            </w:tcMar>
            <w:vAlign w:val="top"/>
          </w:tcPr>
          <w:p>
            <w:pPr>
              <w:spacing w:after="0"/>
            </w:pPr>
            <w:r/>
            <w:r>
              <w:rPr>
                <w:rFonts w:ascii="Noto Sans" w:hAnsi="Noto Sans"/>
                <w:color w:val="18212B"/>
                <w:sz w:val="16"/>
              </w:rPr>
              <w:t>Volume, pre-funding reduction, settlement, loss, Provider uplift and renewal.</w:t>
            </w:r>
          </w:p>
        </w:tc>
      </w:tr>
      <w:tr>
        <w:trPr>
          <w:cantSplit/>
        </w:trPr>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Stop conditions</w:t>
            </w:r>
          </w:p>
        </w:tc>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Harmful overextension, unexplained disparity, loss above threshold, weak paid demand.</w:t>
            </w:r>
          </w:p>
        </w:tc>
        <w:tc>
          <w:tcPr>
            <w:tcW w:type="dxa" w:w="3278"/>
            <w:shd w:fill="F3F6F8"/>
            <w:tcMar>
              <w:top w:w="70" w:type="dxa"/>
              <w:start w:w="85" w:type="dxa"/>
              <w:bottom w:w="70" w:type="dxa"/>
              <w:end w:w="85" w:type="dxa"/>
            </w:tcMar>
            <w:vAlign w:val="top"/>
          </w:tcPr>
          <w:p>
            <w:pPr>
              <w:spacing w:after="0"/>
            </w:pPr>
            <w:r/>
            <w:r>
              <w:rPr>
                <w:rFonts w:ascii="Noto Sans" w:hAnsi="Noto Sans"/>
                <w:color w:val="18212B"/>
                <w:sz w:val="16"/>
              </w:rPr>
              <w:t>Unauthorized spend, unclear liability, loss above threshold, no Provider value.</w:t>
            </w:r>
          </w:p>
        </w:tc>
      </w:tr>
    </w:tbl>
    <w:p>
      <w:pPr>
        <w:spacing w:after="0"/>
      </w:pPr>
    </w:p>
    <w:p>
      <w:pPr>
        <w:pStyle w:val="Heading1"/>
        <w:keepNext/>
      </w:pPr>
      <w:r>
        <w:rPr>
          <w:rFonts w:ascii="Noto Sans" w:hAnsi="Noto Sans"/>
        </w:rPr>
        <w:t>Appendix D — Interoperability API and Rail Glossary</w:t>
      </w:r>
    </w:p>
    <w:p>
      <w:pPr>
        <w:pStyle w:val="Heading2"/>
        <w:keepNext/>
      </w:pPr>
      <w:r>
        <w:rPr>
          <w:rFonts w:ascii="Noto Sans" w:hAnsi="Noto Sans"/>
        </w:rPr>
        <w:t>D.1 Illustrative API Surface</w:t>
      </w:r>
    </w:p>
    <w:tbl>
      <w:tblPr>
        <w:tblStyle w:val="TableGrid"/>
        <w:tblW w:type="auto" w:w="0"/>
        <w:jc w:val="center"/>
        <w:tblLayout w:type="autofit"/>
        <w:tblLook w:firstColumn="1" w:firstRow="1" w:lastColumn="0" w:lastRow="0" w:noHBand="0" w:noVBand="1" w:val="04A0"/>
      </w:tblPr>
      <w:tblGrid>
        <w:gridCol w:w="4917"/>
        <w:gridCol w:w="4917"/>
      </w:tblGrid>
      <w:tr>
        <w:trPr>
          <w:tblHeader w:val="true"/>
          <w:cantSplit/>
        </w:trPr>
        <w:tc>
          <w:tcPr>
            <w:tcW w:type="dxa" w:w="4917"/>
            <w:shd w:fill="0B1F33"/>
            <w:tcMar>
              <w:top w:w="70" w:type="dxa"/>
              <w:start w:w="85" w:type="dxa"/>
              <w:bottom w:w="70" w:type="dxa"/>
              <w:end w:w="85" w:type="dxa"/>
            </w:tcMar>
            <w:vAlign w:val="center"/>
          </w:tcPr>
          <w:p>
            <w:pPr>
              <w:spacing w:after="0"/>
            </w:pPr>
            <w:r/>
            <w:r>
              <w:rPr>
                <w:rFonts w:ascii="Noto Sans" w:hAnsi="Noto Sans"/>
                <w:b/>
                <w:color w:val="FFFFFF"/>
                <w:sz w:val="16"/>
              </w:rPr>
              <w:t>Domain</w:t>
            </w:r>
          </w:p>
        </w:tc>
        <w:tc>
          <w:tcPr>
            <w:tcW w:type="dxa" w:w="4917"/>
            <w:shd w:fill="0B1F33"/>
            <w:tcMar>
              <w:top w:w="70" w:type="dxa"/>
              <w:start w:w="85" w:type="dxa"/>
              <w:bottom w:w="70" w:type="dxa"/>
              <w:end w:w="85" w:type="dxa"/>
            </w:tcMar>
            <w:vAlign w:val="center"/>
          </w:tcPr>
          <w:p>
            <w:pPr>
              <w:spacing w:after="0"/>
            </w:pPr>
            <w:r/>
            <w:r>
              <w:rPr>
                <w:rFonts w:ascii="Noto Sans" w:hAnsi="Noto Sans"/>
                <w:b/>
                <w:color w:val="FFFFFF"/>
                <w:sz w:val="16"/>
              </w:rPr>
              <w:t>Illustrative operations</w:t>
            </w:r>
          </w:p>
        </w:tc>
      </w:tr>
      <w:tr>
        <w:trPr>
          <w:cantSplit/>
        </w:trPr>
        <w:tc>
          <w:tcPr>
            <w:tcW w:type="dxa" w:w="4917"/>
            <w:tcMar>
              <w:top w:w="70" w:type="dxa"/>
              <w:start w:w="85" w:type="dxa"/>
              <w:bottom w:w="70" w:type="dxa"/>
              <w:end w:w="85" w:type="dxa"/>
            </w:tcMar>
            <w:vAlign w:val="top"/>
          </w:tcPr>
          <w:p>
            <w:pPr>
              <w:spacing w:after="0"/>
            </w:pPr>
            <w:r/>
            <w:r>
              <w:rPr>
                <w:rFonts w:ascii="Noto Sans" w:hAnsi="Noto Sans"/>
                <w:color w:val="18212B"/>
                <w:sz w:val="16"/>
              </w:rPr>
              <w:t>Identity and interaction</w:t>
            </w:r>
          </w:p>
        </w:tc>
        <w:tc>
          <w:tcPr>
            <w:tcW w:type="dxa" w:w="4917"/>
            <w:tcMar>
              <w:top w:w="70" w:type="dxa"/>
              <w:start w:w="85" w:type="dxa"/>
              <w:bottom w:w="70" w:type="dxa"/>
              <w:end w:w="85" w:type="dxa"/>
            </w:tcMar>
            <w:vAlign w:val="top"/>
          </w:tcPr>
          <w:p>
            <w:pPr>
              <w:spacing w:after="0"/>
            </w:pPr>
            <w:r/>
            <w:r>
              <w:rPr>
                <w:rFonts w:ascii="Noto Sans" w:hAnsi="Noto Sans"/>
                <w:color w:val="18212B"/>
                <w:sz w:val="16"/>
              </w:rPr>
              <w:t>create_subject, bind_principal, register_attestation, normalize_agent_message, grant_consent</w:t>
            </w:r>
          </w:p>
        </w:tc>
      </w:tr>
      <w:tr>
        <w:trPr>
          <w:cantSplit/>
        </w:trPr>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Credit and offers</w:t>
            </w:r>
          </w:p>
        </w:tc>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submit_credit_intent, submit_plan, check_eligibility, request_offers, accept_offer, authorize_draw</w:t>
            </w:r>
          </w:p>
        </w:tc>
      </w:tr>
      <w:tr>
        <w:trPr>
          <w:cantSplit/>
        </w:trPr>
        <w:tc>
          <w:tcPr>
            <w:tcW w:type="dxa" w:w="4917"/>
            <w:tcMar>
              <w:top w:w="70" w:type="dxa"/>
              <w:start w:w="85" w:type="dxa"/>
              <w:bottom w:w="70" w:type="dxa"/>
              <w:end w:w="85" w:type="dxa"/>
            </w:tcMar>
            <w:vAlign w:val="top"/>
          </w:tcPr>
          <w:p>
            <w:pPr>
              <w:spacing w:after="0"/>
            </w:pPr>
            <w:r/>
            <w:r>
              <w:rPr>
                <w:rFonts w:ascii="Noto Sans" w:hAnsi="Noto Sans"/>
                <w:color w:val="18212B"/>
                <w:sz w:val="16"/>
              </w:rPr>
              <w:t>Rail orchestration</w:t>
            </w:r>
          </w:p>
        </w:tc>
        <w:tc>
          <w:tcPr>
            <w:tcW w:type="dxa" w:w="4917"/>
            <w:tcMar>
              <w:top w:w="70" w:type="dxa"/>
              <w:start w:w="85" w:type="dxa"/>
              <w:bottom w:w="70" w:type="dxa"/>
              <w:end w:w="85" w:type="dxa"/>
            </w:tcMar>
            <w:vAlign w:val="top"/>
          </w:tcPr>
          <w:p>
            <w:pPr>
              <w:spacing w:after="0"/>
            </w:pPr>
            <w:r/>
            <w:r>
              <w:rPr>
                <w:rFonts w:ascii="Noto Sans" w:hAnsi="Noto Sans"/>
                <w:color w:val="18212B"/>
                <w:sz w:val="16"/>
              </w:rPr>
              <w:t>bind_external_account, prepare_settlement, submit_transaction, get_rail_status, query_finality</w:t>
            </w:r>
          </w:p>
        </w:tc>
      </w:tr>
      <w:tr>
        <w:trPr>
          <w:cantSplit/>
        </w:trPr>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Evidence and reconciliation</w:t>
            </w:r>
          </w:p>
        </w:tc>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record_rail_receipt, anchor_evidence, reconcile_partial, record_reversal, apply_correction</w:t>
            </w:r>
          </w:p>
        </w:tc>
      </w:tr>
      <w:tr>
        <w:trPr>
          <w:cantSplit/>
        </w:trPr>
        <w:tc>
          <w:tcPr>
            <w:tcW w:type="dxa" w:w="4917"/>
            <w:tcMar>
              <w:top w:w="70" w:type="dxa"/>
              <w:start w:w="85" w:type="dxa"/>
              <w:bottom w:w="70" w:type="dxa"/>
              <w:end w:w="85" w:type="dxa"/>
            </w:tcMar>
            <w:vAlign w:val="top"/>
          </w:tcPr>
          <w:p>
            <w:pPr>
              <w:spacing w:after="0"/>
            </w:pPr>
            <w:r/>
            <w:r>
              <w:rPr>
                <w:rFonts w:ascii="Noto Sans" w:hAnsi="Noto Sans"/>
                <w:color w:val="18212B"/>
                <w:sz w:val="16"/>
              </w:rPr>
              <w:t>Capital facilities</w:t>
            </w:r>
          </w:p>
        </w:tc>
        <w:tc>
          <w:tcPr>
            <w:tcW w:type="dxa" w:w="4917"/>
            <w:tcMar>
              <w:top w:w="70" w:type="dxa"/>
              <w:start w:w="85" w:type="dxa"/>
              <w:bottom w:w="70" w:type="dxa"/>
              <w:end w:w="85" w:type="dxa"/>
            </w:tcMar>
            <w:vAlign w:val="top"/>
          </w:tcPr>
          <w:p>
            <w:pPr>
              <w:spacing w:after="0"/>
            </w:pPr>
            <w:r/>
            <w:r>
              <w:rPr>
                <w:rFonts w:ascii="Noto Sans" w:hAnsi="Noto Sans"/>
                <w:color w:val="18212B"/>
                <w:sz w:val="16"/>
              </w:rPr>
              <w:t>register_capital_mandate, submit_eligible_asset, reserve_capital, allocate_facility, monitor_exposure</w:t>
            </w:r>
          </w:p>
        </w:tc>
      </w:tr>
      <w:tr>
        <w:trPr>
          <w:cantSplit/>
        </w:trPr>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Trust and audit</w:t>
            </w:r>
          </w:p>
        </w:tc>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issue_performance_proof, export_decision_receipt, reconstruct_credit_state, verify_finality_proof</w:t>
            </w:r>
          </w:p>
        </w:tc>
      </w:tr>
    </w:tbl>
    <w:p>
      <w:pPr>
        <w:spacing w:after="0"/>
      </w:pPr>
    </w:p>
    <w:p>
      <w:pPr>
        <w:pStyle w:val="Heading2"/>
        <w:keepNext/>
      </w:pPr>
      <w:r>
        <w:rPr>
          <w:rFonts w:ascii="Noto Sans" w:hAnsi="Noto Sans"/>
        </w:rPr>
        <w:t>D.2 Glossary</w:t>
      </w:r>
    </w:p>
    <w:tbl>
      <w:tblPr>
        <w:tblStyle w:val="TableGrid"/>
        <w:tblW w:type="auto" w:w="0"/>
        <w:jc w:val="center"/>
        <w:tblLayout w:type="autofit"/>
        <w:tblLook w:firstColumn="1" w:firstRow="1" w:lastColumn="0" w:lastRow="0" w:noHBand="0" w:noVBand="1" w:val="04A0"/>
      </w:tblPr>
      <w:tblGrid>
        <w:gridCol w:w="4917"/>
        <w:gridCol w:w="4917"/>
      </w:tblGrid>
      <w:tr>
        <w:trPr>
          <w:tblHeader w:val="true"/>
          <w:cantSplit/>
        </w:trPr>
        <w:tc>
          <w:tcPr>
            <w:tcW w:type="dxa" w:w="4917"/>
            <w:shd w:fill="0B1F33"/>
            <w:tcMar>
              <w:top w:w="70" w:type="dxa"/>
              <w:start w:w="85" w:type="dxa"/>
              <w:bottom w:w="70" w:type="dxa"/>
              <w:end w:w="85" w:type="dxa"/>
            </w:tcMar>
            <w:vAlign w:val="center"/>
          </w:tcPr>
          <w:p>
            <w:pPr>
              <w:spacing w:after="0"/>
            </w:pPr>
            <w:r/>
            <w:r>
              <w:rPr>
                <w:rFonts w:ascii="Noto Sans" w:hAnsi="Noto Sans"/>
                <w:b/>
                <w:color w:val="FFFFFF"/>
                <w:sz w:val="16"/>
              </w:rPr>
              <w:t>Term</w:t>
            </w:r>
          </w:p>
        </w:tc>
        <w:tc>
          <w:tcPr>
            <w:tcW w:type="dxa" w:w="4917"/>
            <w:shd w:fill="0B1F33"/>
            <w:tcMar>
              <w:top w:w="70" w:type="dxa"/>
              <w:start w:w="85" w:type="dxa"/>
              <w:bottom w:w="70" w:type="dxa"/>
              <w:end w:w="85" w:type="dxa"/>
            </w:tcMar>
            <w:vAlign w:val="center"/>
          </w:tcPr>
          <w:p>
            <w:pPr>
              <w:spacing w:after="0"/>
            </w:pPr>
            <w:r/>
            <w:r>
              <w:rPr>
                <w:rFonts w:ascii="Noto Sans" w:hAnsi="Noto Sans"/>
                <w:b/>
                <w:color w:val="FFFFFF"/>
                <w:sz w:val="16"/>
              </w:rPr>
              <w:t>Definition</w:t>
            </w:r>
          </w:p>
        </w:tc>
      </w:tr>
      <w:tr>
        <w:trPr>
          <w:cantSplit/>
        </w:trPr>
        <w:tc>
          <w:tcPr>
            <w:tcW w:type="dxa" w:w="4917"/>
            <w:tcMar>
              <w:top w:w="70" w:type="dxa"/>
              <w:start w:w="85" w:type="dxa"/>
              <w:bottom w:w="70" w:type="dxa"/>
              <w:end w:w="85" w:type="dxa"/>
            </w:tcMar>
            <w:vAlign w:val="top"/>
          </w:tcPr>
          <w:p>
            <w:pPr>
              <w:spacing w:after="0"/>
            </w:pPr>
            <w:r/>
            <w:r>
              <w:rPr>
                <w:rFonts w:ascii="Noto Sans" w:hAnsi="Noto Sans"/>
                <w:color w:val="18212B"/>
                <w:sz w:val="16"/>
              </w:rPr>
              <w:t>Multi-Rail Adapter</w:t>
            </w:r>
          </w:p>
        </w:tc>
        <w:tc>
          <w:tcPr>
            <w:tcW w:type="dxa" w:w="4917"/>
            <w:tcMar>
              <w:top w:w="70" w:type="dxa"/>
              <w:start w:w="85" w:type="dxa"/>
              <w:bottom w:w="70" w:type="dxa"/>
              <w:end w:w="85" w:type="dxa"/>
            </w:tcMar>
            <w:vAlign w:val="top"/>
          </w:tcPr>
          <w:p>
            <w:pPr>
              <w:spacing w:after="0"/>
            </w:pPr>
            <w:r/>
            <w:r>
              <w:rPr>
                <w:rFonts w:ascii="Noto Sans" w:hAnsi="Noto Sans"/>
                <w:color w:val="18212B"/>
                <w:sz w:val="16"/>
              </w:rPr>
              <w:t>A replaceable integration component that maps external account, transaction, status, finality and reconciliation behavior into canonical IPO.ONE events.</w:t>
            </w:r>
          </w:p>
        </w:tc>
      </w:tr>
      <w:tr>
        <w:trPr>
          <w:cantSplit/>
        </w:trPr>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On-chain Settlement</w:t>
            </w:r>
          </w:p>
        </w:tc>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Funding or repayment executed in a blockchain environment and recognized only after the applicable technical-finality and legal-settlement conditions are met.</w:t>
            </w:r>
          </w:p>
        </w:tc>
      </w:tr>
      <w:tr>
        <w:trPr>
          <w:cantSplit/>
        </w:trPr>
        <w:tc>
          <w:tcPr>
            <w:tcW w:type="dxa" w:w="4917"/>
            <w:tcMar>
              <w:top w:w="70" w:type="dxa"/>
              <w:start w:w="85" w:type="dxa"/>
              <w:bottom w:w="70" w:type="dxa"/>
              <w:end w:w="85" w:type="dxa"/>
            </w:tcMar>
            <w:vAlign w:val="top"/>
          </w:tcPr>
          <w:p>
            <w:pPr>
              <w:spacing w:after="0"/>
            </w:pPr>
            <w:r/>
            <w:r>
              <w:rPr>
                <w:rFonts w:ascii="Noto Sans" w:hAnsi="Noto Sans"/>
                <w:color w:val="18212B"/>
                <w:sz w:val="16"/>
              </w:rPr>
              <w:t>Hybrid Settlement</w:t>
            </w:r>
          </w:p>
        </w:tc>
        <w:tc>
          <w:tcPr>
            <w:tcW w:type="dxa" w:w="4917"/>
            <w:tcMar>
              <w:top w:w="70" w:type="dxa"/>
              <w:start w:w="85" w:type="dxa"/>
              <w:bottom w:w="70" w:type="dxa"/>
              <w:end w:w="85" w:type="dxa"/>
            </w:tcMar>
            <w:vAlign w:val="top"/>
          </w:tcPr>
          <w:p>
            <w:pPr>
              <w:spacing w:after="0"/>
            </w:pPr>
            <w:r/>
            <w:r>
              <w:rPr>
                <w:rFonts w:ascii="Noto Sans" w:hAnsi="Noto Sans"/>
                <w:color w:val="18212B"/>
                <w:sz w:val="16"/>
              </w:rPr>
              <w:t>Settlement of one Obligation through multiple partial events across traditional and on-chain rails, reconciled into one canonical state.</w:t>
            </w:r>
          </w:p>
        </w:tc>
      </w:tr>
      <w:tr>
        <w:trPr>
          <w:cantSplit/>
        </w:trPr>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Tokenized Credit Asset</w:t>
            </w:r>
          </w:p>
        </w:tc>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An on-chain representation of an eligible credit claim or participation, subject to legal rights, transfer, custody, evidence and servicing requirements.</w:t>
            </w:r>
          </w:p>
        </w:tc>
      </w:tr>
      <w:tr>
        <w:trPr>
          <w:cantSplit/>
        </w:trPr>
        <w:tc>
          <w:tcPr>
            <w:tcW w:type="dxa" w:w="4917"/>
            <w:tcMar>
              <w:top w:w="70" w:type="dxa"/>
              <w:start w:w="85" w:type="dxa"/>
              <w:bottom w:w="70" w:type="dxa"/>
              <w:end w:w="85" w:type="dxa"/>
            </w:tcMar>
            <w:vAlign w:val="top"/>
          </w:tcPr>
          <w:p>
            <w:pPr>
              <w:spacing w:after="0"/>
            </w:pPr>
            <w:r/>
            <w:r>
              <w:rPr>
                <w:rFonts w:ascii="Noto Sans" w:hAnsi="Noto Sans"/>
                <w:color w:val="18212B"/>
                <w:sz w:val="16"/>
              </w:rPr>
              <w:t>Onchain Capital Facility</w:t>
            </w:r>
          </w:p>
        </w:tc>
        <w:tc>
          <w:tcPr>
            <w:tcW w:type="dxa" w:w="4917"/>
            <w:tcMar>
              <w:top w:w="70" w:type="dxa"/>
              <w:start w:w="85" w:type="dxa"/>
              <w:bottom w:w="70" w:type="dxa"/>
              <w:end w:w="85" w:type="dxa"/>
            </w:tcMar>
            <w:vAlign w:val="top"/>
          </w:tcPr>
          <w:p>
            <w:pPr>
              <w:spacing w:after="0"/>
            </w:pPr>
            <w:r/>
            <w:r>
              <w:rPr>
                <w:rFonts w:ascii="Noto Sans" w:hAnsi="Noto Sans"/>
                <w:color w:val="18212B"/>
                <w:sz w:val="16"/>
              </w:rPr>
              <w:t>A capital program whose commitment, allocation or funding is executed through an on-chain environment under a defined Capital Mandate.</w:t>
            </w:r>
          </w:p>
        </w:tc>
      </w:tr>
      <w:tr>
        <w:trPr>
          <w:cantSplit/>
        </w:trPr>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Agent Protocol Adapter</w:t>
            </w:r>
          </w:p>
        </w:tc>
        <w:tc>
          <w:tcPr>
            <w:tcW w:type="dxa" w:w="4917"/>
            <w:shd w:fill="F3F6F8"/>
            <w:tcMar>
              <w:top w:w="70" w:type="dxa"/>
              <w:start w:w="85" w:type="dxa"/>
              <w:bottom w:w="70" w:type="dxa"/>
              <w:end w:w="85" w:type="dxa"/>
            </w:tcMar>
            <w:vAlign w:val="top"/>
          </w:tcPr>
          <w:p>
            <w:pPr>
              <w:spacing w:after="0"/>
            </w:pPr>
            <w:r/>
            <w:r>
              <w:rPr>
                <w:rFonts w:ascii="Noto Sans" w:hAnsi="Noto Sans"/>
                <w:color w:val="18212B"/>
                <w:sz w:val="16"/>
              </w:rPr>
              <w:t>An adapter that maps MCP, A2A or another machine communication protocol into canonical Intent, Plan, Authorization and status objects.</w:t>
            </w:r>
          </w:p>
        </w:tc>
      </w:tr>
    </w:tbl>
    <w:p>
      <w:pPr>
        <w:spacing w:after="0"/>
      </w:pPr>
    </w:p>
    <w:p>
      <w:pPr>
        <w:pStyle w:val="Heading1"/>
        <w:keepNext/>
      </w:pPr>
      <w:r>
        <w:rPr>
          <w:rFonts w:ascii="Noto Sans" w:hAnsi="Noto Sans"/>
        </w:rPr>
        <w:t>Appendix E — Selected References</w:t>
      </w:r>
    </w:p>
    <w:p>
      <w:pPr>
        <w:spacing w:after="60"/>
      </w:pPr>
      <w:hyperlink r:id="rId17">
        <w:r>
          <w:rPr>
            <w:color w:val="2F6BFF"/>
            <w:u w:val="single"/>
            <w:rFonts w:ascii="Noto Sans" w:hAnsi="Noto Sans"/>
          </w:rPr>
          <w:t>[1] World Bank, The Global Findex Database 2025.</w:t>
        </w:r>
      </w:hyperlink>
      <w:r>
        <w:rPr>
          <w:rFonts w:ascii="Noto Sans" w:hAnsi="Noto Sans"/>
          <w:color w:val="5E6A75"/>
          <w:sz w:val="16"/>
        </w:rPr>
        <w:t xml:space="preserve">  Accessed July 2026.</w:t>
      </w:r>
    </w:p>
    <w:p>
      <w:pPr>
        <w:spacing w:after="60"/>
      </w:pPr>
      <w:hyperlink r:id="rId18">
        <w:r>
          <w:rPr>
            <w:color w:val="2F6BFF"/>
            <w:u w:val="single"/>
            <w:rFonts w:ascii="Noto Sans" w:hAnsi="Noto Sans"/>
          </w:rPr>
          <w:t>[2] Financial Action Task Force, Guidance on Digital ID, 2020.</w:t>
        </w:r>
      </w:hyperlink>
      <w:r>
        <w:rPr>
          <w:rFonts w:ascii="Noto Sans" w:hAnsi="Noto Sans"/>
          <w:color w:val="5E6A75"/>
          <w:sz w:val="16"/>
        </w:rPr>
        <w:t xml:space="preserve">  Accessed July 2026.</w:t>
      </w:r>
    </w:p>
    <w:p>
      <w:pPr>
        <w:spacing w:after="60"/>
      </w:pPr>
      <w:hyperlink r:id="rId19">
        <w:r>
          <w:rPr>
            <w:color w:val="2F6BFF"/>
            <w:u w:val="single"/>
            <w:rFonts w:ascii="Noto Sans" w:hAnsi="Noto Sans"/>
          </w:rPr>
          <w:t>[3] W3C, Verifiable Credentials Data Model v2.0, W3C Recommendation, 15 May 2025.</w:t>
        </w:r>
      </w:hyperlink>
      <w:r>
        <w:rPr>
          <w:rFonts w:ascii="Noto Sans" w:hAnsi="Noto Sans"/>
          <w:color w:val="5E6A75"/>
          <w:sz w:val="16"/>
        </w:rPr>
        <w:t xml:space="preserve">  Accessed July 2026.</w:t>
      </w:r>
    </w:p>
    <w:p>
      <w:pPr>
        <w:spacing w:after="60"/>
      </w:pPr>
      <w:hyperlink r:id="rId20">
        <w:r>
          <w:rPr>
            <w:color w:val="2F6BFF"/>
            <w:u w:val="single"/>
            <w:rFonts w:ascii="Noto Sans" w:hAnsi="Noto Sans"/>
          </w:rPr>
          <w:t>[4] NIST, Artificial Intelligence Risk Management Framework and Playbook.</w:t>
        </w:r>
      </w:hyperlink>
      <w:r>
        <w:rPr>
          <w:rFonts w:ascii="Noto Sans" w:hAnsi="Noto Sans"/>
          <w:color w:val="5E6A75"/>
          <w:sz w:val="16"/>
        </w:rPr>
        <w:t xml:space="preserve">  Accessed July 2026.</w:t>
      </w:r>
    </w:p>
    <w:p>
      <w:pPr>
        <w:spacing w:after="60"/>
      </w:pPr>
      <w:hyperlink r:id="rId21">
        <w:r>
          <w:rPr>
            <w:color w:val="2F6BFF"/>
            <w:u w:val="single"/>
            <w:rFonts w:ascii="Noto Sans" w:hAnsi="Noto Sans"/>
          </w:rPr>
          <w:t>[5] Coinbase Developer Platform, x402 Overview.</w:t>
        </w:r>
      </w:hyperlink>
      <w:r>
        <w:rPr>
          <w:rFonts w:ascii="Noto Sans" w:hAnsi="Noto Sans"/>
          <w:color w:val="5E6A75"/>
          <w:sz w:val="16"/>
        </w:rPr>
        <w:t xml:space="preserve">  Accessed July 2026.</w:t>
      </w:r>
    </w:p>
    <w:p>
      <w:pPr>
        <w:spacing w:after="60"/>
      </w:pPr>
      <w:hyperlink r:id="rId22">
        <w:r>
          <w:rPr>
            <w:color w:val="2F6BFF"/>
            <w:u w:val="single"/>
            <w:rFonts w:ascii="Noto Sans" w:hAnsi="Noto Sans"/>
          </w:rPr>
          <w:t>[6] Centrifuge Documentation, institutional-grade onchain asset-management infrastructure.</w:t>
        </w:r>
      </w:hyperlink>
      <w:r>
        <w:rPr>
          <w:rFonts w:ascii="Noto Sans" w:hAnsi="Noto Sans"/>
          <w:color w:val="5E6A75"/>
          <w:sz w:val="16"/>
        </w:rPr>
        <w:t xml:space="preserve">  Accessed July 2026.</w:t>
      </w:r>
    </w:p>
    <w:p>
      <w:pPr>
        <w:spacing w:after="60"/>
      </w:pPr>
      <w:hyperlink r:id="rId23">
        <w:r>
          <w:rPr>
            <w:color w:val="2F6BFF"/>
            <w:u w:val="single"/>
            <w:rFonts w:ascii="Noto Sans" w:hAnsi="Noto Sans"/>
          </w:rPr>
          <w:t>[7] Maple Documentation, institutional and digital-asset lending platform.</w:t>
        </w:r>
      </w:hyperlink>
      <w:r>
        <w:rPr>
          <w:rFonts w:ascii="Noto Sans" w:hAnsi="Noto Sans"/>
          <w:color w:val="5E6A75"/>
          <w:sz w:val="16"/>
        </w:rPr>
        <w:t xml:space="preserve">  Accessed July 2026.</w:t>
      </w:r>
    </w:p>
    <w:p>
      <w:pPr>
        <w:pStyle w:val="Small"/>
      </w:pPr>
      <w:r>
        <w:rPr>
          <w:rFonts w:ascii="Noto Sans" w:hAnsi="Noto Sans"/>
        </w:rPr>
        <w:t>References describe relevant standards, market infrastructure and design precedents. They do not imply partnership, endorsement or equivalence.</w:t>
      </w:r>
    </w:p>
    <w:sectPr w:rsidR="00FC693F" w:rsidRPr="0006063C" w:rsidSect="00034616">
      <w:headerReference w:type="default" r:id="rId9"/>
      <w:footerReference w:type="default" r:id="rId10"/>
      <w:headerReference w:type="even" r:id="rId24"/>
      <w:pgSz w:w="11909" w:h="16834"/>
      <w:pgMar w:top="936" w:right="1037" w:bottom="893" w:left="1037" w:header="389"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w:hAnsi="Noto Sans"/>
        <w:color w:val="5E6A75"/>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w:hAnsi="Noto Sans" w:eastAsia="Noto Sans"/>
        <w:b/>
        <w:color w:val="4A5864"/>
        <w:sz w:val="14"/>
      </w:rPr>
      <w:t>IPO.ONE  |  THE HUMAN-AGENT CREDIT PROTOCOL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6" w:line="259" w:lineRule="auto"/>
    </w:pPr>
    <w:rPr>
      <w:rFonts w:ascii="Noto Sans" w:hAnsi="Noto Sans"/>
      <w:b w:val="0"/>
      <w:color w:val="18212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Noto Sans" w:hAnsi="Noto Sans"/>
      <w:b/>
      <w:bCs/>
      <w:color w:val="0B1F33"/>
      <w:sz w:val="3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Noto Sans" w:hAnsi="Noto Sans"/>
      <w:b/>
      <w:bCs/>
      <w:color w:val="2F6BFF"/>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Noto Sans" w:hAnsi="Noto Sans"/>
      <w:b/>
      <w:bCs/>
      <w:color w:val="00828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Noto Sans" w:hAnsi="Noto Sans"/>
      <w:b/>
      <w:color w:val="0B1F3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80"/>
    </w:pPr>
    <w:rPr>
      <w:rFonts w:asciiTheme="majorHAnsi" w:eastAsiaTheme="majorEastAsia" w:hAnsiTheme="majorHAnsi" w:cstheme="majorBidi" w:ascii="Noto Sans" w:hAnsi="Noto Sans"/>
      <w:b w:val="0"/>
      <w:i/>
      <w:iCs/>
      <w:color w:val="4A586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140" w:line="271" w:lineRule="auto"/>
    </w:pPr>
    <w:rPr>
      <w:rFonts w:ascii="Noto Sans" w:hAnsi="Noto Sans"/>
      <w:b w:val="0"/>
      <w:i/>
      <w:color w:val="364450"/>
      <w:sz w:val="22"/>
    </w:rPr>
  </w:style>
  <w:style w:type="paragraph" w:customStyle="1" w:styleId="Callout">
    <w:name w:val="Callout"/>
    <w:pPr>
      <w:spacing w:before="100" w:after="100" w:line="259" w:lineRule="auto"/>
      <w:ind w:left="288" w:right="288"/>
    </w:pPr>
    <w:rPr>
      <w:rFonts w:ascii="Noto Sans" w:hAnsi="Noto Sans"/>
      <w:b/>
      <w:color w:val="0B1F33"/>
      <w:sz w:val="20"/>
    </w:rPr>
  </w:style>
  <w:style w:type="paragraph" w:customStyle="1" w:styleId="Small">
    <w:name w:val="Small"/>
    <w:pPr>
      <w:spacing w:after="40"/>
    </w:pPr>
    <w:rPr>
      <w:rFonts w:ascii="Noto Sans" w:hAnsi="Noto Sans"/>
      <w:b w:val="0"/>
      <w:color w:val="5E6A7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www.worldbank.org/en/publication/globalfindex" TargetMode="External"/><Relationship Id="rId18" Type="http://schemas.openxmlformats.org/officeDocument/2006/relationships/hyperlink" Target="https://www.fatf-gafi.org/en/publications/Financialinclusionandnpoissues/Digital-identity-guidance.html" TargetMode="External"/><Relationship Id="rId19" Type="http://schemas.openxmlformats.org/officeDocument/2006/relationships/hyperlink" Target="https://www.w3.org/TR/vc-data-model-2.0/" TargetMode="External"/><Relationship Id="rId20" Type="http://schemas.openxmlformats.org/officeDocument/2006/relationships/hyperlink" Target="https://www.nist.gov/itl/ai-risk-management-framework" TargetMode="External"/><Relationship Id="rId21" Type="http://schemas.openxmlformats.org/officeDocument/2006/relationships/hyperlink" Target="https://docs.cdp.coinbase.com/x402/welcome" TargetMode="External"/><Relationship Id="rId22" Type="http://schemas.openxmlformats.org/officeDocument/2006/relationships/hyperlink" Target="https://docs.centrifuge.io/" TargetMode="External"/><Relationship Id="rId23" Type="http://schemas.openxmlformats.org/officeDocument/2006/relationships/hyperlink" Target="https://docs.maple.finance/" TargetMode="External"/><Relationship Id="rId2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IPO.ONE Official Whitepaper</dc:title>
  <dc:subject>The Native Credit &amp; Obligation Protocol for the Human-Agent Economy</dc:subject>
  <dc:creator>IPO.ONE</dc:creator>
  <cp:keywords>IPO.ONE, official whitepaper, human-agent economy, credit protocol, obligation protocol, credit intelligence, multi-rail, on-chain, inclusive finance</cp:keywords>
  <dc:description>Founding Edition, July 2026</dc:description>
  <cp:lastModifiedBy/>
  <cp:revision>1</cp:revision>
  <dcterms:created xsi:type="dcterms:W3CDTF">2013-12-23T23:15:00Z</dcterms:created>
  <dcterms:modified xsi:type="dcterms:W3CDTF">2013-12-23T23:15:00Z</dcterms:modified>
  <cp:category>Official Whitepaper</cp:category>
</cp:coreProperties>
</file>