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uthill-design-photography-service-scope"/>
    <w:p>
      <w:pPr>
        <w:pStyle w:val="Heading1"/>
      </w:pPr>
      <w:r>
        <w:t xml:space="preserve">Tuthill Design Photography — Service Scope</w:t>
      </w:r>
    </w:p>
    <w:p>
      <w:pPr>
        <w:pStyle w:val="FirstParagraph"/>
      </w:pPr>
      <w:r>
        <w:rPr>
          <w:b/>
          <w:bCs/>
        </w:rPr>
        <w:t xml:space="preserve">Operating brand:</w:t>
      </w:r>
      <w:r>
        <w:t xml:space="preserve"> </w:t>
      </w:r>
      <w:r>
        <w:t xml:space="preserve">Tuthill Design Photography (under Tuthill Design)</w:t>
      </w:r>
      <w:r>
        <w:t xml:space="preserve"> </w:t>
      </w:r>
      <w:r>
        <w:rPr>
          <w:b/>
          <w:bCs/>
        </w:rPr>
        <w:t xml:space="preserve">Marketing operator:</w:t>
      </w:r>
      <w:r>
        <w:t xml:space="preserve"> </w:t>
      </w:r>
      <w:r>
        <w:t xml:space="preserve">MBT (Measurably Better Things LLC)</w:t>
      </w:r>
      <w:r>
        <w:t xml:space="preserve"> </w:t>
      </w:r>
      <w:r>
        <w:rPr>
          <w:b/>
          <w:bCs/>
        </w:rPr>
        <w:t xml:space="preserve">Prepared by:</w:t>
      </w:r>
      <w:r>
        <w:t xml:space="preserve"> </w:t>
      </w:r>
      <w:r>
        <w:t xml:space="preserve">Chase Pierson</w:t>
      </w:r>
      <w:r>
        <w:t xml:space="preserve"> </w:t>
      </w:r>
      <w:r>
        <w:rPr>
          <w:b/>
          <w:bCs/>
        </w:rPr>
        <w:t xml:space="preserve">Date:</w:t>
      </w:r>
      <w:r>
        <w:t xml:space="preserve"> </w:t>
      </w:r>
      <w:r>
        <w:t xml:space="preserve">April 20, 2026</w:t>
      </w:r>
      <w:r>
        <w:t xml:space="preserve"> </w:t>
      </w:r>
      <w:r>
        <w:rPr>
          <w:b/>
          <w:bCs/>
        </w:rPr>
        <w:t xml:space="preserve">Companion:</w:t>
      </w:r>
      <w:r>
        <w:t xml:space="preserve"> </w:t>
      </w:r>
      <w:r>
        <w:rPr>
          <w:rStyle w:val="VerbatimChar"/>
        </w:rPr>
        <w:t xml:space="preserve">docs/partner-studios-pitch-2026-04-20.md</w:t>
      </w:r>
      <w:r>
        <w:t xml:space="preserve">,</w:t>
      </w:r>
      <w:r>
        <w:t xml:space="preserve"> </w:t>
      </w:r>
      <w:r>
        <w:rPr>
          <w:rStyle w:val="VerbatimChar"/>
        </w:rPr>
        <w:t xml:space="preserve">docs/THE_THESIS.md</w:t>
      </w:r>
    </w:p>
    <w:p>
      <w:r>
        <w:pict>
          <v:rect style="width:0;height:1.5pt" o:hralign="center" o:hrstd="t" o:hr="t"/>
        </w:pict>
      </w:r>
    </w:p>
    <w:bookmarkStart w:id="9" w:name="what-it-is"/>
    <w:p>
      <w:pPr>
        <w:pStyle w:val="Heading2"/>
      </w:pPr>
      <w:r>
        <w:t xml:space="preserve">1. What it is</w:t>
      </w:r>
    </w:p>
    <w:p>
      <w:pPr>
        <w:pStyle w:val="FirstParagraph"/>
      </w:pPr>
      <w:r>
        <w:t xml:space="preserve">A new service line inside Tuthill Design:</w:t>
      </w:r>
      <w:r>
        <w:t xml:space="preserve"> </w:t>
      </w:r>
      <w:r>
        <w:rPr>
          <w:b/>
          <w:bCs/>
        </w:rPr>
        <w:t xml:space="preserve">real estate photography</w:t>
      </w:r>
      <w:r>
        <w:t xml:space="preserve">, marketed and sold under the Tuthill Design brand, with distribution in two regions — the Hudson Valley and the Deep South (Natchez corridor + Blues Highway).</w:t>
      </w:r>
    </w:p>
    <w:p>
      <w:pPr>
        <w:pStyle w:val="BodyText"/>
      </w:pPr>
      <w:r>
        <w:rPr>
          <w:b/>
          <w:bCs/>
        </w:rPr>
        <w:t xml:space="preserve">Context note on Tuthill Design’s existing book of business:</w:t>
      </w:r>
      <w:r>
        <w:t xml:space="preserve"> </w:t>
      </w:r>
      <w:r>
        <w:t xml:space="preserve">In parallel with launching the photography service line, Tuthill Design is also the contractual counterparty to</w:t>
      </w:r>
      <w:r>
        <w:t xml:space="preserve"> </w:t>
      </w:r>
      <w:r>
        <w:rPr>
          <w:b/>
          <w:bCs/>
        </w:rPr>
        <w:t xml:space="preserve">Scan2Plan</w:t>
      </w:r>
      <w:r>
        <w:t xml:space="preserve"> </w:t>
      </w:r>
      <w:r>
        <w:t xml:space="preserve">as of 2026-04-20 PM (Chase + Elijah + Miles brought the account in together, billed as Tuthill for collective bargaining and insurance alignment). Full scope of that restructure is in</w:t>
      </w:r>
      <w:r>
        <w:t xml:space="preserve"> </w:t>
      </w:r>
      <w:r>
        <w:rPr>
          <w:rStyle w:val="VerbatimChar"/>
        </w:rPr>
        <w:t xml:space="preserve">docs/partners/scan2plan-tuthill-account-2026-04-20.md</w:t>
      </w:r>
      <w:r>
        <w:t xml:space="preserve">. Tuthill Design also holds the</w:t>
      </w:r>
      <w:r>
        <w:t xml:space="preserve"> </w:t>
      </w:r>
      <w:r>
        <w:rPr>
          <w:b/>
          <w:bCs/>
        </w:rPr>
        <w:t xml:space="preserve">production insurance policy</w:t>
      </w:r>
      <w:r>
        <w:t xml:space="preserve"> </w:t>
      </w:r>
      <w:r>
        <w:t xml:space="preserve">that covers all production work across the ecosystem — photography, video, on-location shoots. Photography bookings under this scope are covered by that policy.</w:t>
      </w:r>
    </w:p>
    <w:p>
      <w:pPr>
        <w:pStyle w:val="BodyText"/>
      </w:pPr>
      <w:r>
        <w:t xml:space="preserve">It’s operationally distinct from</w:t>
      </w:r>
      <w:r>
        <w:t xml:space="preserve"> </w:t>
      </w:r>
      <w:r>
        <w:rPr>
          <w:b/>
          <w:bCs/>
        </w:rPr>
        <w:t xml:space="preserve">Chase Pierson Photography (CPP)</w:t>
      </w:r>
      <w:r>
        <w:t xml:space="preserve">, which keeps everything that isn’t real estate — portraits, events, editorial, fine art, brand photography, Big Muddy Magazine work, Blues Room show documentation, travel/place photography.</w:t>
      </w:r>
    </w:p>
    <w:p>
      <w:pPr>
        <w:pStyle w:val="BodyText"/>
      </w:pPr>
      <w:r>
        <w:t xml:space="preserve">The split in one line:</w:t>
      </w:r>
      <w:r>
        <w:t xml:space="preserve"> </w:t>
      </w:r>
      <w:r>
        <w:rPr>
          <w:b/>
          <w:bCs/>
        </w:rPr>
        <w:t xml:space="preserve">RE = Tuthill. Non-RE = CPP.</w:t>
      </w:r>
    </w:p>
    <w:p>
      <w:r>
        <w:pict>
          <v:rect style="width:0;height:1.5pt" o:hralign="center" o:hrstd="t" o:hr="t"/>
        </w:pict>
      </w:r>
    </w:p>
    <w:bookmarkEnd w:id="9"/>
    <w:bookmarkStart w:id="10" w:name="the-two-tier-booking-model"/>
    <w:p>
      <w:pPr>
        <w:pStyle w:val="Heading2"/>
      </w:pPr>
      <w:r>
        <w:t xml:space="preserve">2. The two-tier booking model</w:t>
      </w:r>
    </w:p>
    <w:p>
      <w:pPr>
        <w:pStyle w:val="FirstParagraph"/>
      </w:pPr>
      <w:r>
        <w:t xml:space="preserve">Every Tuthill Design Photography booking has two price tiers. The customer chooses: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Who shoots</w:t>
            </w:r>
          </w:p>
        </w:tc>
      </w:tr>
      <w:tr>
        <w:tc>
          <w:tcPr/>
          <w:p>
            <w:pPr>
              <w:pStyle w:val="Compact"/>
            </w:pPr>
            <w:r>
              <w:rPr>
                <w:b/>
                <w:bCs/>
              </w:rPr>
              <w:t xml:space="preserve">Tuthill Design standard</w:t>
            </w:r>
          </w:p>
        </w:tc>
        <w:tc>
          <w:tcPr/>
          <w:p>
            <w:pPr>
              <w:pStyle w:val="Compact"/>
            </w:pPr>
            <w:r>
              <w:t xml:space="preserve">Market-competitive for the region</w:t>
            </w:r>
          </w:p>
        </w:tc>
        <w:tc>
          <w:tcPr/>
          <w:p>
            <w:pPr>
              <w:pStyle w:val="Compact"/>
            </w:pPr>
            <w:r>
              <w:t xml:space="preserve">Any Tuthill Design photographer (may or may not be Chase). Tuthill assigns based on availability, geography, and fit.</w:t>
            </w:r>
          </w:p>
        </w:tc>
      </w:tr>
      <w:tr>
        <w:tc>
          <w:tcPr/>
          <w:p>
            <w:pPr>
              <w:pStyle w:val="Compact"/>
            </w:pPr>
            <w:r>
              <w:rPr>
                <w:b/>
                <w:bCs/>
              </w:rPr>
              <w:t xml:space="preserve">Chase Pierson premium</w:t>
            </w:r>
          </w:p>
        </w:tc>
        <w:tc>
          <w:tcPr/>
          <w:p>
            <w:pPr>
              <w:pStyle w:val="Compact"/>
            </w:pPr>
            <w:r>
              <w:t xml:space="preserve">Higher. Reflects Chase’s track record + named-talent value.</w:t>
            </w:r>
          </w:p>
        </w:tc>
        <w:tc>
          <w:tcPr/>
          <w:p>
            <w:pPr>
              <w:pStyle w:val="Compact"/>
            </w:pPr>
            <w:r>
              <w:t xml:space="preserve">Chase personally. Booked inside the Tuthill system as a named upgrade.</w:t>
            </w:r>
          </w:p>
        </w:tc>
      </w:tr>
    </w:tbl>
    <w:p>
      <w:pPr>
        <w:pStyle w:val="BodyText"/>
      </w:pPr>
      <w:r>
        <w:t xml:space="preserve">Both tiers are bookable from the same Tuthill Design Photography surface. The client picks their tier at the point of booking. No dual funnel, no customer confusion.</w:t>
      </w:r>
    </w:p>
    <w:p>
      <w:pPr>
        <w:pStyle w:val="BodyText"/>
      </w:pPr>
      <w:r>
        <w:rPr>
          <w:b/>
          <w:bCs/>
        </w:rPr>
        <w:t xml:space="preserve">Why this works:</w:t>
      </w:r>
      <w:r>
        <w:t xml:space="preserve"> </w:t>
      </w:r>
      <w:r>
        <w:t xml:space="preserve">- Tuthill Design gets a scalable service line that doesn’t require Chase for every shoot.</w:t>
      </w:r>
      <w:r>
        <w:t xml:space="preserve"> </w:t>
      </w:r>
      <w:r>
        <w:t xml:space="preserve">- Chase gets a premium-tier channel where his name and eye command a real premium without having to market CPP separately for RE work.</w:t>
      </w:r>
      <w:r>
        <w:t xml:space="preserve"> </w:t>
      </w:r>
      <w:r>
        <w:t xml:space="preserve">- The client gets a real choice —</w:t>
      </w:r>
      <w:r>
        <w:t xml:space="preserve"> </w:t>
      </w:r>
      <w:r>
        <w:t xml:space="preserve">“I want a professional Tuthill shoot”</w:t>
      </w:r>
      <w:r>
        <w:t xml:space="preserve"> </w:t>
      </w:r>
      <w:r>
        <w:t xml:space="preserve">vs. </w:t>
      </w:r>
      <w:r>
        <w:t xml:space="preserve">“I want Chase specifically.”</w:t>
      </w:r>
      <w:r>
        <w:t xml:space="preserve"> </w:t>
      </w:r>
      <w:r>
        <w:t xml:space="preserve">- Tuthill revenue compounds (more shoots possible because Chase isn’t the bottleneck).</w:t>
      </w:r>
      <w:r>
        <w:t xml:space="preserve"> </w:t>
      </w:r>
      <w:r>
        <w:t xml:space="preserve">- Chase’s time stays fractional on RE — the work routes to him only when the premium tier is selected.</w:t>
      </w:r>
    </w:p>
    <w:p>
      <w:r>
        <w:pict>
          <v:rect style="width:0;height:1.5pt" o:hralign="center" o:hrstd="t" o:hr="t"/>
        </w:pict>
      </w:r>
    </w:p>
    <w:bookmarkEnd w:id="10"/>
    <w:bookmarkStart w:id="11" w:name="Xda1c34e39f499b995417b16ef851a6710ded15d"/>
    <w:p>
      <w:pPr>
        <w:pStyle w:val="Heading2"/>
      </w:pPr>
      <w:r>
        <w:t xml:space="preserve">3. The baseline retainer — confirmed with Elijah + Miles 2026-04-20 PM</w:t>
      </w:r>
    </w:p>
    <w:p>
      <w:pPr>
        <w:pStyle w:val="FirstParagraph"/>
      </w:pPr>
      <w:r>
        <w:rPr>
          <w:b/>
          <w:bCs/>
        </w:rPr>
        <w:t xml:space="preserve">$500/month is the floor for any engagement</w:t>
      </w:r>
      <w:r>
        <w:t xml:space="preserve"> </w:t>
      </w:r>
      <w:r>
        <w:t xml:space="preserve">in this model — same pattern as the existing Utopia account. One $500/mo account = 10 hours at $50/hr, billed as a single classified engagement against one brand or project. Clients can stack additional $500/mo accounts as they take on more brands or project scopes.</w:t>
      </w:r>
    </w:p>
    <w:p>
      <w:pPr>
        <w:pStyle w:val="BodyText"/>
      </w:pPr>
      <w:r>
        <w:rPr>
          <w:b/>
          <w:bCs/>
        </w:rPr>
        <w:t xml:space="preserve">The current Big Muddy engagement with each partner studio is TWO $500/month accounts</w:t>
      </w:r>
      <w:r>
        <w:t xml:space="preserve"> </w:t>
      </w:r>
      <w:r>
        <w:t xml:space="preserve">(total $1,000/month per studio, 20 hours at $50/hr), each classified at the billing level so there’s no post-hoc allocation mess: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Account</w:t>
            </w:r>
          </w:p>
        </w:tc>
        <w:tc>
          <w:tcPr/>
          <w:p>
            <w:pPr>
              <w:pStyle w:val="Compact"/>
            </w:pPr>
            <w:r>
              <w:t xml:space="preserve">Monthly</w:t>
            </w:r>
          </w:p>
        </w:tc>
        <w:tc>
          <w:tcPr/>
          <w:p>
            <w:pPr>
              <w:pStyle w:val="Compact"/>
            </w:pPr>
            <w:r>
              <w:t xml:space="preserve">Hours</w:t>
            </w:r>
          </w:p>
        </w:tc>
        <w:tc>
          <w:tcPr/>
          <w:p>
            <w:pPr>
              <w:pStyle w:val="Compact"/>
            </w:pPr>
            <w:r>
              <w:t xml:space="preserve">Classification</w:t>
            </w:r>
          </w:p>
        </w:tc>
        <w:tc>
          <w:tcPr/>
          <w:p>
            <w:pPr>
              <w:pStyle w:val="Compact"/>
            </w:pPr>
            <w:r>
              <w:t xml:space="preserve">Work scope</w:t>
            </w:r>
          </w:p>
        </w:tc>
      </w:tr>
      <w:tr>
        <w:tc>
          <w:tcPr/>
          <w:p>
            <w:pPr>
              <w:pStyle w:val="Compact"/>
            </w:pPr>
            <w:r>
              <w:rPr>
                <w:b/>
                <w:bCs/>
              </w:rPr>
              <w:t xml:space="preserve">Big Muddy Touring</w:t>
            </w:r>
          </w:p>
        </w:tc>
        <w:tc>
          <w:tcPr/>
          <w:p>
            <w:pPr>
              <w:pStyle w:val="Compact"/>
            </w:pPr>
            <w:r>
              <w:t xml:space="preserve">$500</w:t>
            </w:r>
          </w:p>
        </w:tc>
        <w:tc>
          <w:tcPr/>
          <w:p>
            <w:pPr>
              <w:pStyle w:val="Compact"/>
            </w:pPr>
            <w:r>
              <w:t xml:space="preserve">10 hrs</w:t>
            </w:r>
          </w:p>
        </w:tc>
        <w:tc>
          <w:tcPr/>
          <w:p>
            <w:pPr>
              <w:pStyle w:val="Compact"/>
            </w:pPr>
            <w:r>
              <w:rPr>
                <w:rStyle w:val="VerbatimChar"/>
              </w:rPr>
              <w:t xml:space="preserve">TOUR</w:t>
            </w:r>
          </w:p>
        </w:tc>
        <w:tc>
          <w:tcPr/>
          <w:p>
            <w:pPr>
              <w:pStyle w:val="Compact"/>
            </w:pPr>
            <w:r>
              <w:t xml:space="preserve">Sprinter van ops + wrap, artist EPKs, touring content, road-side ops, Blues Room promo when it’s a touring show rather than an Inn show</w:t>
            </w:r>
          </w:p>
        </w:tc>
      </w:tr>
      <w:tr>
        <w:tc>
          <w:tcPr/>
          <w:p>
            <w:pPr>
              <w:pStyle w:val="Compact"/>
            </w:pPr>
            <w:r>
              <w:rPr>
                <w:b/>
                <w:bCs/>
              </w:rPr>
              <w:t xml:space="preserve">Big Muddy Inn + Magazine</w:t>
            </w:r>
          </w:p>
        </w:tc>
        <w:tc>
          <w:tcPr/>
          <w:p>
            <w:pPr>
              <w:pStyle w:val="Compact"/>
            </w:pPr>
            <w:r>
              <w:t xml:space="preserve">$500</w:t>
            </w:r>
          </w:p>
        </w:tc>
        <w:tc>
          <w:tcPr/>
          <w:p>
            <w:pPr>
              <w:pStyle w:val="Compact"/>
            </w:pPr>
            <w:r>
              <w:t xml:space="preserve">10 hrs</w:t>
            </w:r>
          </w:p>
        </w:tc>
        <w:tc>
          <w:tcPr/>
          <w:p>
            <w:pPr>
              <w:pStyle w:val="Compact"/>
            </w:pPr>
            <w:r>
              <w:rPr>
                <w:rStyle w:val="VerbatimChar"/>
              </w:rPr>
              <w:t xml:space="preserve">INN</w:t>
            </w:r>
            <w:r>
              <w:t xml:space="preserve"> </w:t>
            </w:r>
            <w:r>
              <w:t xml:space="preserve">+</w:t>
            </w:r>
            <w:r>
              <w:t xml:space="preserve"> </w:t>
            </w:r>
            <w:r>
              <w:rPr>
                <w:rStyle w:val="VerbatimChar"/>
              </w:rPr>
              <w:t xml:space="preserve">MAG</w:t>
            </w:r>
          </w:p>
        </w:tc>
        <w:tc>
          <w:tcPr/>
          <w:p>
            <w:pPr>
              <w:pStyle w:val="Compact"/>
            </w:pPr>
            <w:r>
              <w:t xml:space="preserve">Inn marketing + content + listing work, Magazine editorial/design/publishing support, in-house event documentation, Inn-side Blues Room ops</w:t>
            </w:r>
          </w:p>
        </w:tc>
      </w:tr>
    </w:tbl>
    <w:p>
      <w:pPr>
        <w:pStyle w:val="BodyText"/>
      </w:pPr>
      <w:r>
        <w:t xml:space="preserve">Each partner studio (Studio C Video + Tuthill Design) runs this same two-account structure, so:</w:t>
      </w:r>
      <w:r>
        <w:t xml:space="preserve"> </w:t>
      </w:r>
      <w:r>
        <w:t xml:space="preserve">- Studio C Video → $500 TOUR account + $500 INN/MAG account = $1,000/mo</w:t>
      </w:r>
      <w:r>
        <w:t xml:space="preserve"> </w:t>
      </w:r>
      <w:r>
        <w:t xml:space="preserve">- Tuthill Design → $500 TOUR account + $500 INN/MAG account = $1,000/mo</w:t>
      </w:r>
      <w:r>
        <w:t xml:space="preserve"> </w:t>
      </w:r>
      <w:r>
        <w:t xml:space="preserve">- Ecosystem total into partner studios = $2,000/mo = $24k/yr (unchanged; what changes is the internal billing structure)</w:t>
      </w:r>
    </w:p>
    <w:p>
      <w:pPr>
        <w:pStyle w:val="BodyText"/>
      </w:pPr>
      <w:r>
        <w:rPr>
          <w:b/>
          <w:bCs/>
        </w:rPr>
        <w:t xml:space="preserve">Start date: April 1, 2026</w:t>
      </w:r>
      <w:r>
        <w:t xml:space="preserve"> </w:t>
      </w:r>
      <w:r>
        <w:t xml:space="preserve">(backdated). The ramp-up and setup work already happening in April — scope docs, coordination calls, Cloudbeds onboarding prep, photography-tier pricing discussions, Sprinter wrap specs including the Studio C logo, 90-day plan alignment — all legitimately draws against April’s allocations (split across TOUR + INN/MAG as appropriate). Each studio has both April buckets available even though we formalized on April 20; the setup-phase work that’s been happening is the work the retainer is paying for. May 1 forward, the monthly cadence runs clean.</w:t>
      </w:r>
    </w:p>
    <w:p>
      <w:pPr>
        <w:pStyle w:val="BodyText"/>
      </w:pPr>
      <w:r>
        <w:rPr>
          <w:b/>
          <w:bCs/>
        </w:rPr>
        <w:t xml:space="preserve">Why this structure matters (vs. a single $1k/mo bucket with post-hoc allocation):</w:t>
      </w:r>
      <w:r>
        <w:t xml:space="preserve"> </w:t>
      </w:r>
      <w:r>
        <w:t xml:space="preserve">1.</w:t>
      </w:r>
      <w:r>
        <w:t xml:space="preserve"> </w:t>
      </w:r>
      <w:r>
        <w:rPr>
          <w:b/>
          <w:bCs/>
        </w:rPr>
        <w:t xml:space="preserve">Expense tracking is clean at the billing level.</w:t>
      </w:r>
      <w:r>
        <w:t xml:space="preserve"> </w:t>
      </w:r>
      <w:r>
        <w:t xml:space="preserve">No reconciliation debate about which hours were TOUR vs INN at month-end — it’s pre-classified when the work starts.</w:t>
      </w:r>
      <w:r>
        <w:t xml:space="preserve"> </w:t>
      </w:r>
      <w:r>
        <w:t xml:space="preserve">2.</w:t>
      </w:r>
      <w:r>
        <w:t xml:space="preserve"> </w:t>
      </w:r>
      <w:r>
        <w:rPr>
          <w:b/>
          <w:bCs/>
        </w:rPr>
        <w:t xml:space="preserve">Big Muddy Touring LLC</w:t>
      </w:r>
      <w:r>
        <w:t xml:space="preserve"> </w:t>
      </w:r>
      <w:r>
        <w:t xml:space="preserve">(when it spins out) already has clean expense history to inherit — the TOUR account line is its P&amp;L from day one.</w:t>
      </w:r>
      <w:r>
        <w:t xml:space="preserve"> </w:t>
      </w:r>
      <w:r>
        <w:t xml:space="preserve">3.</w:t>
      </w:r>
      <w:r>
        <w:t xml:space="preserve"> </w:t>
      </w:r>
      <w:r>
        <w:rPr>
          <w:b/>
          <w:bCs/>
        </w:rPr>
        <w:t xml:space="preserve">Hours overflow is contained by classification.</w:t>
      </w:r>
      <w:r>
        <w:t xml:space="preserve"> </w:t>
      </w:r>
      <w:r>
        <w:t xml:space="preserve">If TOUR work balloons in a month while INN is light, we can see the imbalance and decide whether to (a) authorize overflow on the TOUR side only, (b) reallocate one INN hour to TOUR, or (c) defer TOUR work.</w:t>
      </w:r>
      <w:r>
        <w:t xml:space="preserve"> </w:t>
      </w:r>
      <w:r>
        <w:t xml:space="preserve">4.</w:t>
      </w:r>
      <w:r>
        <w:t xml:space="preserve"> </w:t>
      </w:r>
      <w:r>
        <w:rPr>
          <w:b/>
          <w:bCs/>
        </w:rPr>
        <w:t xml:space="preserve">Pricing and client signalling.</w:t>
      </w:r>
      <w:r>
        <w:t xml:space="preserve"> </w:t>
      </w:r>
      <w:r>
        <w:t xml:space="preserve">The $500/mo floor matches Utopia and creates a clean unit for future engagements — Vicki’s first engagement is $500/mo, and she can add accounts as her needs expand.</w:t>
      </w:r>
    </w:p>
    <w:p>
      <w:pPr>
        <w:pStyle w:val="BodyText"/>
      </w:pPr>
      <w:r>
        <w:rPr>
          <w:b/>
          <w:bCs/>
        </w:rPr>
        <w:t xml:space="preserve">Overflow:</w:t>
      </w:r>
      <w:r>
        <w:t xml:space="preserve"> </w:t>
      </w:r>
      <w:r>
        <w:t xml:space="preserve">each account’s own hours roll one month forward and then reset. Overflow above the combined 20 hours (for either studio in aggregate) bills at the same $50/hr rate, with classification still captured per work unit.</w:t>
      </w:r>
    </w:p>
    <w:p>
      <w:pPr>
        <w:pStyle w:val="BodyText"/>
      </w:pPr>
      <w:r>
        <w:rPr>
          <w:b/>
          <w:bCs/>
        </w:rPr>
        <w:t xml:space="preserve">Hours tracking:</w:t>
      </w:r>
      <w:r>
        <w:t xml:space="preserve"> </w:t>
      </w:r>
      <w:r>
        <w:t xml:space="preserve">two shared Google Sheets per studio, one per account. Columns: date, who, hours, brief description. The classification is implicit in the account (all entries in the TOUR sheet are already coded TOUR). See</w:t>
      </w:r>
      <w:r>
        <w:t xml:space="preserve"> </w:t>
      </w:r>
      <w:r>
        <w:rPr>
          <w:rStyle w:val="VerbatimChar"/>
        </w:rPr>
        <w:t xml:space="preserve">docs/ecosystem-classification-taxonomy-2026-04-20.md</w:t>
      </w:r>
      <w:r>
        <w:t xml:space="preserve"> </w:t>
      </w:r>
      <w:r>
        <w:t xml:space="preserve">for the full code list — relevant here:</w:t>
      </w:r>
      <w:r>
        <w:t xml:space="preserve"> </w:t>
      </w:r>
      <w:r>
        <w:rPr>
          <w:rStyle w:val="VerbatimChar"/>
        </w:rPr>
        <w:t xml:space="preserve">TOUR</w:t>
      </w:r>
      <w:r>
        <w:t xml:space="preserve">,</w:t>
      </w:r>
      <w:r>
        <w:t xml:space="preserve"> </w:t>
      </w:r>
      <w:r>
        <w:rPr>
          <w:rStyle w:val="VerbatimChar"/>
        </w:rPr>
        <w:t xml:space="preserve">INN</w:t>
      </w:r>
      <w:r>
        <w:t xml:space="preserve">,</w:t>
      </w:r>
      <w:r>
        <w:t xml:space="preserve"> </w:t>
      </w:r>
      <w:r>
        <w:rPr>
          <w:rStyle w:val="VerbatimChar"/>
        </w:rPr>
        <w:t xml:space="preserve">MAG</w:t>
      </w:r>
      <w:r>
        <w:t xml:space="preserve">,</w:t>
      </w:r>
      <w:r>
        <w:t xml:space="preserve"> </w:t>
      </w:r>
      <w:r>
        <w:rPr>
          <w:rStyle w:val="VerbatimChar"/>
        </w:rPr>
        <w:t xml:space="preserve">BLUES</w:t>
      </w:r>
      <w:r>
        <w:t xml:space="preserve">,</w:t>
      </w:r>
      <w:r>
        <w:t xml:space="preserve"> </w:t>
      </w:r>
      <w:r>
        <w:rPr>
          <w:rStyle w:val="VerbatimChar"/>
        </w:rPr>
        <w:t xml:space="preserve">EVENTS</w:t>
      </w:r>
      <w:r>
        <w:t xml:space="preserve">.</w:t>
      </w:r>
      <w:r>
        <w:t xml:space="preserve"> </w:t>
      </w:r>
      <w:r>
        <w:rPr>
          <w:rStyle w:val="VerbatimChar"/>
        </w:rPr>
        <w:t xml:space="preserve">MBT-PLATFORM</w:t>
      </w:r>
      <w:r>
        <w:t xml:space="preserve"> </w:t>
      </w:r>
      <w:r>
        <w:t xml:space="preserve">work (e.g., Elijah’s Cloudbeds ride-along) draws against the INN/MAG account since the PMS is Inn-specific.</w:t>
      </w:r>
    </w:p>
    <w:p>
      <w:pPr>
        <w:pStyle w:val="BodyText"/>
      </w:pPr>
      <w:r>
        <w:rPr>
          <w:b/>
          <w:bCs/>
        </w:rPr>
        <w:t xml:space="preserve">What the retainer covers:</w:t>
      </w:r>
      <w:r>
        <w:t xml:space="preserve"> </w:t>
      </w:r>
      <w:r>
        <w:t xml:space="preserve">- Production work for Big Muddy brands (Inn video, Magazine assets, Blues Room documentation, touring EPK cuts, Amy’s records + radio visuals on the Studio C side)</w:t>
      </w:r>
      <w:r>
        <w:t xml:space="preserve"> </w:t>
      </w:r>
      <w:r>
        <w:t xml:space="preserve">- Design work for Big Muddy brands (brand systems, print, collateral, logo refinements, the Sprinter wrap on the Tuthill side)</w:t>
      </w:r>
      <w:r>
        <w:t xml:space="preserve"> </w:t>
      </w:r>
      <w:r>
        <w:t xml:space="preserve">- Elijah’s ride-along during the Fiverr Cloudbeds rebuild (inside the Studio C bucket — this is how he learns the PMS well enough to become the Inn’s Tier-1 support)</w:t>
      </w:r>
      <w:r>
        <w:t xml:space="preserve"> </w:t>
      </w:r>
      <w:r>
        <w:t xml:space="preserve">- Per-event promotional asset production for the partner studios’ own outbound marketing</w:t>
      </w:r>
    </w:p>
    <w:p>
      <w:pPr>
        <w:pStyle w:val="BodyText"/>
      </w:pPr>
      <w:r>
        <w:rPr>
          <w:b/>
          <w:bCs/>
        </w:rPr>
        <w:t xml:space="preserve">What’s outside the retainer (separate engagements):</w:t>
      </w:r>
      <w:r>
        <w:t xml:space="preserve"> </w:t>
      </w:r>
      <w:r>
        <w:t xml:space="preserve">- Tuthill Design Photography shoots — billed per-shoot at the tiered rates below, not against the retainer bucket</w:t>
      </w:r>
      <w:r>
        <w:t xml:space="preserve"> </w:t>
      </w:r>
      <w:r>
        <w:t xml:space="preserve">- Studio C video productions that exceed the bucket (e.g. a full-day wedding video shoot) — billed as project work</w:t>
      </w:r>
      <w:r>
        <w:t xml:space="preserve"> </w:t>
      </w:r>
      <w:r>
        <w:t xml:space="preserve">- Major brand refreshes or multi-deliverable campaigns — scoped and priced separately</w:t>
      </w:r>
    </w:p>
    <w:p>
      <w:pPr>
        <w:pStyle w:val="BodyText"/>
      </w:pPr>
      <w:r>
        <w:rPr>
          <w:b/>
          <w:bCs/>
        </w:rPr>
        <w:t xml:space="preserve">How hours get tracked:</w:t>
      </w:r>
      <w:r>
        <w:t xml:space="preserve"> </w:t>
      </w:r>
      <w:r>
        <w:t xml:space="preserve">- Each studio keeps a simple shared hours log (Google Sheet or similar)</w:t>
      </w:r>
      <w:r>
        <w:t xml:space="preserve"> </w:t>
      </w:r>
      <w:r>
        <w:t xml:space="preserve">- Monthly true-up: hours used, hours banked, hours overflow</w:t>
      </w:r>
      <w:r>
        <w:t xml:space="preserve"> </w:t>
      </w:r>
      <w:r>
        <w:t xml:space="preserve">- Unused hours roll at most one month forward; then reset</w:t>
      </w:r>
      <w:r>
        <w:t xml:space="preserve"> </w:t>
      </w:r>
      <w:r>
        <w:t xml:space="preserve">- Overflow above 20 hrs/mo is billed at the same $50/hr rate as the retainer</w:t>
      </w:r>
      <w:r>
        <w:t xml:space="preserve"> </w:t>
      </w:r>
      <w:r>
        <w:t xml:space="preserve">- MBT reviews the backlog monthly with Elijah + Miles and adjusts priorities</w:t>
      </w:r>
    </w:p>
    <w:p>
      <w:pPr>
        <w:pStyle w:val="BodyText"/>
      </w:pPr>
      <w:r>
        <w:rPr>
          <w:b/>
          <w:bCs/>
        </w:rPr>
        <w:t xml:space="preserve">Ecosystem cost basis:</w:t>
      </w:r>
      <w:r>
        <w:t xml:space="preserve"> </w:t>
      </w:r>
      <w:r>
        <w:t xml:space="preserve">$1k/mo × 2 studios = $24k/yr total, matching the</w:t>
      </w:r>
      <w:r>
        <w:t xml:space="preserve"> </w:t>
      </w:r>
      <w:r>
        <w:t xml:space="preserve">“Studio C services $12k/yr”</w:t>
      </w:r>
      <w:r>
        <w:t xml:space="preserve"> </w:t>
      </w:r>
      <w:r>
        <w:t xml:space="preserve">+</w:t>
      </w:r>
      <w:r>
        <w:t xml:space="preserve"> </w:t>
      </w:r>
      <w:r>
        <w:t xml:space="preserve">“(implicit partner studio services)”</w:t>
      </w:r>
      <w:r>
        <w:t xml:space="preserve"> </w:t>
      </w:r>
      <w:r>
        <w:t xml:space="preserve">lines already carried in the break-even math. (The break-even table’s</w:t>
      </w:r>
      <w:r>
        <w:t xml:space="preserve"> </w:t>
      </w:r>
      <w:r>
        <w:t xml:space="preserve">“Studio C services”</w:t>
      </w:r>
      <w:r>
        <w:t xml:space="preserve"> </w:t>
      </w:r>
      <w:r>
        <w:t xml:space="preserve">line now covers both Studio C and Tuthill Design retainers, renamed on next revision.)</w:t>
      </w:r>
    </w:p>
    <w:p>
      <w:r>
        <w:pict>
          <v:rect style="width:0;height:1.5pt" o:hralign="center" o:hrstd="t" o:hr="t"/>
        </w:pict>
      </w:r>
    </w:p>
    <w:bookmarkEnd w:id="11"/>
    <w:bookmarkStart w:id="16" w:name="Xeaf5a576d816bede949d2777cee47d5af3c4c7b"/>
    <w:p>
      <w:pPr>
        <w:pStyle w:val="Heading2"/>
      </w:pPr>
      <w:r>
        <w:t xml:space="preserve">4. Photography service-line revenue flow (framework — exact splits TBD with Miles)</w:t>
      </w:r>
    </w:p>
    <w:bookmarkStart w:id="12" w:name="X3ab74e22e733d8dc6c11ba171959bd42334a3c2"/>
    <w:p>
      <w:pPr>
        <w:pStyle w:val="Heading3"/>
      </w:pPr>
      <w:r>
        <w:t xml:space="preserve">When the client books the Tuthill standard tier AND the assigned shooter is NOT Chase:</w:t>
      </w:r>
    </w:p>
    <w:p>
      <w:pPr>
        <w:pStyle w:val="Compact"/>
        <w:numPr>
          <w:ilvl w:val="0"/>
          <w:numId w:val="1001"/>
        </w:numPr>
      </w:pPr>
      <w:r>
        <w:t xml:space="preserve">Client pays Tuthill Design</w:t>
      </w:r>
    </w:p>
    <w:p>
      <w:pPr>
        <w:pStyle w:val="Compact"/>
        <w:numPr>
          <w:ilvl w:val="0"/>
          <w:numId w:val="1001"/>
        </w:numPr>
      </w:pPr>
      <w:r>
        <w:t xml:space="preserve">Tuthill Design pays the assigned photographer per the standard contractor rate</w:t>
      </w:r>
    </w:p>
    <w:p>
      <w:pPr>
        <w:pStyle w:val="Compact"/>
        <w:numPr>
          <w:ilvl w:val="0"/>
          <w:numId w:val="1001"/>
        </w:numPr>
      </w:pPr>
      <w:r>
        <w:t xml:space="preserve">Tuthill Design keeps the margin</w:t>
      </w:r>
    </w:p>
    <w:p>
      <w:pPr>
        <w:pStyle w:val="Compact"/>
        <w:numPr>
          <w:ilvl w:val="0"/>
          <w:numId w:val="1001"/>
        </w:numPr>
      </w:pPr>
      <w:r>
        <w:t xml:space="preserve">MBT receives the marketing-operator fee (TBD — flat or percentage)</w:t>
      </w:r>
    </w:p>
    <w:bookmarkEnd w:id="12"/>
    <w:bookmarkStart w:id="13" w:name="Xfb182c9bbdff4c403d543fb09f0260b9cb8d502"/>
    <w:p>
      <w:pPr>
        <w:pStyle w:val="Heading3"/>
      </w:pPr>
      <w:r>
        <w:t xml:space="preserve">When the client books the Tuthill standard tier AND the assigned shooter IS Chase:</w:t>
      </w:r>
    </w:p>
    <w:p>
      <w:pPr>
        <w:pStyle w:val="Compact"/>
        <w:numPr>
          <w:ilvl w:val="0"/>
          <w:numId w:val="1002"/>
        </w:numPr>
      </w:pPr>
      <w:r>
        <w:t xml:space="preserve">Client pays Tuthill Design the standard rate</w:t>
      </w:r>
    </w:p>
    <w:p>
      <w:pPr>
        <w:pStyle w:val="Compact"/>
        <w:numPr>
          <w:ilvl w:val="0"/>
          <w:numId w:val="1002"/>
        </w:numPr>
      </w:pPr>
      <w:r>
        <w:t xml:space="preserve">Chase is paid at Tuthill’s standard contractor rate (same as any other shooter)</w:t>
      </w:r>
    </w:p>
    <w:p>
      <w:pPr>
        <w:pStyle w:val="Compact"/>
        <w:numPr>
          <w:ilvl w:val="0"/>
          <w:numId w:val="1002"/>
        </w:numPr>
      </w:pPr>
      <w:r>
        <w:t xml:space="preserve">Chase’s premium brand is not in play at this tier</w:t>
      </w:r>
    </w:p>
    <w:bookmarkEnd w:id="13"/>
    <w:bookmarkStart w:id="14" w:name="Xb276a13ffbfec1ff7b2778cb4b8d404af855f61"/>
    <w:p>
      <w:pPr>
        <w:pStyle w:val="Heading3"/>
      </w:pPr>
      <w:r>
        <w:t xml:space="preserve">When the client books the Chase-premium tier:</w:t>
      </w:r>
    </w:p>
    <w:p>
      <w:pPr>
        <w:pStyle w:val="Compact"/>
        <w:numPr>
          <w:ilvl w:val="0"/>
          <w:numId w:val="1003"/>
        </w:numPr>
      </w:pPr>
      <w:r>
        <w:t xml:space="preserve">Client pays Tuthill Design the premium rate</w:t>
      </w:r>
    </w:p>
    <w:p>
      <w:pPr>
        <w:pStyle w:val="Compact"/>
        <w:numPr>
          <w:ilvl w:val="0"/>
          <w:numId w:val="1003"/>
        </w:numPr>
      </w:pPr>
      <w:r>
        <w:t xml:space="preserve">Chase is paid at his premium shoot rate (significantly higher than standard contractor rate)</w:t>
      </w:r>
    </w:p>
    <w:p>
      <w:pPr>
        <w:pStyle w:val="Compact"/>
        <w:numPr>
          <w:ilvl w:val="0"/>
          <w:numId w:val="1003"/>
        </w:numPr>
      </w:pPr>
      <w:r>
        <w:t xml:space="preserve">Tuthill keeps a coordination/delivery fee (smaller absolute margin; the premium belongs to Chase)</w:t>
      </w:r>
    </w:p>
    <w:p>
      <w:pPr>
        <w:pStyle w:val="Compact"/>
        <w:numPr>
          <w:ilvl w:val="0"/>
          <w:numId w:val="1003"/>
        </w:numPr>
      </w:pPr>
      <w:r>
        <w:t xml:space="preserve">MBT receives the marketing-operator fee</w:t>
      </w:r>
    </w:p>
    <w:bookmarkEnd w:id="14"/>
    <w:bookmarkStart w:id="15" w:name="Xd97103b897904bb05b7ad2ef6d385dffa90dbd1"/>
    <w:p>
      <w:pPr>
        <w:pStyle w:val="Heading3"/>
      </w:pPr>
      <w:r>
        <w:t xml:space="preserve">Illustrative numbers (to be locked with Miles):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Client pays</w:t>
            </w:r>
          </w:p>
        </w:tc>
        <w:tc>
          <w:tcPr/>
          <w:p>
            <w:pPr>
              <w:pStyle w:val="Compact"/>
            </w:pPr>
            <w:r>
              <w:t xml:space="preserve">Tuthill keeps</w:t>
            </w:r>
          </w:p>
        </w:tc>
        <w:tc>
          <w:tcPr/>
          <w:p>
            <w:pPr>
              <w:pStyle w:val="Compact"/>
            </w:pPr>
            <w:r>
              <w:t xml:space="preserve">Chase paid</w:t>
            </w:r>
          </w:p>
        </w:tc>
        <w:tc>
          <w:tcPr/>
          <w:p>
            <w:pPr>
              <w:pStyle w:val="Compact"/>
            </w:pPr>
            <w:r>
              <w:t xml:space="preserve">MBT marketing fee</w:t>
            </w:r>
          </w:p>
        </w:tc>
      </w:tr>
      <w:tr>
        <w:tc>
          <w:tcPr/>
          <w:p>
            <w:pPr>
              <w:pStyle w:val="Compact"/>
            </w:pPr>
            <w:r>
              <w:t xml:space="preserve">Tuthill standard (non-Chase shooter)</w:t>
            </w:r>
          </w:p>
        </w:tc>
        <w:tc>
          <w:tcPr/>
          <w:p>
            <w:pPr>
              <w:pStyle w:val="Compact"/>
            </w:pPr>
            <w:r>
              <w:t xml:space="preserve">$800</w:t>
            </w:r>
          </w:p>
        </w:tc>
        <w:tc>
          <w:tcPr/>
          <w:p>
            <w:pPr>
              <w:pStyle w:val="Compact"/>
            </w:pPr>
            <w:r>
              <w:t xml:space="preserve">$300</w:t>
            </w:r>
          </w:p>
        </w:tc>
        <w:tc>
          <w:tcPr/>
          <w:p>
            <w:pPr>
              <w:pStyle w:val="Compact"/>
            </w:pPr>
            <w:r>
              <w:t xml:space="preserve">$400 (to assigned photographer)</w:t>
            </w:r>
          </w:p>
        </w:tc>
        <w:tc>
          <w:tcPr/>
          <w:p>
            <w:pPr>
              <w:pStyle w:val="Compact"/>
            </w:pPr>
            <w:r>
              <w:t xml:space="preserve">$100</w:t>
            </w:r>
          </w:p>
        </w:tc>
      </w:tr>
      <w:tr>
        <w:tc>
          <w:tcPr/>
          <w:p>
            <w:pPr>
              <w:pStyle w:val="Compact"/>
            </w:pPr>
            <w:r>
              <w:t xml:space="preserve">Tuthill standard (Chase shoots)</w:t>
            </w:r>
          </w:p>
        </w:tc>
        <w:tc>
          <w:tcPr/>
          <w:p>
            <w:pPr>
              <w:pStyle w:val="Compact"/>
            </w:pPr>
            <w:r>
              <w:t xml:space="preserve">$800</w:t>
            </w:r>
          </w:p>
        </w:tc>
        <w:tc>
          <w:tcPr/>
          <w:p>
            <w:pPr>
              <w:pStyle w:val="Compact"/>
            </w:pPr>
            <w:r>
              <w:t xml:space="preserve">$300</w:t>
            </w:r>
          </w:p>
        </w:tc>
        <w:tc>
          <w:tcPr/>
          <w:p>
            <w:pPr>
              <w:pStyle w:val="Compact"/>
            </w:pPr>
            <w:r>
              <w:t xml:space="preserve">$400</w:t>
            </w:r>
          </w:p>
        </w:tc>
        <w:tc>
          <w:tcPr/>
          <w:p>
            <w:pPr>
              <w:pStyle w:val="Compact"/>
            </w:pPr>
            <w:r>
              <w:t xml:space="preserve">$100</w:t>
            </w:r>
          </w:p>
        </w:tc>
      </w:tr>
      <w:tr>
        <w:tc>
          <w:tcPr/>
          <w:p>
            <w:pPr>
              <w:pStyle w:val="Compact"/>
            </w:pPr>
            <w:r>
              <w:t xml:space="preserve">Chase-premium tier</w:t>
            </w:r>
          </w:p>
        </w:tc>
        <w:tc>
          <w:tcPr/>
          <w:p>
            <w:pPr>
              <w:pStyle w:val="Compact"/>
            </w:pPr>
            <w:r>
              <w:t xml:space="preserve">$1,500</w:t>
            </w:r>
          </w:p>
        </w:tc>
        <w:tc>
          <w:tcPr/>
          <w:p>
            <w:pPr>
              <w:pStyle w:val="Compact"/>
            </w:pPr>
            <w:r>
              <w:t xml:space="preserve">$300</w:t>
            </w:r>
          </w:p>
        </w:tc>
        <w:tc>
          <w:tcPr/>
          <w:p>
            <w:pPr>
              <w:pStyle w:val="Compact"/>
            </w:pPr>
            <w:r>
              <w:t xml:space="preserve">$1,100</w:t>
            </w:r>
          </w:p>
        </w:tc>
        <w:tc>
          <w:tcPr/>
          <w:p>
            <w:pPr>
              <w:pStyle w:val="Compact"/>
            </w:pPr>
            <w:r>
              <w:t xml:space="preserve">$100</w:t>
            </w:r>
          </w:p>
        </w:tc>
      </w:tr>
    </w:tbl>
    <w:p>
      <w:pPr>
        <w:pStyle w:val="BodyText"/>
      </w:pPr>
      <w:r>
        <w:t xml:space="preserve">These are placeholders. Real numbers depend on the Hudson Valley vs. Deep South market, deliverable package (photos + drone + twilight?), and whatever Miles and Chase agree is fair.</w:t>
      </w:r>
    </w:p>
    <w:p>
      <w:r>
        <w:pict>
          <v:rect style="width:0;height:1.5pt" o:hralign="center" o:hrstd="t" o:hr="t"/>
        </w:pict>
      </w:r>
    </w:p>
    <w:bookmarkEnd w:id="15"/>
    <w:bookmarkEnd w:id="16"/>
    <w:bookmarkStart w:id="20" w:name="geographic-strategy"/>
    <w:p>
      <w:pPr>
        <w:pStyle w:val="Heading2"/>
      </w:pPr>
      <w:r>
        <w:t xml:space="preserve">5. Geographic strategy</w:t>
      </w:r>
    </w:p>
    <w:bookmarkStart w:id="17" w:name="hudson-valley-mayoctober-peak"/>
    <w:p>
      <w:pPr>
        <w:pStyle w:val="Heading3"/>
      </w:pPr>
      <w:r>
        <w:t xml:space="preserve">Hudson Valley (May–October peak)</w:t>
      </w:r>
    </w:p>
    <w:p>
      <w:pPr>
        <w:pStyle w:val="Compact"/>
        <w:numPr>
          <w:ilvl w:val="0"/>
          <w:numId w:val="1004"/>
        </w:numPr>
      </w:pPr>
      <w:r>
        <w:t xml:space="preserve">Primary corridor: Woodstock, Kingston, New Paltz, Hudson, Rhinebeck, Beacon</w:t>
      </w:r>
    </w:p>
    <w:p>
      <w:pPr>
        <w:pStyle w:val="Compact"/>
        <w:numPr>
          <w:ilvl w:val="0"/>
          <w:numId w:val="1004"/>
        </w:numPr>
      </w:pPr>
      <w:r>
        <w:t xml:space="preserve">Existing relationships to re-engage: Chase’s prior RE clients (Warren Realty, Halter Associates, various brokers)</w:t>
      </w:r>
    </w:p>
    <w:p>
      <w:pPr>
        <w:pStyle w:val="Compact"/>
        <w:numPr>
          <w:ilvl w:val="0"/>
          <w:numId w:val="1004"/>
        </w:numPr>
      </w:pPr>
      <w:r>
        <w:t xml:space="preserve">Tracy’s biz dev layered on top</w:t>
      </w:r>
    </w:p>
    <w:p>
      <w:pPr>
        <w:pStyle w:val="Compact"/>
        <w:numPr>
          <w:ilvl w:val="0"/>
          <w:numId w:val="1004"/>
        </w:numPr>
      </w:pPr>
      <w:r>
        <w:t xml:space="preserve">Counter-seasonal with Deep South</w:t>
      </w:r>
    </w:p>
    <w:bookmarkEnd w:id="17"/>
    <w:bookmarkStart w:id="18" w:name="deep-south-octoberapril-peak"/>
    <w:p>
      <w:pPr>
        <w:pStyle w:val="Heading3"/>
      </w:pPr>
      <w:r>
        <w:t xml:space="preserve">Deep South (October–April peak)</w:t>
      </w:r>
    </w:p>
    <w:p>
      <w:pPr>
        <w:pStyle w:val="Compact"/>
        <w:numPr>
          <w:ilvl w:val="0"/>
          <w:numId w:val="1005"/>
        </w:numPr>
      </w:pPr>
      <w:r>
        <w:t xml:space="preserve">Primary corridor: Natchez + Blues Highway + Delta</w:t>
      </w:r>
    </w:p>
    <w:p>
      <w:pPr>
        <w:pStyle w:val="Compact"/>
        <w:numPr>
          <w:ilvl w:val="0"/>
          <w:numId w:val="1005"/>
        </w:numPr>
      </w:pPr>
      <w:r>
        <w:t xml:space="preserve">Anchor: Paul Green Realty pilot (5-agent package, in the 90-day plan)</w:t>
      </w:r>
    </w:p>
    <w:p>
      <w:pPr>
        <w:pStyle w:val="Compact"/>
        <w:numPr>
          <w:ilvl w:val="0"/>
          <w:numId w:val="1005"/>
        </w:numPr>
      </w:pPr>
      <w:r>
        <w:t xml:space="preserve">Vicki Wolpert’s Woodstock broker directory is a cross-region reference — she refers south, we refer north</w:t>
      </w:r>
    </w:p>
    <w:p>
      <w:pPr>
        <w:pStyle w:val="Compact"/>
        <w:numPr>
          <w:ilvl w:val="0"/>
          <w:numId w:val="1005"/>
        </w:numPr>
      </w:pPr>
      <w:r>
        <w:t xml:space="preserve">New territory for Tuthill — this is the</w:t>
      </w:r>
      <w:r>
        <w:t xml:space="preserve"> </w:t>
      </w:r>
      <w:r>
        <w:t xml:space="preserve">“amplify into a new market”</w:t>
      </w:r>
      <w:r>
        <w:t xml:space="preserve"> </w:t>
      </w:r>
      <w:r>
        <w:t xml:space="preserve">play the partner-studios-pitch describes</w:t>
      </w:r>
    </w:p>
    <w:bookmarkEnd w:id="18"/>
    <w:bookmarkStart w:id="19" w:name="counter-seasonality-in-practice"/>
    <w:p>
      <w:pPr>
        <w:pStyle w:val="Heading3"/>
      </w:pPr>
      <w:r>
        <w:t xml:space="preserve">Counter-seasonality in practice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Quarter</w:t>
            </w:r>
          </w:p>
        </w:tc>
        <w:tc>
          <w:tcPr/>
          <w:p>
            <w:pPr>
              <w:pStyle w:val="Compact"/>
            </w:pPr>
            <w:r>
              <w:t xml:space="preserve">Hudson Valley</w:t>
            </w:r>
          </w:p>
        </w:tc>
        <w:tc>
          <w:tcPr/>
          <w:p>
            <w:pPr>
              <w:pStyle w:val="Compact"/>
            </w:pPr>
            <w:r>
              <w:t xml:space="preserve">Deep South</w:t>
            </w:r>
          </w:p>
        </w:tc>
      </w:tr>
      <w:tr>
        <w:tc>
          <w:tcPr/>
          <w:p>
            <w:pPr>
              <w:pStyle w:val="Compact"/>
            </w:pPr>
            <w:r>
              <w:t xml:space="preserve">Q2 (May–Jul)</w:t>
            </w:r>
          </w:p>
        </w:tc>
        <w:tc>
          <w:tcPr/>
          <w:p>
            <w:pPr>
              <w:pStyle w:val="Compact"/>
            </w:pPr>
            <w:r>
              <w:t xml:space="preserve">Peak RE season — listings, rentals, Airbnb</w:t>
            </w:r>
          </w:p>
        </w:tc>
        <w:tc>
          <w:tcPr/>
          <w:p>
            <w:pPr>
              <w:pStyle w:val="Compact"/>
            </w:pPr>
            <w:r>
              <w:t xml:space="preserve">Slow — heat + slow MS tourism</w:t>
            </w:r>
          </w:p>
        </w:tc>
      </w:tr>
      <w:tr>
        <w:tc>
          <w:tcPr/>
          <w:p>
            <w:pPr>
              <w:pStyle w:val="Compact"/>
            </w:pPr>
            <w:r>
              <w:t xml:space="preserve">Q3 (Aug–Oct)</w:t>
            </w:r>
          </w:p>
        </w:tc>
        <w:tc>
          <w:tcPr/>
          <w:p>
            <w:pPr>
              <w:pStyle w:val="Compact"/>
            </w:pPr>
            <w:r>
              <w:t xml:space="preserve">Strong fall listings</w:t>
            </w:r>
          </w:p>
        </w:tc>
        <w:tc>
          <w:tcPr/>
          <w:p>
            <w:pPr>
              <w:pStyle w:val="Compact"/>
            </w:pPr>
            <w:r>
              <w:t xml:space="preserve">Ramping into peak</w:t>
            </w:r>
          </w:p>
        </w:tc>
      </w:tr>
      <w:tr>
        <w:tc>
          <w:tcPr/>
          <w:p>
            <w:pPr>
              <w:pStyle w:val="Compact"/>
            </w:pPr>
            <w:r>
              <w:t xml:space="preserve">Q4 (Nov–Jan)</w:t>
            </w:r>
          </w:p>
        </w:tc>
        <w:tc>
          <w:tcPr/>
          <w:p>
            <w:pPr>
              <w:pStyle w:val="Compact"/>
            </w:pPr>
            <w:r>
              <w:t xml:space="preserve">Winter slow</w:t>
            </w:r>
          </w:p>
        </w:tc>
        <w:tc>
          <w:tcPr/>
          <w:p>
            <w:pPr>
              <w:pStyle w:val="Compact"/>
            </w:pPr>
            <w:r>
              <w:t xml:space="preserve">Peak — holiday tourism + event bookings</w:t>
            </w:r>
          </w:p>
        </w:tc>
      </w:tr>
      <w:tr>
        <w:tc>
          <w:tcPr/>
          <w:p>
            <w:pPr>
              <w:pStyle w:val="Compact"/>
            </w:pPr>
            <w:r>
              <w:t xml:space="preserve">Q1 (Feb–Apr)</w:t>
            </w:r>
          </w:p>
        </w:tc>
        <w:tc>
          <w:tcPr/>
          <w:p>
            <w:pPr>
              <w:pStyle w:val="Compact"/>
            </w:pPr>
            <w:r>
              <w:t xml:space="preserve">Pre-peak warm-up</w:t>
            </w:r>
          </w:p>
        </w:tc>
        <w:tc>
          <w:tcPr/>
          <w:p>
            <w:pPr>
              <w:pStyle w:val="Compact"/>
            </w:pPr>
            <w:r>
              <w:t xml:space="preserve">Still strong — spring tourism</w:t>
            </w:r>
          </w:p>
        </w:tc>
      </w:tr>
    </w:tbl>
    <w:p>
      <w:pPr>
        <w:pStyle w:val="BodyText"/>
      </w:pPr>
      <w:r>
        <w:t xml:space="preserve">One team, two regions, near-full-year utilization. That’s the shape.</w:t>
      </w:r>
    </w:p>
    <w:p>
      <w:r>
        <w:pict>
          <v:rect style="width:0;height:1.5pt" o:hralign="center" o:hrstd="t" o:hr="t"/>
        </w:pict>
      </w:r>
    </w:p>
    <w:bookmarkEnd w:id="19"/>
    <w:bookmarkEnd w:id="20"/>
    <w:bookmarkStart w:id="21" w:name="marketing-push-first-90-days"/>
    <w:p>
      <w:pPr>
        <w:pStyle w:val="Heading2"/>
      </w:pPr>
      <w:r>
        <w:t xml:space="preserve">6. Marketing push — first 90 days</w:t>
      </w:r>
    </w:p>
    <w:p>
      <w:pPr>
        <w:pStyle w:val="FirstParagraph"/>
      </w:pPr>
      <w:r>
        <w:rPr>
          <w:b/>
          <w:bCs/>
        </w:rPr>
        <w:t xml:space="preserve">Channels: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Purpose</w:t>
            </w:r>
          </w:p>
        </w:tc>
        <w:tc>
          <w:tcPr/>
          <w:p>
            <w:pPr>
              <w:pStyle w:val="Compact"/>
            </w:pPr>
            <w:r>
              <w:t xml:space="preserve">Owner</w:t>
            </w:r>
          </w:p>
        </w:tc>
      </w:tr>
      <w:tr>
        <w:tc>
          <w:tcPr/>
          <w:p>
            <w:pPr>
              <w:pStyle w:val="Compact"/>
            </w:pPr>
            <w:r>
              <w:t xml:space="preserve">Tracy’s biz dev / CRM</w:t>
            </w:r>
          </w:p>
        </w:tc>
        <w:tc>
          <w:tcPr/>
          <w:p>
            <w:pPr>
              <w:pStyle w:val="Compact"/>
            </w:pPr>
            <w:r>
              <w:t xml:space="preserve">Direct outreach to brokers + property managers</w:t>
            </w:r>
          </w:p>
        </w:tc>
        <w:tc>
          <w:tcPr/>
          <w:p>
            <w:pPr>
              <w:pStyle w:val="Compact"/>
            </w:pPr>
            <w:r>
              <w:t xml:space="preserve">Tracy</w:t>
            </w:r>
          </w:p>
        </w:tc>
      </w:tr>
      <w:tr>
        <w:tc>
          <w:tcPr/>
          <w:p>
            <w:pPr>
              <w:pStyle w:val="Compact"/>
            </w:pPr>
            <w:r>
              <w:t xml:space="preserve">Tuthill Design portfolio page (web)</w:t>
            </w:r>
          </w:p>
        </w:tc>
        <w:tc>
          <w:tcPr/>
          <w:p>
            <w:pPr>
              <w:pStyle w:val="Compact"/>
            </w:pPr>
            <w:r>
              <w:t xml:space="preserve">Service catalog + booking surface</w:t>
            </w:r>
          </w:p>
        </w:tc>
        <w:tc>
          <w:tcPr/>
          <w:p>
            <w:pPr>
              <w:pStyle w:val="Compact"/>
            </w:pPr>
            <w:r>
              <w:t xml:space="preserve">MBT</w:t>
            </w:r>
          </w:p>
        </w:tc>
      </w:tr>
      <w:tr>
        <w:tc>
          <w:tcPr/>
          <w:p>
            <w:pPr>
              <w:pStyle w:val="Compact"/>
            </w:pPr>
            <w:r>
              <w:t xml:space="preserve">Deep South Directory (as applicable)</w:t>
            </w:r>
          </w:p>
        </w:tc>
        <w:tc>
          <w:tcPr/>
          <w:p>
            <w:pPr>
              <w:pStyle w:val="Compact"/>
            </w:pPr>
            <w:r>
              <w:t xml:space="preserve">Directory listing for RE services</w:t>
            </w:r>
          </w:p>
        </w:tc>
        <w:tc>
          <w:tcPr/>
          <w:p>
            <w:pPr>
              <w:pStyle w:val="Compact"/>
            </w:pPr>
            <w:r>
              <w:t xml:space="preserve">MBT</w:t>
            </w:r>
          </w:p>
        </w:tc>
      </w:tr>
      <w:tr>
        <w:tc>
          <w:tcPr/>
          <w:p>
            <w:pPr>
              <w:pStyle w:val="Compact"/>
            </w:pPr>
            <w:r>
              <w:t xml:space="preserve">Big Muddy Magazine</w:t>
            </w:r>
          </w:p>
        </w:tc>
        <w:tc>
          <w:tcPr/>
          <w:p>
            <w:pPr>
              <w:pStyle w:val="Compact"/>
            </w:pPr>
            <w:r>
              <w:t xml:space="preserve">Editorial coverage of notable properties</w:t>
            </w:r>
          </w:p>
        </w:tc>
        <w:tc>
          <w:tcPr/>
          <w:p>
            <w:pPr>
              <w:pStyle w:val="Compact"/>
            </w:pPr>
            <w:r>
              <w:t xml:space="preserve">Tracy</w:t>
            </w:r>
          </w:p>
        </w:tc>
      </w:tr>
      <w:tr>
        <w:tc>
          <w:tcPr/>
          <w:p>
            <w:pPr>
              <w:pStyle w:val="Compact"/>
            </w:pPr>
            <w:r>
              <w:t xml:space="preserve">Studio C Video cross-pollination</w:t>
            </w:r>
          </w:p>
        </w:tc>
        <w:tc>
          <w:tcPr/>
          <w:p>
            <w:pPr>
              <w:pStyle w:val="Compact"/>
            </w:pPr>
            <w:r>
              <w:t xml:space="preserve">Video walkthrough upsell bundle</w:t>
            </w:r>
          </w:p>
        </w:tc>
        <w:tc>
          <w:tcPr/>
          <w:p>
            <w:pPr>
              <w:pStyle w:val="Compact"/>
            </w:pPr>
            <w:r>
              <w:t xml:space="preserve">Elijah</w:t>
            </w:r>
          </w:p>
        </w:tc>
      </w:tr>
      <w:tr>
        <w:tc>
          <w:tcPr/>
          <w:p>
            <w:pPr>
              <w:pStyle w:val="Compact"/>
            </w:pPr>
            <w:r>
              <w:t xml:space="preserve">Paul Green Realty pilot</w:t>
            </w:r>
          </w:p>
        </w:tc>
        <w:tc>
          <w:tcPr/>
          <w:p>
            <w:pPr>
              <w:pStyle w:val="Compact"/>
            </w:pPr>
            <w:r>
              <w:t xml:space="preserve">First 5-agent package</w:t>
            </w:r>
          </w:p>
        </w:tc>
        <w:tc>
          <w:tcPr/>
          <w:p>
            <w:pPr>
              <w:pStyle w:val="Compact"/>
            </w:pPr>
            <w:r>
              <w:t xml:space="preserve">Chase + Tracy</w:t>
            </w:r>
          </w:p>
        </w:tc>
      </w:tr>
      <w:tr>
        <w:tc>
          <w:tcPr/>
          <w:p>
            <w:pPr>
              <w:pStyle w:val="Compact"/>
            </w:pPr>
            <w:r>
              <w:t xml:space="preserve">Vicki Wolpert referrals</w:t>
            </w:r>
          </w:p>
        </w:tc>
        <w:tc>
          <w:tcPr/>
          <w:p>
            <w:pPr>
              <w:pStyle w:val="Compact"/>
            </w:pPr>
            <w:r>
              <w:t xml:space="preserve">Cross-region agent referrals</w:t>
            </w:r>
          </w:p>
        </w:tc>
        <w:tc>
          <w:tcPr/>
          <w:p>
            <w:pPr>
              <w:pStyle w:val="Compact"/>
            </w:pPr>
            <w:r>
              <w:t xml:space="preserve">Vicki</w:t>
            </w:r>
          </w:p>
        </w:tc>
      </w:tr>
    </w:tbl>
    <w:p>
      <w:pPr>
        <w:pStyle w:val="BodyText"/>
      </w:pPr>
      <w:r>
        <w:rPr>
          <w:b/>
          <w:bCs/>
        </w:rPr>
        <w:t xml:space="preserve">Explicit NOT in scope for the first 90 days:</w:t>
      </w:r>
      <w:r>
        <w:t xml:space="preserve"> </w:t>
      </w:r>
      <w:r>
        <w:t xml:space="preserve">- Paid search / Google Ads on generic RE photography keywords (expensive, low conversion without local trust)</w:t>
      </w:r>
      <w:r>
        <w:t xml:space="preserve"> </w:t>
      </w:r>
      <w:r>
        <w:t xml:space="preserve">- Zillow / Redfin integration (not relevant for boutique/independent brokerage work)</w:t>
      </w:r>
      <w:r>
        <w:t xml:space="preserve"> </w:t>
      </w:r>
      <w:r>
        <w:t xml:space="preserve">- Third-party marketplace listings (Thumbtack, etc. — race-to-bottom pricing)</w:t>
      </w:r>
    </w:p>
    <w:p>
      <w:pPr>
        <w:pStyle w:val="BodyText"/>
      </w:pPr>
      <w:r>
        <w:rPr>
          <w:b/>
          <w:bCs/>
        </w:rPr>
        <w:t xml:space="preserve">Outreach cadence (Week 1 of the 90-day plan, Tracy owns):</w:t>
      </w:r>
      <w:r>
        <w:t xml:space="preserve"> </w:t>
      </w:r>
      <w:r>
        <w:t xml:space="preserve">- Split the existing photography-past-client list into (a) RE clients → Tuthill Design Photography pitch, (b) non-RE → CPP re-engagement</w:t>
      </w:r>
      <w:r>
        <w:t xml:space="preserve"> </w:t>
      </w:r>
      <w:r>
        <w:t xml:space="preserve">- RE re-engagement email opens:</w:t>
      </w:r>
      <w:r>
        <w:t xml:space="preserve"> </w:t>
      </w:r>
      <w:r>
        <w:t xml:space="preserve">“Chase is back to shooting in [region]. Tuthill Design Photography is the new home for his real estate work, with a two-tier booking (Tuthill standard rate or Chase-premium tier). Here’s the scope + pricing.”</w:t>
      </w:r>
      <w:r>
        <w:t xml:space="preserve"> </w:t>
      </w:r>
      <w:r>
        <w:t xml:space="preserve">- Non-RE re-engagement stays under CPP brand</w:t>
      </w:r>
    </w:p>
    <w:p>
      <w:r>
        <w:pict>
          <v:rect style="width:0;height:1.5pt" o:hralign="center" o:hrstd="t" o:hr="t"/>
        </w:pict>
      </w:r>
    </w:p>
    <w:bookmarkEnd w:id="21"/>
    <w:bookmarkStart w:id="22" w:name="operational-workflow"/>
    <w:p>
      <w:pPr>
        <w:pStyle w:val="Heading2"/>
      </w:pPr>
      <w:r>
        <w:t xml:space="preserve">7. Operational workflow</w:t>
      </w:r>
    </w:p>
    <w:p>
      <w:pPr>
        <w:pStyle w:val="FirstParagraph"/>
      </w:pPr>
      <w:r>
        <w:rPr>
          <w:b/>
          <w:bCs/>
        </w:rPr>
        <w:t xml:space="preserve">Intake</w:t>
      </w:r>
      <w:r>
        <w:t xml:space="preserve"> </w:t>
      </w:r>
      <w:r>
        <w:t xml:space="preserve">(any channel):</w:t>
      </w:r>
      <w:r>
        <w:t xml:space="preserve"> </w:t>
      </w:r>
      <w:r>
        <w:t xml:space="preserve">1. Client lands on Tuthill Design Photography booking page or contacts Tracy</w:t>
      </w:r>
      <w:r>
        <w:t xml:space="preserve"> </w:t>
      </w:r>
      <w:r>
        <w:t xml:space="preserve">2. Chooses property scope (square footage, rooms, drone yes/no, twilight yes/no, video yes/no)</w:t>
      </w:r>
      <w:r>
        <w:t xml:space="preserve"> </w:t>
      </w:r>
      <w:r>
        <w:t xml:space="preserve">3. Chooses tier: Tuthill standard vs. Chase-premium</w:t>
      </w:r>
      <w:r>
        <w:t xml:space="preserve"> </w:t>
      </w:r>
      <w:r>
        <w:t xml:space="preserve">4. Chooses date</w:t>
      </w:r>
      <w:r>
        <w:t xml:space="preserve"> </w:t>
      </w:r>
      <w:r>
        <w:t xml:space="preserve">5. Deposit collected via Stripe</w:t>
      </w:r>
    </w:p>
    <w:p>
      <w:pPr>
        <w:pStyle w:val="BodyText"/>
      </w:pPr>
      <w:r>
        <w:rPr>
          <w:b/>
          <w:bCs/>
        </w:rPr>
        <w:t xml:space="preserve">Assignment</w:t>
      </w:r>
      <w:r>
        <w:t xml:space="preserve"> </w:t>
      </w:r>
      <w:r>
        <w:t xml:space="preserve">(Tuthill operations):</w:t>
      </w:r>
      <w:r>
        <w:t xml:space="preserve"> </w:t>
      </w:r>
      <w:r>
        <w:t xml:space="preserve">- Tuthill-standard tier → Tuthill assigns from available pool based on date + geography</w:t>
      </w:r>
      <w:r>
        <w:t xml:space="preserve"> </w:t>
      </w:r>
      <w:r>
        <w:t xml:space="preserve">- Chase-premium tier → Chase personally, calendar-locked</w:t>
      </w:r>
      <w:r>
        <w:t xml:space="preserve"> </w:t>
      </w:r>
      <w:r>
        <w:t xml:space="preserve">- If Chase-premium is requested but Chase is unavailable on the requested date, client can either reschedule or drop to standard rate with different shooter (clearly communicated at booking)</w:t>
      </w:r>
    </w:p>
    <w:p>
      <w:pPr>
        <w:pStyle w:val="BodyText"/>
      </w:pPr>
      <w:r>
        <w:rPr>
          <w:b/>
          <w:bCs/>
        </w:rPr>
        <w:t xml:space="preserve">Delivery</w:t>
      </w:r>
      <w:r>
        <w:t xml:space="preserve"> </w:t>
      </w:r>
      <w:r>
        <w:t xml:space="preserve">(Tuthill standardized):</w:t>
      </w:r>
      <w:r>
        <w:t xml:space="preserve"> </w:t>
      </w:r>
      <w:r>
        <w:t xml:space="preserve">- Raw capture handled by assigned shooter</w:t>
      </w:r>
      <w:r>
        <w:t xml:space="preserve"> </w:t>
      </w:r>
      <w:r>
        <w:t xml:space="preserve">- Edits + color grading done by Tuthill’s editing workflow (standardized look for the brand regardless of shooter)</w:t>
      </w:r>
      <w:r>
        <w:t xml:space="preserve"> </w:t>
      </w:r>
      <w:r>
        <w:t xml:space="preserve">- Delivery: Tuthill-branded gallery, 48–72 hour turnaround for standard, 72-hour for premium with Chase’s personal selects/edits highlighted</w:t>
      </w:r>
      <w:r>
        <w:t xml:space="preserve"> </w:t>
      </w:r>
      <w:r>
        <w:t xml:space="preserve">- Client gets Tuthill Design Photography delivery, consistent with brand</w:t>
      </w:r>
    </w:p>
    <w:p>
      <w:pPr>
        <w:pStyle w:val="BodyText"/>
      </w:pPr>
      <w:r>
        <w:rPr>
          <w:b/>
          <w:bCs/>
        </w:rPr>
        <w:t xml:space="preserve">Studio C Video upsell:</w:t>
      </w:r>
      <w:r>
        <w:t xml:space="preserve"> </w:t>
      </w:r>
      <w:r>
        <w:t xml:space="preserve">- At booking or at delivery, customer offered video walkthrough add-on</w:t>
      </w:r>
      <w:r>
        <w:t xml:space="preserve"> </w:t>
      </w:r>
      <w:r>
        <w:t xml:space="preserve">- Elijah / Studio C fulfills</w:t>
      </w:r>
      <w:r>
        <w:t xml:space="preserve"> </w:t>
      </w:r>
      <w:r>
        <w:t xml:space="preserve">- Creates a natural Tuthill + Studio C bundle under the partner-amplification thesis</w:t>
      </w:r>
    </w:p>
    <w:p>
      <w:r>
        <w:pict>
          <v:rect style="width:0;height:1.5pt" o:hralign="center" o:hrstd="t" o:hr="t"/>
        </w:pict>
      </w:r>
    </w:p>
    <w:bookmarkEnd w:id="22"/>
    <w:bookmarkStart w:id="23" w:name="X46237f58c98a1575c8d12fe36d51cca78694fb3"/>
    <w:p>
      <w:pPr>
        <w:pStyle w:val="Heading2"/>
      </w:pPr>
      <w:r>
        <w:t xml:space="preserve">8. What Tuthill Design (Miles) needs to agree to</w:t>
      </w:r>
    </w:p>
    <w:p>
      <w:pPr>
        <w:pStyle w:val="FirstParagraph"/>
      </w:pPr>
      <w:r>
        <w:t xml:space="preserve">Before this ships, Chase and Miles have a 30-minute alignment call covering:</w:t>
      </w:r>
    </w:p>
    <w:p>
      <w:pPr>
        <w:pStyle w:val="Compact"/>
        <w:numPr>
          <w:ilvl w:val="0"/>
          <w:numId w:val="1006"/>
        </w:numPr>
      </w:pPr>
      <w:r>
        <w:rPr>
          <w:b/>
          <w:bCs/>
        </w:rPr>
        <w:t xml:space="preserve">Brand use</w:t>
      </w:r>
      <w:r>
        <w:t xml:space="preserve"> </w:t>
      </w:r>
      <w:r>
        <w:t xml:space="preserve">— Tuthill Design Photography is a Tuthill-branded service; does Miles approve the brand-extension and the two-tier pricing model?</w:t>
      </w:r>
    </w:p>
    <w:p>
      <w:pPr>
        <w:pStyle w:val="Compact"/>
        <w:numPr>
          <w:ilvl w:val="0"/>
          <w:numId w:val="1006"/>
        </w:numPr>
      </w:pPr>
      <w:r>
        <w:rPr>
          <w:b/>
          <w:bCs/>
        </w:rPr>
        <w:t xml:space="preserve">Operational ownership</w:t>
      </w:r>
      <w:r>
        <w:t xml:space="preserve"> </w:t>
      </w:r>
      <w:r>
        <w:t xml:space="preserve">— who owns shooter assignment, editing workflow, client delivery? Tuthill or MBT?</w:t>
      </w:r>
    </w:p>
    <w:p>
      <w:pPr>
        <w:pStyle w:val="Compact"/>
        <w:numPr>
          <w:ilvl w:val="0"/>
          <w:numId w:val="1006"/>
        </w:numPr>
      </w:pPr>
      <w:r>
        <w:rPr>
          <w:b/>
          <w:bCs/>
        </w:rPr>
        <w:t xml:space="preserve">Revenue share splits</w:t>
      </w:r>
      <w:r>
        <w:t xml:space="preserve"> </w:t>
      </w:r>
      <w:r>
        <w:t xml:space="preserve">— exact percentages on each tier; MBT marketing-operator fee structure</w:t>
      </w:r>
    </w:p>
    <w:p>
      <w:pPr>
        <w:pStyle w:val="Compact"/>
        <w:numPr>
          <w:ilvl w:val="0"/>
          <w:numId w:val="1006"/>
        </w:numPr>
      </w:pPr>
      <w:r>
        <w:rPr>
          <w:b/>
          <w:bCs/>
        </w:rPr>
        <w:t xml:space="preserve">Shooter pool</w:t>
      </w:r>
      <w:r>
        <w:t xml:space="preserve"> </w:t>
      </w:r>
      <w:r>
        <w:t xml:space="preserve">— does Tuthill recruit standard-tier photographers, or does MBT handle it?</w:t>
      </w:r>
    </w:p>
    <w:p>
      <w:pPr>
        <w:pStyle w:val="Compact"/>
        <w:numPr>
          <w:ilvl w:val="0"/>
          <w:numId w:val="1006"/>
        </w:numPr>
      </w:pPr>
      <w:r>
        <w:rPr>
          <w:b/>
          <w:bCs/>
        </w:rPr>
        <w:t xml:space="preserve">Reporting cadence</w:t>
      </w:r>
      <w:r>
        <w:t xml:space="preserve"> </w:t>
      </w:r>
      <w:r>
        <w:t xml:space="preserve">— how often does Tuthill see booking pipeline and revenue split?</w:t>
      </w:r>
    </w:p>
    <w:p>
      <w:pPr>
        <w:pStyle w:val="Compact"/>
        <w:numPr>
          <w:ilvl w:val="0"/>
          <w:numId w:val="1006"/>
        </w:numPr>
      </w:pPr>
      <w:r>
        <w:rPr>
          <w:b/>
          <w:bCs/>
        </w:rPr>
        <w:t xml:space="preserve">Exit clause</w:t>
      </w:r>
      <w:r>
        <w:t xml:space="preserve"> </w:t>
      </w:r>
      <w:r>
        <w:t xml:space="preserve">— if either side wants out, what’s the notice period + obligations to open bookings?</w:t>
      </w:r>
    </w:p>
    <w:p>
      <w:pPr>
        <w:pStyle w:val="FirstParagraph"/>
      </w:pPr>
      <w:r>
        <w:t xml:space="preserve">The partner-studios-pitch already frames the larger relationship. This call is the concrete product-level agreement inside that frame.</w:t>
      </w:r>
    </w:p>
    <w:p>
      <w:r>
        <w:pict>
          <v:rect style="width:0;height:1.5pt" o:hralign="center" o:hrstd="t" o:hr="t"/>
        </w:pict>
      </w:r>
    </w:p>
    <w:bookmarkEnd w:id="23"/>
    <w:bookmarkStart w:id="24" w:name="X0bf9cc15911c230d50f008db418affe116c47c4"/>
    <w:p>
      <w:pPr>
        <w:pStyle w:val="Heading2"/>
      </w:pPr>
      <w:r>
        <w:t xml:space="preserve">9. Chase Pierson Photography (CPP) — scope, refined</w:t>
      </w:r>
    </w:p>
    <w:p>
      <w:pPr>
        <w:pStyle w:val="FirstParagraph"/>
      </w:pPr>
      <w:r>
        <w:t xml:space="preserve">Under the new split, CPP is</w:t>
      </w:r>
      <w:r>
        <w:t xml:space="preserve"> </w:t>
      </w:r>
      <w:r>
        <w:rPr>
          <w:b/>
          <w:bCs/>
        </w:rPr>
        <w:t xml:space="preserve">everything non-real-estate</w:t>
      </w:r>
      <w:r>
        <w:t xml:space="preserve">:</w:t>
      </w:r>
    </w:p>
    <w:p>
      <w:pPr>
        <w:pStyle w:val="Compact"/>
        <w:numPr>
          <w:ilvl w:val="0"/>
          <w:numId w:val="1007"/>
        </w:numPr>
      </w:pPr>
      <w:r>
        <w:t xml:space="preserve">Portraits (headshots, family, executive, editorial)</w:t>
      </w:r>
    </w:p>
    <w:p>
      <w:pPr>
        <w:pStyle w:val="Compact"/>
        <w:numPr>
          <w:ilvl w:val="0"/>
          <w:numId w:val="1007"/>
        </w:numPr>
      </w:pPr>
      <w:r>
        <w:t xml:space="preserve">Events (weddings — the wedding package from the 90-day plan lives here — corporate events, private events, tour documentation)</w:t>
      </w:r>
    </w:p>
    <w:p>
      <w:pPr>
        <w:pStyle w:val="Compact"/>
        <w:numPr>
          <w:ilvl w:val="0"/>
          <w:numId w:val="1007"/>
        </w:numPr>
      </w:pPr>
      <w:r>
        <w:t xml:space="preserve">Fine art + gallery print sales (Chase Pierson Photography gallery, ongoing)</w:t>
      </w:r>
    </w:p>
    <w:p>
      <w:pPr>
        <w:pStyle w:val="Compact"/>
        <w:numPr>
          <w:ilvl w:val="0"/>
          <w:numId w:val="1007"/>
        </w:numPr>
      </w:pPr>
      <w:r>
        <w:t xml:space="preserve">Editorial assignments (Big Muddy Magazine, outside editorial)</w:t>
      </w:r>
    </w:p>
    <w:p>
      <w:pPr>
        <w:pStyle w:val="Compact"/>
        <w:numPr>
          <w:ilvl w:val="0"/>
          <w:numId w:val="1007"/>
        </w:numPr>
      </w:pPr>
      <w:r>
        <w:t xml:space="preserve">Brand / commercial photography for non-RE brands</w:t>
      </w:r>
    </w:p>
    <w:p>
      <w:pPr>
        <w:pStyle w:val="Compact"/>
        <w:numPr>
          <w:ilvl w:val="0"/>
          <w:numId w:val="1007"/>
        </w:numPr>
      </w:pPr>
      <w:r>
        <w:t xml:space="preserve">Travel / place photography (the Mississippi stock footage pipeline, the Bearsville/Catskills archive)</w:t>
      </w:r>
    </w:p>
    <w:p>
      <w:pPr>
        <w:pStyle w:val="Compact"/>
        <w:numPr>
          <w:ilvl w:val="0"/>
          <w:numId w:val="1007"/>
        </w:numPr>
      </w:pPr>
      <w:r>
        <w:t xml:space="preserve">Blues Room + Studio C live shoot documentation</w:t>
      </w:r>
    </w:p>
    <w:p>
      <w:pPr>
        <w:pStyle w:val="FirstParagraph"/>
      </w:pPr>
      <w:r>
        <w:t xml:space="preserve">CPP keeps its brand, its gallery, its existing marketing surface, and its client relationships.</w:t>
      </w:r>
    </w:p>
    <w:p>
      <w:pPr>
        <w:pStyle w:val="BodyText"/>
      </w:pPr>
      <w:r>
        <w:rPr>
          <w:b/>
          <w:bCs/>
        </w:rPr>
        <w:t xml:space="preserve">What CPP is NOT doing anymore:</w:t>
      </w:r>
      <w:r>
        <w:t xml:space="preserve"> </w:t>
      </w:r>
      <w:r>
        <w:t xml:space="preserve">real estate listing photography. Those leads route to Tuthill Design Photography.</w:t>
      </w:r>
    </w:p>
    <w:p>
      <w:r>
        <w:pict>
          <v:rect style="width:0;height:1.5pt" o:hralign="center" o:hrstd="t" o:hr="t"/>
        </w:pict>
      </w:r>
    </w:p>
    <w:bookmarkEnd w:id="24"/>
    <w:bookmarkStart w:id="25" w:name="Xeb4c605fb147c1e6ea7707226ad797dfb38f106"/>
    <w:p>
      <w:pPr>
        <w:pStyle w:val="Heading2"/>
      </w:pPr>
      <w:r>
        <w:t xml:space="preserve">10. Entity-structure decision for CPP (recommendation)</w:t>
      </w:r>
    </w:p>
    <w:p>
      <w:pPr>
        <w:pStyle w:val="FirstParagraph"/>
      </w:pPr>
      <w:r>
        <w:rPr>
          <w:b/>
          <w:bCs/>
        </w:rPr>
        <w:t xml:space="preserve">Three options on the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What it does</w:t>
            </w:r>
          </w:p>
        </w:tc>
        <w:tc>
          <w:tcPr/>
          <w:p>
            <w:pPr>
              <w:pStyle w:val="Compact"/>
            </w:pPr>
            <w:r>
              <w:t xml:space="preserve">Pros</w:t>
            </w:r>
          </w:p>
        </w:tc>
        <w:tc>
          <w:tcPr/>
          <w:p>
            <w:pPr>
              <w:pStyle w:val="Compact"/>
            </w:pPr>
            <w:r>
              <w:t xml:space="preserve">Cons</w:t>
            </w:r>
          </w:p>
        </w:tc>
      </w:tr>
      <w:tr>
        <w:tc>
          <w:tcPr/>
          <w:p>
            <w:pPr>
              <w:pStyle w:val="Compact"/>
            </w:pPr>
            <w:r>
              <w:rPr>
                <w:b/>
                <w:bCs/>
              </w:rPr>
              <w:t xml:space="preserve">1. Rename FarleyPierson LLC → Chase Pierson Photography LLC</w:t>
            </w:r>
          </w:p>
        </w:tc>
        <w:tc>
          <w:tcPr/>
          <w:p>
            <w:pPr>
              <w:pStyle w:val="Compact"/>
            </w:pPr>
            <w:r>
              <w:t xml:space="preserve">Keep the NY entity + EIN (81-4280721), file an amendment to change the name</w:t>
            </w:r>
          </w:p>
        </w:tc>
        <w:tc>
          <w:tcPr/>
          <w:p>
            <w:pPr>
              <w:pStyle w:val="Compact"/>
            </w:pPr>
            <w:r>
              <w:t xml:space="preserve">Minimal disruption; EIN preserved; dedicated entity for CPP</w:t>
            </w:r>
          </w:p>
        </w:tc>
        <w:tc>
          <w:tcPr/>
          <w:p>
            <w:pPr>
              <w:pStyle w:val="Compact"/>
            </w:pPr>
            <w:r>
              <w:t xml:space="preserve">NY filing fee + time; adds an ongoing LLC to maintain</w:t>
            </w:r>
          </w:p>
        </w:tc>
      </w:tr>
      <w:tr>
        <w:tc>
          <w:tcPr/>
          <w:p>
            <w:pPr>
              <w:pStyle w:val="Compact"/>
            </w:pPr>
            <w:r>
              <w:rPr>
                <w:b/>
                <w:bCs/>
              </w:rPr>
              <w:t xml:space="preserve">2. Close FarleyPierson LLC. Run CPP as a DBA (</w:t>
            </w:r>
            <w:r>
              <w:rPr>
                <w:b/>
                <w:bCs/>
              </w:rPr>
              <w:t xml:space="preserve">“doing business as”</w:t>
            </w:r>
            <w:r>
              <w:rPr>
                <w:b/>
                <w:bCs/>
              </w:rPr>
              <w:t xml:space="preserve">) of MBT</w:t>
            </w:r>
          </w:p>
        </w:tc>
        <w:tc>
          <w:tcPr/>
          <w:p>
            <w:pPr>
              <w:pStyle w:val="Compact"/>
            </w:pPr>
            <w:r>
              <w:t xml:space="preserve">MBT = legal operating entity;</w:t>
            </w:r>
            <w:r>
              <w:t xml:space="preserve"> </w:t>
            </w:r>
            <w:r>
              <w:t xml:space="preserve">“Chase Pierson Photography”</w:t>
            </w:r>
            <w:r>
              <w:t xml:space="preserve"> </w:t>
            </w:r>
            <w:r>
              <w:t xml:space="preserve">is a DBA registered in whatever state MBT operates in</w:t>
            </w:r>
          </w:p>
        </w:tc>
        <w:tc>
          <w:tcPr/>
          <w:p>
            <w:pPr>
              <w:pStyle w:val="Compact"/>
            </w:pPr>
            <w:r>
              <w:t xml:space="preserve">Simplest admin; MBT already exists; one entity, multiple brand surfaces (like Big Muddy Touring, Big Muddy Magazine, etc. could all be DBAs)</w:t>
            </w:r>
          </w:p>
        </w:tc>
        <w:tc>
          <w:tcPr/>
          <w:p>
            <w:pPr>
              <w:pStyle w:val="Compact"/>
            </w:pPr>
            <w:r>
              <w:t xml:space="preserve">MBT’s bookkeeping mixes platform + service revenue (not a real problem, just messier in reports)</w:t>
            </w:r>
          </w:p>
        </w:tc>
      </w:tr>
      <w:tr>
        <w:tc>
          <w:tcPr/>
          <w:p>
            <w:pPr>
              <w:pStyle w:val="Compact"/>
            </w:pPr>
            <w:r>
              <w:rPr>
                <w:b/>
                <w:bCs/>
              </w:rPr>
              <w:t xml:space="preserve">3. Close FarleyPierson LLC. Spin up new Chase Pierson Photography LLC</w:t>
            </w:r>
          </w:p>
        </w:tc>
        <w:tc>
          <w:tcPr/>
          <w:p>
            <w:pPr>
              <w:pStyle w:val="Compact"/>
            </w:pPr>
            <w:r>
              <w:t xml:space="preserve">New entity with new EIN, new bank account, new everything</w:t>
            </w:r>
          </w:p>
        </w:tc>
        <w:tc>
          <w:tcPr/>
          <w:p>
            <w:pPr>
              <w:pStyle w:val="Compact"/>
            </w:pPr>
            <w:r>
              <w:t xml:space="preserve">Clean dedicated entity; clean liability boundary</w:t>
            </w:r>
          </w:p>
        </w:tc>
        <w:tc>
          <w:tcPr/>
          <w:p>
            <w:pPr>
              <w:pStyle w:val="Compact"/>
            </w:pPr>
            <w:r>
              <w:t xml:space="preserve">Most admin overhead; new EIN means every client needs updated W-9s</w:t>
            </w:r>
          </w:p>
        </w:tc>
      </w:tr>
    </w:tbl>
    <w:p>
      <w:pPr>
        <w:pStyle w:val="BodyText"/>
      </w:pPr>
      <w:r>
        <w:rPr>
          <w:b/>
          <w:bCs/>
        </w:rPr>
        <w:t xml:space="preserve">Recommendation: Option 2 — close FarleyPierson LLC, run CPP as a DBA of MBT.</w:t>
      </w:r>
    </w:p>
    <w:p>
      <w:pPr>
        <w:pStyle w:val="BodyText"/>
      </w:pPr>
      <w:r>
        <w:t xml:space="preserve">Why:</w:t>
      </w:r>
      <w:r>
        <w:t xml:space="preserve"> </w:t>
      </w:r>
      <w:r>
        <w:t xml:space="preserve">- MBT is already the operating entity for the whole ecosystem. Adding CPP as a DBA is the same pattern Big Muddy Natchez LLC follows (a subsidiary of MBT for distinct liability profile). CPP’s liability profile is low (service + IP, no guests, no road, no venue), so a DBA is sufficient without a full subsidiary LLC.</w:t>
      </w:r>
      <w:r>
        <w:t xml:space="preserve"> </w:t>
      </w:r>
      <w:r>
        <w:t xml:space="preserve">- Closes one legacy LLC (FarleyPierson) that was flagged for retirement back on 2026-04-19 anyway.</w:t>
      </w:r>
      <w:r>
        <w:t xml:space="preserve"> </w:t>
      </w:r>
      <w:r>
        <w:t xml:space="preserve">- Lets Chase bill clients under</w:t>
      </w:r>
      <w:r>
        <w:t xml:space="preserve"> </w:t>
      </w:r>
      <w:r>
        <w:t xml:space="preserve">“Chase Pierson Photography”</w:t>
      </w:r>
      <w:r>
        <w:t xml:space="preserve"> </w:t>
      </w:r>
      <w:r>
        <w:t xml:space="preserve">without maintaining a dedicated entity.</w:t>
      </w:r>
      <w:r>
        <w:t xml:space="preserve"> </w:t>
      </w:r>
      <w:r>
        <w:t xml:space="preserve">- Streamlines accounting — one operating entity for the ecosystem, multiple revenue streams by DBA + by department.</w:t>
      </w:r>
      <w:r>
        <w:t xml:space="preserve"> </w:t>
      </w:r>
      <w:r>
        <w:t xml:space="preserve">- Counsel still needs to rubber-stamp it, but it’s the path with the fewest moving parts.</w:t>
      </w:r>
    </w:p>
    <w:p>
      <w:pPr>
        <w:pStyle w:val="BodyText"/>
      </w:pPr>
      <w:r>
        <w:rPr>
          <w:b/>
          <w:bCs/>
        </w:rPr>
        <w:t xml:space="preserve">Action:</w:t>
      </w:r>
      <w:r>
        <w:t xml:space="preserve"> </w:t>
      </w:r>
      <w:r>
        <w:t xml:space="preserve">before executing, confirm with counsel that (a) MBT can register</w:t>
      </w:r>
      <w:r>
        <w:t xml:space="preserve"> </w:t>
      </w:r>
      <w:r>
        <w:t xml:space="preserve">“Chase Pierson Photography”</w:t>
      </w:r>
      <w:r>
        <w:t xml:space="preserve"> </w:t>
      </w:r>
      <w:r>
        <w:t xml:space="preserve">as a DBA in its home state, (b) it’s also registrable in NY (where Hudson Valley clients are), (c) closing FarleyPierson LLC doesn’t have any outstanding tax or contract obligations.</w:t>
      </w:r>
    </w:p>
    <w:p>
      <w:r>
        <w:pict>
          <v:rect style="width:0;height:1.5pt" o:hralign="center" o:hrstd="t" o:hr="t"/>
        </w:pict>
      </w:r>
    </w:p>
    <w:bookmarkEnd w:id="25"/>
    <w:bookmarkStart w:id="26" w:name="what-this-changes-in-the-existing-docs"/>
    <w:p>
      <w:pPr>
        <w:pStyle w:val="Heading2"/>
      </w:pPr>
      <w:r>
        <w:t xml:space="preserve">11. What this changes in the existing docs</w:t>
      </w:r>
    </w:p>
    <w:p>
      <w:pPr>
        <w:pStyle w:val="Compact"/>
        <w:numPr>
          <w:ilvl w:val="0"/>
          <w:numId w:val="1008"/>
        </w:numPr>
      </w:pPr>
      <w:r>
        <w:rPr>
          <w:b/>
          <w:bCs/>
        </w:rPr>
        <w:t xml:space="preserve">THE_THESIS.md</w:t>
      </w:r>
      <w:r>
        <w:t xml:space="preserve"> </w:t>
      </w:r>
      <w:r>
        <w:t xml:space="preserve">— portfolio section gets a Tuthill Design Photography line; CPP line gets refined to</w:t>
      </w:r>
      <w:r>
        <w:t xml:space="preserve"> </w:t>
      </w:r>
      <w:r>
        <w:t xml:space="preserve">“non-RE only”</w:t>
      </w:r>
      <w:r>
        <w:t xml:space="preserve">; entity-structure note updated from</w:t>
      </w:r>
      <w:r>
        <w:t xml:space="preserve"> </w:t>
      </w:r>
      <w:r>
        <w:t xml:space="preserve">“FarleyPierson TBD”</w:t>
      </w:r>
      <w:r>
        <w:t xml:space="preserve"> </w:t>
      </w:r>
      <w:r>
        <w:t xml:space="preserve">to</w:t>
      </w:r>
      <w:r>
        <w:t xml:space="preserve"> </w:t>
      </w:r>
      <w:r>
        <w:t xml:space="preserve">“close + DBA from MBT (pending counsel)”</w:t>
      </w:r>
    </w:p>
    <w:p>
      <w:pPr>
        <w:pStyle w:val="Compact"/>
        <w:numPr>
          <w:ilvl w:val="0"/>
          <w:numId w:val="1008"/>
        </w:numPr>
      </w:pPr>
      <w:r>
        <w:rPr>
          <w:b/>
          <w:bCs/>
        </w:rPr>
        <w:t xml:space="preserve">90_DAY_PLAN.md</w:t>
      </w:r>
      <w:r>
        <w:t xml:space="preserve"> </w:t>
      </w:r>
      <w:r>
        <w:t xml:space="preserve">— Week 1 photography re-engagement splits into two outreach tracks (Tuthill RE vs. CPP non-RE); the $100k CPP revenue line needs to be re-cast as</w:t>
      </w:r>
      <w:r>
        <w:t xml:space="preserve"> </w:t>
      </w:r>
      <w:r>
        <w:t xml:space="preserve">“photography revenue”</w:t>
      </w:r>
      <w:r>
        <w:t xml:space="preserve"> </w:t>
      </w:r>
      <w:r>
        <w:t xml:space="preserve">spanning Tuthill RE + CPP non-RE</w:t>
      </w:r>
    </w:p>
    <w:p>
      <w:pPr>
        <w:pStyle w:val="Compact"/>
        <w:numPr>
          <w:ilvl w:val="0"/>
          <w:numId w:val="1008"/>
        </w:numPr>
      </w:pPr>
      <w:r>
        <w:rPr>
          <w:b/>
          <w:bCs/>
        </w:rPr>
        <w:t xml:space="preserve">STORY_KIT.md</w:t>
      </w:r>
      <w:r>
        <w:t xml:space="preserve"> </w:t>
      </w:r>
      <w:r>
        <w:t xml:space="preserve">— brand descriptions add Tuthill Design Photography; CPP brand description refined to non-RE</w:t>
      </w:r>
    </w:p>
    <w:p>
      <w:pPr>
        <w:pStyle w:val="Compact"/>
        <w:numPr>
          <w:ilvl w:val="0"/>
          <w:numId w:val="1008"/>
        </w:numPr>
      </w:pPr>
      <w:r>
        <w:rPr>
          <w:b/>
          <w:bCs/>
        </w:rPr>
        <w:t xml:space="preserve">partner-studios-pitch-2026-04-20.md</w:t>
      </w:r>
      <w:r>
        <w:t xml:space="preserve"> </w:t>
      </w:r>
      <w:r>
        <w:t xml:space="preserve">— Tuthill Design gets an explicit product-level scope (photography service line) to anchor the conversation with Miles</w:t>
      </w:r>
    </w:p>
    <w:p>
      <w:pPr>
        <w:pStyle w:val="Compact"/>
        <w:numPr>
          <w:ilvl w:val="0"/>
          <w:numId w:val="1008"/>
        </w:numPr>
      </w:pPr>
      <w:r>
        <w:rPr>
          <w:b/>
          <w:bCs/>
        </w:rPr>
        <w:t xml:space="preserve">/story page</w:t>
      </w:r>
      <w:r>
        <w:t xml:space="preserve"> </w:t>
      </w:r>
      <w:r>
        <w:t xml:space="preserve">— portfolio section reflects the split</w:t>
      </w:r>
    </w:p>
    <w:p>
      <w:r>
        <w:pict>
          <v:rect style="width:0;height:1.5pt" o:hralign="center" o:hrstd="t" o:hr="t"/>
        </w:pict>
      </w:r>
    </w:p>
    <w:bookmarkEnd w:id="26"/>
    <w:bookmarkStart w:id="27" w:name="open-decisions-for-chase"/>
    <w:p>
      <w:pPr>
        <w:pStyle w:val="Heading2"/>
      </w:pPr>
      <w:r>
        <w:t xml:space="preserve">12. Open decisions for Chase</w:t>
      </w:r>
    </w:p>
    <w:p>
      <w:pPr>
        <w:pStyle w:val="Compact"/>
        <w:numPr>
          <w:ilvl w:val="0"/>
          <w:numId w:val="1009"/>
        </w:numPr>
      </w:pPr>
      <w:r>
        <w:t xml:space="preserve">Approve Option 2 (FarleyPierson close + DBA from MBT) — or go with Option 1 (rename)?</w:t>
      </w:r>
    </w:p>
    <w:p>
      <w:pPr>
        <w:pStyle w:val="Compact"/>
        <w:numPr>
          <w:ilvl w:val="0"/>
          <w:numId w:val="1009"/>
        </w:numPr>
      </w:pPr>
      <w:r>
        <w:t xml:space="preserve">Lock the tier pricing (illustrative in Section 3 — need real numbers for Tuthill standard + Chase-premium across property-size brackets)</w:t>
      </w:r>
    </w:p>
    <w:p>
      <w:pPr>
        <w:pStyle w:val="Compact"/>
        <w:numPr>
          <w:ilvl w:val="0"/>
          <w:numId w:val="1009"/>
        </w:numPr>
      </w:pPr>
      <w:r>
        <w:t xml:space="preserve">Miles alignment call — scheduled when?</w:t>
      </w:r>
    </w:p>
    <w:p>
      <w:pPr>
        <w:pStyle w:val="Compact"/>
        <w:numPr>
          <w:ilvl w:val="0"/>
          <w:numId w:val="1009"/>
        </w:numPr>
      </w:pPr>
      <w:r>
        <w:t xml:space="preserve">Standard-tier shooter pool — who recruits? (Recommend Miles/Tuthill since it’s their brand + workflow)</w:t>
      </w:r>
    </w:p>
    <w:p>
      <w:pPr>
        <w:pStyle w:val="Compact"/>
        <w:numPr>
          <w:ilvl w:val="0"/>
          <w:numId w:val="1009"/>
        </w:numPr>
      </w:pPr>
      <w:r>
        <w:t xml:space="preserve">MBT marketing-operator fee — flat per shoot, percentage of booking, or retainer? (Recommend percentage tied to the Tuthill side so it scales with volume without burdening the operator fee when volume is low)</w:t>
      </w:r>
    </w:p>
    <w:p>
      <w:r>
        <w:pict>
          <v:rect style="width:0;height:1.5pt" o:hralign="center" o:hrstd="t" o:hr="t"/>
        </w:pict>
      </w:r>
    </w:p>
    <w:p>
      <w:pPr>
        <w:pStyle w:val="FirstParagraph"/>
      </w:pPr>
      <w:r>
        <w:rPr>
          <w:i/>
          <w:iCs/>
        </w:rPr>
        <w:t xml:space="preserve">End of scope doc.</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2026-04-20T23:23:07Z</dcterms:created>
  <dcterms:modified xsi:type="dcterms:W3CDTF">2026-04-20T23:23:07Z</dcterms:modified>
</cp:coreProperties>
</file>

<file path=docProps/custom.xml><?xml version="1.0" encoding="utf-8"?>
<Properties xmlns="http://schemas.openxmlformats.org/officeDocument/2006/custom-properties" xmlns:vt="http://schemas.openxmlformats.org/officeDocument/2006/docPropsVTypes"/>
</file>