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ac2ec89c39290192c1ba44abb17481dec15b21e"/>
    <w:p>
      <w:pPr>
        <w:pStyle w:val="Heading1"/>
      </w:pPr>
      <w:r>
        <w:t xml:space="preserve">Vicki Wolpert — Pricing Floor + Account Stacking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April 20, 2026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Framework only — confirm with Vicki before first invoice.</w:t>
      </w:r>
      <w:r>
        <w:t xml:space="preserve"> </w:t>
      </w:r>
      <w:r>
        <w:rPr>
          <w:b/>
          <w:bCs/>
        </w:rPr>
        <w:t xml:space="preserve">Companion:</w:t>
      </w:r>
      <w:r>
        <w:t xml:space="preserve"> </w:t>
      </w:r>
      <w:r>
        <w:rPr>
          <w:rStyle w:val="VerbatimChar"/>
        </w:rPr>
        <w:t xml:space="preserve">docs/ecosystem-classification-taxonomy-2026-04-20.md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docs/partners/tuthill-photography-scope-2026-04-20.md</w:t>
      </w:r>
      <w:r>
        <w:t xml:space="preserve"> </w:t>
      </w:r>
      <w:r>
        <w:t xml:space="preserve">§3</w:t>
      </w:r>
    </w:p>
    <w:p>
      <w:r>
        <w:pict>
          <v:rect style="width:0;height:1.5pt" o:hralign="center" o:hrstd="t" o:hr="t"/>
        </w:pict>
      </w:r>
    </w:p>
    <w:bookmarkStart w:id="9" w:name="the-pricing-floor-500mo-per-account"/>
    <w:p>
      <w:pPr>
        <w:pStyle w:val="Heading2"/>
      </w:pPr>
      <w:r>
        <w:t xml:space="preserve">The pricing floor — $500/mo per account</w:t>
      </w:r>
    </w:p>
    <w:p>
      <w:pPr>
        <w:pStyle w:val="FirstParagraph"/>
      </w:pPr>
      <w:r>
        <w:t xml:space="preserve">Per Chase 2026-04-20 PM:</w:t>
      </w:r>
      <w:r>
        <w:t xml:space="preserve"> </w:t>
      </w:r>
      <w:r>
        <w:rPr>
          <w:b/>
          <w:bCs/>
        </w:rPr>
        <w:t xml:space="preserve">$500/month is the engagement floor for any client</w:t>
      </w:r>
      <w:r>
        <w:t xml:space="preserve"> </w:t>
      </w:r>
      <w:r>
        <w:t xml:space="preserve">in this services model. One $500/mo account = 10 hours at $50/hr, pre-classified at the billing level to a single brand / project scope.</w:t>
      </w:r>
    </w:p>
    <w:p>
      <w:pPr>
        <w:pStyle w:val="BodyText"/>
      </w:pPr>
      <w:r>
        <w:t xml:space="preserve">Pattern matches:</w:t>
      </w:r>
      <w:r>
        <w:t xml:space="preserve"> </w:t>
      </w:r>
      <w:r>
        <w:t xml:space="preserve">- Existing Utopia account ($500/mo)</w:t>
      </w:r>
      <w:r>
        <w:t xml:space="preserve"> </w:t>
      </w:r>
      <w:r>
        <w:t xml:space="preserve">- Big Muddy Touring (Studio C + Tuthill each have a $500/mo TOUR account)</w:t>
      </w:r>
      <w:r>
        <w:t xml:space="preserve"> </w:t>
      </w:r>
      <w:r>
        <w:t xml:space="preserve">- Big Muddy Inn + Magazine (Studio C + Tuthill each have a $500/mo INN/MAG account)</w:t>
      </w:r>
    </w:p>
    <w:p>
      <w:r>
        <w:pict>
          <v:rect style="width:0;height:1.5pt" o:hralign="center" o:hrstd="t" o:hr="t"/>
        </w:pict>
      </w:r>
    </w:p>
    <w:bookmarkEnd w:id="9"/>
    <w:bookmarkStart w:id="10" w:name="vickis-entry-point"/>
    <w:p>
      <w:pPr>
        <w:pStyle w:val="Heading2"/>
      </w:pPr>
      <w:r>
        <w:t xml:space="preserve">Vicki’s entry point</w:t>
      </w:r>
    </w:p>
    <w:p>
      <w:pPr>
        <w:pStyle w:val="FirstParagraph"/>
      </w:pPr>
      <w:r>
        <w:rPr>
          <w:b/>
          <w:bCs/>
        </w:rPr>
        <w:t xml:space="preserve">Vicki starts at one $500/mo account.</w:t>
      </w:r>
      <w:r>
        <w:t xml:space="preserve"> </w:t>
      </w:r>
      <w:r>
        <w:t xml:space="preserve">That covers her initial engagement — Woodstock broker directory work, content production for her listings, marketing assets, B2B Directory module buildout and hosting.</w:t>
      </w:r>
    </w:p>
    <w:p>
      <w:pPr>
        <w:pStyle w:val="BodyText"/>
      </w:pPr>
      <w:r>
        <w:rPr>
          <w:b/>
          <w:bCs/>
        </w:rPr>
        <w:t xml:space="preserve">If Vicki wants to add more scope, she stacks additional $500/mo accounts.</w:t>
      </w:r>
      <w:r>
        <w:t xml:space="preserve"> </w:t>
      </w:r>
      <w:r>
        <w:t xml:space="preserve">Each new account is classified at the billing level to a distinct brand / scope. Possible future accounts she might add:</w:t>
      </w:r>
    </w:p>
    <w:p>
      <w:pPr>
        <w:pStyle w:val="Compact"/>
        <w:numPr>
          <w:ilvl w:val="0"/>
          <w:numId w:val="1001"/>
        </w:numPr>
      </w:pPr>
      <w:r>
        <w:t xml:space="preserve">Second account for her own broker brand (beyond just the Directory)</w:t>
      </w:r>
    </w:p>
    <w:p>
      <w:pPr>
        <w:pStyle w:val="Compact"/>
        <w:numPr>
          <w:ilvl w:val="0"/>
          <w:numId w:val="1001"/>
        </w:numPr>
      </w:pPr>
      <w:r>
        <w:t xml:space="preserve">Account for a specific co-marketing push (seasonal campaign, specific listing)</w:t>
      </w:r>
    </w:p>
    <w:p>
      <w:pPr>
        <w:pStyle w:val="Compact"/>
        <w:numPr>
          <w:ilvl w:val="0"/>
          <w:numId w:val="1001"/>
        </w:numPr>
      </w:pPr>
      <w:r>
        <w:t xml:space="preserve">Account for photography work (if she wants managed RE photography inside Tuthill Design Photography’s two-tier model)</w:t>
      </w:r>
    </w:p>
    <w:p>
      <w:pPr>
        <w:pStyle w:val="Compact"/>
        <w:numPr>
          <w:ilvl w:val="0"/>
          <w:numId w:val="1001"/>
        </w:numPr>
      </w:pPr>
      <w:r>
        <w:t xml:space="preserve">Account for Magazine sponsorship / editorial inclusion (separate from the directory)</w:t>
      </w:r>
    </w:p>
    <w:p>
      <w:r>
        <w:pict>
          <v:rect style="width:0;height:1.5pt" o:hralign="center" o:hrstd="t" o:hr="t"/>
        </w:pict>
      </w:r>
    </w:p>
    <w:bookmarkEnd w:id="10"/>
    <w:bookmarkStart w:id="11" w:name="the-directory-engagement-itself"/>
    <w:p>
      <w:pPr>
        <w:pStyle w:val="Heading2"/>
      </w:pPr>
      <w:r>
        <w:t xml:space="preserve">The Directory engagement itself</w:t>
      </w:r>
    </w:p>
    <w:p>
      <w:pPr>
        <w:pStyle w:val="FirstParagraph"/>
      </w:pPr>
      <w:r>
        <w:t xml:space="preserve">Vicki’s B2B Directory engagement has TWO revenue lines: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Upfront fee</w:t>
      </w:r>
      <w:r>
        <w:t xml:space="preserve"> </w:t>
      </w:r>
      <w:r>
        <w:t xml:space="preserve">(~$15k per the 90-day plan baseline) — one-time project fee covering Directory module customization, content migration, launch coordination, initial listing setup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Ongoing $500/mo retainer</w:t>
      </w:r>
      <w:r>
        <w:t xml:space="preserve"> </w:t>
      </w:r>
      <w:r>
        <w:t xml:space="preserve">— ongoing content work, hosting, listing updates, directory ops, routine marketing — classified per this framework</w:t>
      </w:r>
    </w:p>
    <w:p>
      <w:pPr>
        <w:pStyle w:val="FirstParagraph"/>
      </w:pPr>
      <w:r>
        <w:t xml:space="preserve">The $15k upfront is a project-delivery invoice (coded</w:t>
      </w:r>
      <w:r>
        <w:t xml:space="preserve"> </w:t>
      </w:r>
      <w:r>
        <w:rPr>
          <w:rStyle w:val="VerbatimChar"/>
        </w:rPr>
        <w:t xml:space="preserve">MBT-PLATFORM</w:t>
      </w:r>
      <w:r>
        <w:t xml:space="preserve"> </w:t>
      </w:r>
      <w:r>
        <w:t xml:space="preserve">on MBT’s books). The $500/mo retainer is an ongoing-services account classified to whichever brand scope Vicki’s work serves (likely</w:t>
      </w:r>
      <w:r>
        <w:t xml:space="preserve"> </w:t>
      </w:r>
      <w:r>
        <w:rPr>
          <w:rStyle w:val="VerbatimChar"/>
        </w:rPr>
        <w:t xml:space="preserve">MBT-PLATFORM</w:t>
      </w:r>
      <w:r>
        <w:t xml:space="preserve"> </w:t>
      </w:r>
      <w:r>
        <w:t xml:space="preserve">until the Directory has its own entity / P&amp;L).</w:t>
      </w:r>
    </w:p>
    <w:p>
      <w:r>
        <w:pict>
          <v:rect style="width:0;height:1.5pt" o:hralign="center" o:hrstd="t" o:hr="t"/>
        </w:pict>
      </w:r>
    </w:p>
    <w:bookmarkEnd w:id="11"/>
    <w:bookmarkStart w:id="12" w:name="X8c9f5fb630f7e088153f66a4b8e0e1a6c5dcf2c"/>
    <w:p>
      <w:pPr>
        <w:pStyle w:val="Heading2"/>
      </w:pPr>
      <w:r>
        <w:t xml:space="preserve">Why this structure works for Vicki specifically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Low entry commitment</w:t>
      </w:r>
      <w:r>
        <w:t xml:space="preserve"> </w:t>
      </w:r>
      <w:r>
        <w:t xml:space="preserve">— $500/mo is within reach of an independent broker without feeling like a big platform subscription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Obvious expansion path</w:t>
      </w:r>
      <w:r>
        <w:t xml:space="preserve"> </w:t>
      </w:r>
      <w:r>
        <w:t xml:space="preserve">— if the Directory drives measurable lead volume, she adds a second account for the next thing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Same model as the existing agreements</w:t>
      </w:r>
      <w:r>
        <w:t xml:space="preserve"> </w:t>
      </w:r>
      <w:r>
        <w:t xml:space="preserve">— not a bespoke arrangement, it’s the same shape as Utopia and the Big Muddy internal retainers, which makes it easier to scale to the next broker (Paul Green, others)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Clean classification for expense tracking</w:t>
      </w:r>
      <w:r>
        <w:t xml:space="preserve"> </w:t>
      </w:r>
      <w:r>
        <w:t xml:space="preserve">— her retainer hours are pre-classified so MBT knows what Directory-supporting work actually costs</w:t>
      </w:r>
    </w:p>
    <w:p>
      <w:r>
        <w:pict>
          <v:rect style="width:0;height:1.5pt" o:hralign="center" o:hrstd="t" o:hr="t"/>
        </w:pict>
      </w:r>
    </w:p>
    <w:bookmarkEnd w:id="12"/>
    <w:bookmarkStart w:id="13" w:name="integration-with-the-90-day-plan"/>
    <w:p>
      <w:pPr>
        <w:pStyle w:val="Heading2"/>
      </w:pPr>
      <w:r>
        <w:t xml:space="preserve">Integration with the 90-day plan</w:t>
      </w:r>
    </w:p>
    <w:p>
      <w:pPr>
        <w:pStyle w:val="FirstParagraph"/>
      </w:pPr>
      <w:r>
        <w:t xml:space="preserve">The 90-Day Plan Week 4 has the Vicki engagement closing with a $15k upfront deposit. This pricing framework doesn’t change that number; it adds the ongoing $500/mo retainer as a separate line item that kicks in after the Directory goes live (likely Month 2 of her engagement, so ~June 2026).</w:t>
      </w:r>
    </w:p>
    <w:p>
      <w:pPr>
        <w:pStyle w:val="BodyText"/>
      </w:pPr>
      <w:r>
        <w:t xml:space="preserve">Y1 Vicki revenue estimate: $15k upfront + $500/mo × ~7 months = ~$18.5k. Keeping the original $15k figure in the 90-day plan for conservatism; upside from the retainer offsets any timeline slip on the upfront.</w:t>
      </w:r>
    </w:p>
    <w:p>
      <w:r>
        <w:pict>
          <v:rect style="width:0;height:1.5pt" o:hralign="center" o:hrstd="t" o:hr="t"/>
        </w:pict>
      </w:r>
    </w:p>
    <w:bookmarkEnd w:id="13"/>
    <w:bookmarkStart w:id="14" w:name="action-items"/>
    <w:p>
      <w:pPr>
        <w:pStyle w:val="Heading2"/>
      </w:pPr>
      <w:r>
        <w:t xml:space="preserve">Action items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By when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 pricing floor framework with Vicki in the formal proposal (Week 2 of the 90-day plan)</w:t>
            </w:r>
          </w:p>
        </w:tc>
        <w:tc>
          <w:tcPr/>
          <w:p>
            <w:pPr>
              <w:pStyle w:val="Compact"/>
            </w:pPr>
            <w:r>
              <w:t xml:space="preserve">Tracy</w:t>
            </w:r>
          </w:p>
        </w:tc>
        <w:tc>
          <w:tcPr/>
          <w:p>
            <w:pPr>
              <w:pStyle w:val="Compact"/>
            </w:pPr>
            <w:r>
              <w:t xml:space="preserve">May 14,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Draft the Directory engagement proposal with the $15k + $500/mo structure</w:t>
            </w:r>
          </w:p>
        </w:tc>
        <w:tc>
          <w:tcPr/>
          <w:p>
            <w:pPr>
              <w:pStyle w:val="Compact"/>
            </w:pPr>
            <w:r>
              <w:t xml:space="preserve">Chase + Tracy</w:t>
            </w:r>
          </w:p>
        </w:tc>
        <w:tc>
          <w:tcPr/>
          <w:p>
            <w:pPr>
              <w:pStyle w:val="Compact"/>
            </w:pPr>
            <w:r>
              <w:t xml:space="preserve">Before the pitch meeting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Confirm Vicki accepts the pricing model before first invoice</w:t>
            </w:r>
          </w:p>
        </w:tc>
        <w:tc>
          <w:tcPr/>
          <w:p>
            <w:pPr>
              <w:pStyle w:val="Compact"/>
            </w:pPr>
            <w:r>
              <w:t xml:space="preserve">Tracy</w:t>
            </w:r>
          </w:p>
        </w:tc>
        <w:tc>
          <w:tcPr/>
          <w:p>
            <w:pPr>
              <w:pStyle w:val="Compact"/>
            </w:pPr>
            <w:r>
              <w:t xml:space="preserve">At close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pricing note.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2026-04-20T23:23:07Z</dcterms:created>
  <dcterms:modified xsi:type="dcterms:W3CDTF">2026-04-20T23:23:07Z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