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can2plan-a-tuthill-design-account"/>
    <w:p>
      <w:pPr>
        <w:pStyle w:val="Heading1"/>
      </w:pPr>
      <w:r>
        <w:t xml:space="preserve">Scan2Plan — A Tuthill Design Account</w:t>
      </w:r>
    </w:p>
    <w:p>
      <w:pPr>
        <w:pStyle w:val="FirstParagraph"/>
      </w:pPr>
      <w:r>
        <w:rPr>
          <w:b/>
          <w:bCs/>
        </w:rPr>
        <w:t xml:space="preserve">Effective:</w:t>
      </w:r>
      <w:r>
        <w:t xml:space="preserve"> </w:t>
      </w:r>
      <w:r>
        <w:t xml:space="preserve">April 20, 2026 (clarified / retroactively structured)</w:t>
      </w:r>
      <w:r>
        <w:t xml:space="preserve"> </w:t>
      </w:r>
      <w:r>
        <w:rPr>
          <w:b/>
          <w:bCs/>
        </w:rPr>
        <w:t xml:space="preserve">Billing entity:</w:t>
      </w:r>
      <w:r>
        <w:t xml:space="preserve"> </w:t>
      </w:r>
      <w:r>
        <w:t xml:space="preserve">Tuthill Design</w:t>
      </w:r>
      <w:r>
        <w:t xml:space="preserve"> </w:t>
      </w:r>
      <w:r>
        <w:rPr>
          <w:b/>
          <w:bCs/>
        </w:rPr>
        <w:t xml:space="preserve">Principals who brought the account in:</w:t>
      </w:r>
      <w:r>
        <w:t xml:space="preserve"> </w:t>
      </w:r>
      <w:r>
        <w:t xml:space="preserve">Chase Pierson, Elijah Davis (Studio C Video), Miles Dubios (Tuthill Design)</w:t>
      </w:r>
      <w:r>
        <w:t xml:space="preserve"> </w:t>
      </w:r>
      <w:r>
        <w:rPr>
          <w:b/>
          <w:bCs/>
        </w:rPr>
        <w:t xml:space="preserve">Insurance holder for production:</w:t>
      </w:r>
      <w:r>
        <w:t xml:space="preserve"> </w:t>
      </w:r>
      <w:r>
        <w:t xml:space="preserve">Tuthill Design</w:t>
      </w:r>
      <w:r>
        <w:t xml:space="preserve"> </w:t>
      </w:r>
      <w:r>
        <w:rPr>
          <w:b/>
          <w:bCs/>
        </w:rPr>
        <w:t xml:space="preserve">Status:</w:t>
      </w:r>
      <w:r>
        <w:t xml:space="preserve"> </w:t>
      </w:r>
      <w:r>
        <w:t xml:space="preserve">Internal — for partner + counsel + accountant reference.</w:t>
      </w:r>
    </w:p>
    <w:p>
      <w:r>
        <w:pict>
          <v:rect style="width:0;height:1.5pt" o:hralign="center" o:hrstd="t" o:hr="t"/>
        </w:pict>
      </w:r>
    </w:p>
    <w:bookmarkStart w:id="9" w:name="the-structural-reframe"/>
    <w:p>
      <w:pPr>
        <w:pStyle w:val="Heading2"/>
      </w:pPr>
      <w:r>
        <w:t xml:space="preserve">1. The structural reframe</w:t>
      </w:r>
    </w:p>
    <w:p>
      <w:pPr>
        <w:pStyle w:val="FirstParagraph"/>
      </w:pPr>
      <w:r>
        <w:t xml:space="preserve">Scan2Plan is</w:t>
      </w:r>
      <w:r>
        <w:t xml:space="preserve"> </w:t>
      </w:r>
      <w:r>
        <w:rPr>
          <w:b/>
          <w:bCs/>
        </w:rPr>
        <w:t xml:space="preserve">a client of Tuthill Design, period.</w:t>
      </w:r>
      <w:r>
        <w:t xml:space="preserve"> </w:t>
      </w:r>
      <w:r>
        <w:t xml:space="preserve">Not three individual contractor relationships (Chase, Elijah, Miles), not a Chase-personal royalty stream, not a Studio C account. One entity contracts with one client; everyone who brought the account in gets paid out of the Tuthill pot.</w:t>
      </w:r>
    </w:p>
    <w:p>
      <w:pPr>
        <w:pStyle w:val="BodyText"/>
      </w:pPr>
      <w:r>
        <w:rPr>
          <w:b/>
          <w:bCs/>
        </w:rPr>
        <w:t xml:space="preserve">Why this matters:</w:t>
      </w:r>
    </w:p>
    <w:p>
      <w:pPr>
        <w:numPr>
          <w:ilvl w:val="0"/>
          <w:numId w:val="1001"/>
        </w:numPr>
      </w:pPr>
      <w:r>
        <w:rPr>
          <w:b/>
          <w:bCs/>
        </w:rPr>
        <w:t xml:space="preserve">Collective bargaining.</w:t>
      </w:r>
      <w:r>
        <w:t xml:space="preserve"> </w:t>
      </w:r>
      <w:r>
        <w:t xml:space="preserve">When there are three people billing a single client as individuals, each one negotiates small. When one entity bills on behalf of three people, the account has weight. Rate reviews, scope changes, and retention are stronger conversations from one integrated counterparty than three scattered ones.</w:t>
      </w:r>
    </w:p>
    <w:p>
      <w:pPr>
        <w:numPr>
          <w:ilvl w:val="0"/>
          <w:numId w:val="1001"/>
        </w:numPr>
      </w:pPr>
      <w:r>
        <w:rPr>
          <w:b/>
          <w:bCs/>
        </w:rPr>
        <w:t xml:space="preserve">Operational clarity.</w:t>
      </w:r>
      <w:r>
        <w:t xml:space="preserve"> </w:t>
      </w:r>
      <w:r>
        <w:t xml:space="preserve">Scan2Plan invoices one vendor, pays one invoice, signs one contract, gets one deliverable workflow. No triangulation about whose hours are whose. Tuthill Design owns the relationship.</w:t>
      </w:r>
    </w:p>
    <w:p>
      <w:pPr>
        <w:numPr>
          <w:ilvl w:val="0"/>
          <w:numId w:val="1001"/>
        </w:numPr>
      </w:pPr>
      <w:r>
        <w:rPr>
          <w:b/>
          <w:bCs/>
        </w:rPr>
        <w:t xml:space="preserve">Insurance alignment.</w:t>
      </w:r>
      <w:r>
        <w:t xml:space="preserve"> </w:t>
      </w:r>
      <w:r>
        <w:t xml:space="preserve">Tuthill Design holds the</w:t>
      </w:r>
      <w:r>
        <w:t xml:space="preserve"> </w:t>
      </w:r>
      <w:r>
        <w:rPr>
          <w:b/>
          <w:bCs/>
        </w:rPr>
        <w:t xml:space="preserve">production insurance policy that covers all of our production work across the ecosystem</w:t>
      </w:r>
      <w:r>
        <w:t xml:space="preserve">. Anything Scan2Plan-related that happens on camera, on location, on a shoot, in production — Tuthill’s insurance covers it. This only works if the billing entity is also the insured entity. Having it flow through Tuthill keeps that alignment clean.</w:t>
      </w:r>
    </w:p>
    <w:p>
      <w:pPr>
        <w:numPr>
          <w:ilvl w:val="0"/>
          <w:numId w:val="1001"/>
        </w:numPr>
      </w:pPr>
      <w:r>
        <w:rPr>
          <w:b/>
          <w:bCs/>
        </w:rPr>
        <w:t xml:space="preserve">Chase’s Scan2Plan royalty re-characterized.</w:t>
      </w:r>
      <w:r>
        <w:t xml:space="preserve"> </w:t>
      </w:r>
      <w:r>
        <w:t xml:space="preserve">The previous framing —</w:t>
      </w:r>
      <w:r>
        <w:t xml:space="preserve"> </w:t>
      </w:r>
      <w:r>
        <w:t xml:space="preserve">“Chase’s 2% royalty, ~$1,500/mo passive income”</w:t>
      </w:r>
      <w:r>
        <w:t xml:space="preserve"> </w:t>
      </w:r>
      <w:r>
        <w:t xml:space="preserve">— is retired. Going forward, Scan2Plan royalty + fee income is</w:t>
      </w:r>
      <w:r>
        <w:t xml:space="preserve"> </w:t>
      </w:r>
      <w:r>
        <w:rPr>
          <w:b/>
          <w:bCs/>
        </w:rPr>
        <w:t xml:space="preserve">Tuthill Design revenue</w:t>
      </w:r>
      <w:r>
        <w:t xml:space="preserve">, and Chase receives a distribution from Tuthill Design as one of the three principals who brought the account in. Same approximate dollar outcome to Chase (depending on Tuthill’s distribution policy); cleaner entity structure.</w:t>
      </w:r>
    </w:p>
    <w:p>
      <w:r>
        <w:pict>
          <v:rect style="width:0;height:1.5pt" o:hralign="center" o:hrstd="t" o:hr="t"/>
        </w:pict>
      </w:r>
    </w:p>
    <w:bookmarkEnd w:id="9"/>
    <w:bookmarkStart w:id="10" w:name="accounts-receivable-26000-owed"/>
    <w:p>
      <w:pPr>
        <w:pStyle w:val="Heading2"/>
      </w:pPr>
      <w:r>
        <w:t xml:space="preserve">2. Accounts receivable — $26,000 owed</w:t>
      </w:r>
    </w:p>
    <w:p>
      <w:pPr>
        <w:pStyle w:val="FirstParagraph"/>
      </w:pPr>
      <w:r>
        <w:rPr>
          <w:b/>
          <w:bCs/>
        </w:rPr>
        <w:t xml:space="preserve">Scan2Plan owes $26,000 in accumulated unpaid royalties/fees</w:t>
      </w:r>
      <w:r>
        <w:t xml:space="preserve"> </w:t>
      </w:r>
      <w:r>
        <w:t xml:space="preserve">as of 2026-04-20.</w:t>
      </w:r>
    </w:p>
    <w:p>
      <w:pPr>
        <w:pStyle w:val="BodyText"/>
      </w:pPr>
      <w:r>
        <w:t xml:space="preserve">Historically this would have been on Chase’s personal books (because he was the named 2% royalty holder post the Owen Bush partnership dissolution of 2026-03-25). Under the reframe, it should be booked as</w:t>
      </w:r>
      <w:r>
        <w:t xml:space="preserve"> </w:t>
      </w:r>
      <w:r>
        <w:rPr>
          <w:b/>
          <w:bCs/>
        </w:rPr>
        <w:t xml:space="preserve">Tuthill Design accounts receivable</w:t>
      </w:r>
      <w:r>
        <w:t xml:space="preserve"> </w:t>
      </w:r>
      <w:r>
        <w:t xml:space="preserve">— since Scan2Plan is a Tuthill account, Tuthill is the creditor.</w:t>
      </w:r>
    </w:p>
    <w:p>
      <w:pPr>
        <w:pStyle w:val="BodyText"/>
      </w:pPr>
      <w:r>
        <w:rPr>
          <w:b/>
          <w:bCs/>
        </w:rPr>
        <w:t xml:space="preserve">Open question for counsel / accountant:</w:t>
      </w:r>
    </w:p>
    <w:p>
      <w:pPr>
        <w:pStyle w:val="BodyText"/>
      </w:pPr>
      <w:r>
        <w:t xml:space="preserve">Whether the $26k can be retroactively assigned from Chase-personal to Tuthill-receivable depends on:</w:t>
      </w:r>
      <w:r>
        <w:t xml:space="preserve"> </w:t>
      </w:r>
      <w:r>
        <w:t xml:space="preserve">- How the original royalty agreement was written (if Chase is named personally, reassignment may need a written instrument between Chase and Tuthill Design)</w:t>
      </w:r>
      <w:r>
        <w:t xml:space="preserve"> </w:t>
      </w:r>
      <w:r>
        <w:t xml:space="preserve">- Tax treatment (was any of it accrued as Chase-personal income already? If so, there’s a 1099 cleanup involved)</w:t>
      </w:r>
      <w:r>
        <w:t xml:space="preserve"> </w:t>
      </w:r>
      <w:r>
        <w:t xml:space="preserve">- Scan2Plan’s counterparty record (who do they have on file? if Chase-personal, they’ll need a one-time update to pay Tuthill Design going forward)</w:t>
      </w:r>
    </w:p>
    <w:p>
      <w:pPr>
        <w:pStyle w:val="BodyText"/>
      </w:pPr>
      <w:r>
        <w:rPr>
          <w:b/>
          <w:bCs/>
        </w:rPr>
        <w:t xml:space="preserve">Practical path:</w:t>
      </w:r>
      <w:r>
        <w:t xml:space="preserve"> </w:t>
      </w:r>
      <w:r>
        <w:t xml:space="preserve">treat the $26k receivable + all future payments as Tuthill Design revenue going forward. If counsel determines the $26k historical amount legally stays on Chase-personal, that’s a one-time bookkeeping footnote and doesn’t affect the ongoing structure. Either way,</w:t>
      </w:r>
      <w:r>
        <w:t xml:space="preserve"> </w:t>
      </w:r>
      <w:r>
        <w:rPr>
          <w:b/>
          <w:bCs/>
        </w:rPr>
        <w:t xml:space="preserve">2026-04-21 onward, all Scan2Plan payments flow to Tuthill Design.</w:t>
      </w:r>
    </w:p>
    <w:p>
      <w:r>
        <w:pict>
          <v:rect style="width:0;height:1.5pt" o:hralign="center" o:hrstd="t" o:hr="t"/>
        </w:pict>
      </w:r>
    </w:p>
    <w:bookmarkEnd w:id="10"/>
    <w:bookmarkStart w:id="11" w:name="the-ongoing-revenue-stream"/>
    <w:p>
      <w:pPr>
        <w:pStyle w:val="Heading2"/>
      </w:pPr>
      <w:r>
        <w:t xml:space="preserve">3. The ongoing revenue stream</w:t>
      </w:r>
    </w:p>
    <w:p>
      <w:pPr>
        <w:pStyle w:val="FirstParagraph"/>
      </w:pPr>
      <w:r>
        <w:t xml:space="preserve">Average Scan2Plan royalty payout (per Chase, 2026-04-20):</w:t>
      </w:r>
      <w:r>
        <w:t xml:space="preserve"> </w:t>
      </w:r>
      <w:r>
        <w:rPr>
          <w:b/>
          <w:bCs/>
        </w:rPr>
        <w:t xml:space="preserve">~$1,500/month or more.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Framing</w:t>
            </w:r>
          </w:p>
        </w:tc>
        <w:tc>
          <w:tcPr/>
          <w:p>
            <w:pPr>
              <w:pStyle w:val="Compact"/>
            </w:pPr>
            <w:r>
              <w:t xml:space="preserve">Annual</w:t>
            </w:r>
          </w:p>
        </w:tc>
        <w:tc>
          <w:tcPr/>
          <w:p>
            <w:pPr>
              <w:pStyle w:val="Compact"/>
            </w:pPr>
            <w:r>
              <w:t xml:space="preserve">Direction</w:t>
            </w:r>
          </w:p>
        </w:tc>
      </w:tr>
      <w:tr>
        <w:tc>
          <w:tcPr/>
          <w:p>
            <w:pPr>
              <w:pStyle w:val="Compact"/>
            </w:pPr>
            <w:r>
              <w:t xml:space="preserve">Tuthill Design gross Scan2Plan revenue</w:t>
            </w:r>
          </w:p>
        </w:tc>
        <w:tc>
          <w:tcPr/>
          <w:p>
            <w:pPr>
              <w:pStyle w:val="Compact"/>
            </w:pPr>
            <w:r>
              <w:t xml:space="preserve">~$18,000+</w:t>
            </w:r>
          </w:p>
        </w:tc>
        <w:tc>
          <w:tcPr/>
          <w:p>
            <w:pPr>
              <w:pStyle w:val="Compact"/>
            </w:pPr>
            <w:r>
              <w:t xml:space="preserve">New</w:t>
            </w:r>
          </w:p>
        </w:tc>
      </w:tr>
      <w:tr>
        <w:tc>
          <w:tcPr/>
          <w:p>
            <w:pPr>
              <w:pStyle w:val="Compact"/>
            </w:pPr>
            <w:r>
              <w:t xml:space="preserve">Distributed across Chase + Elijah + Miles per Tuthill’s policy</w:t>
            </w:r>
          </w:p>
        </w:tc>
        <w:tc>
          <w:tcPr/>
          <w:p>
            <w:pPr>
              <w:pStyle w:val="Compact"/>
            </w:pPr>
            <w:r>
              <w:t xml:space="preserve">TBD</w:t>
            </w:r>
          </w:p>
        </w:tc>
        <w:tc>
          <w:tcPr/>
          <w:p>
            <w:pPr>
              <w:pStyle w:val="Compact"/>
            </w:pPr>
            <w:r>
              <w:t xml:space="preserve">See §4</w:t>
            </w:r>
          </w:p>
        </w:tc>
      </w:tr>
    </w:tbl>
    <w:p>
      <w:r>
        <w:pict>
          <v:rect style="width:0;height:1.5pt" o:hralign="center" o:hrstd="t" o:hr="t"/>
        </w:pict>
      </w:r>
    </w:p>
    <w:bookmarkEnd w:id="11"/>
    <w:bookmarkStart w:id="12" w:name="Xfd9e99407153306282bb4f622e5a08005e224b3"/>
    <w:p>
      <w:pPr>
        <w:pStyle w:val="Heading2"/>
      </w:pPr>
      <w:r>
        <w:t xml:space="preserve">4. Distribution policy among the three principals (TBD with Miles)</w:t>
      </w:r>
    </w:p>
    <w:p>
      <w:pPr>
        <w:pStyle w:val="FirstParagraph"/>
      </w:pPr>
      <w:r>
        <w:t xml:space="preserve">Chase + Elijah + Miles all brought the Scan2Plan account into Tuthill. How Tuthill Design splits the Scan2Plan revenue between them needs a written policy. Three common models, in order of cleanest:</w:t>
      </w:r>
    </w:p>
    <w:p>
      <w:pPr>
        <w:pStyle w:val="BodyText"/>
      </w:pPr>
      <w:r>
        <w:rPr>
          <w:b/>
          <w:bCs/>
        </w:rPr>
        <w:t xml:space="preserve">Model A — Three-way equal split</w:t>
      </w:r>
      <w:r>
        <w:t xml:space="preserve"> </w:t>
      </w:r>
      <w:r>
        <w:t xml:space="preserve">- Each of the three principals takes 1/3 of Scan2Plan revenue</w:t>
      </w:r>
      <w:r>
        <w:t xml:space="preserve"> </w:t>
      </w:r>
      <w:r>
        <w:t xml:space="preserve">- Tuthill keeps a small coordination/overhead fee (say 10–15%) for billing, insurance, and admin</w:t>
      </w:r>
      <w:r>
        <w:t xml:space="preserve"> </w:t>
      </w:r>
      <w:r>
        <w:t xml:space="preserve">- Simple, symmetrical, easy to defend</w:t>
      </w:r>
    </w:p>
    <w:p>
      <w:pPr>
        <w:pStyle w:val="BodyText"/>
      </w:pPr>
      <w:r>
        <w:rPr>
          <w:b/>
          <w:bCs/>
        </w:rPr>
        <w:t xml:space="preserve">Model B — Founder skew</w:t>
      </w:r>
      <w:r>
        <w:t xml:space="preserve"> </w:t>
      </w:r>
      <w:r>
        <w:t xml:space="preserve">- Whoever originated the account gets a larger share (e.g., 50%)</w:t>
      </w:r>
      <w:r>
        <w:t xml:space="preserve"> </w:t>
      </w:r>
      <w:r>
        <w:t xml:space="preserve">- The two collaborators split the remaining 40% with Tuthill taking 10%</w:t>
      </w:r>
      <w:r>
        <w:t xml:space="preserve"> </w:t>
      </w:r>
      <w:r>
        <w:t xml:space="preserve">- More common in agency models; rewards origination</w:t>
      </w:r>
    </w:p>
    <w:p>
      <w:pPr>
        <w:pStyle w:val="BodyText"/>
      </w:pPr>
      <w:r>
        <w:rPr>
          <w:b/>
          <w:bCs/>
        </w:rPr>
        <w:t xml:space="preserve">Model C — Hours-worked</w:t>
      </w:r>
      <w:r>
        <w:t xml:space="preserve"> </w:t>
      </w:r>
      <w:r>
        <w:t xml:space="preserve">- Tuthill tracks hours each principal contributes to Scan2Plan delivery and pays proportionally</w:t>
      </w:r>
      <w:r>
        <w:t xml:space="preserve"> </w:t>
      </w:r>
      <w:r>
        <w:t xml:space="preserve">- Most</w:t>
      </w:r>
      <w:r>
        <w:t xml:space="preserve"> </w:t>
      </w:r>
      <w:r>
        <w:t xml:space="preserve">“fair”</w:t>
      </w:r>
      <w:r>
        <w:t xml:space="preserve"> </w:t>
      </w:r>
      <w:r>
        <w:t xml:space="preserve">in a rigorous sense, but highest admin overhead</w:t>
      </w:r>
      <w:r>
        <w:t xml:space="preserve"> </w:t>
      </w:r>
      <w:r>
        <w:t xml:space="preserve">- Only makes sense if Scan2Plan requires ongoing hours (as opposed to being a passive royalty)</w:t>
      </w:r>
    </w:p>
    <w:p>
      <w:pPr>
        <w:pStyle w:val="BodyText"/>
      </w:pPr>
      <w:r>
        <w:rPr>
          <w:b/>
          <w:bCs/>
        </w:rPr>
        <w:t xml:space="preserve">Recommended:</w:t>
      </w:r>
      <w:r>
        <w:t xml:space="preserve"> </w:t>
      </w:r>
      <w:r>
        <w:t xml:space="preserve">Model A with a documented exception clause — if the nature of the Scan2Plan work shifts materially (e.g., one person starts doing 80% of the actual delivery), the split can be renegotiated. Simple baseline, clear trigger for change.</w:t>
      </w:r>
    </w:p>
    <w:p>
      <w:pPr>
        <w:pStyle w:val="BodyText"/>
      </w:pPr>
      <w:r>
        <w:rPr>
          <w:b/>
          <w:bCs/>
        </w:rPr>
        <w:t xml:space="preserve">Decision owner:</w:t>
      </w:r>
      <w:r>
        <w:t xml:space="preserve"> </w:t>
      </w:r>
      <w:r>
        <w:t xml:space="preserve">Chase + Miles, with Elijah in the loop. Needs to be documented in the Tuthill Design partnership / account register before the first post-restructure payment arrives.</w:t>
      </w:r>
    </w:p>
    <w:p>
      <w:r>
        <w:pict>
          <v:rect style="width:0;height:1.5pt" o:hralign="center" o:hrstd="t" o:hr="t"/>
        </w:pict>
      </w:r>
    </w:p>
    <w:bookmarkEnd w:id="12"/>
    <w:bookmarkStart w:id="13" w:name="X43cdde3a410d29761474813c26e05cb2de83090"/>
    <w:p>
      <w:pPr>
        <w:pStyle w:val="Heading2"/>
      </w:pPr>
      <w:r>
        <w:t xml:space="preserve">5. Insurance — Tuthill holds the policy for production</w:t>
      </w:r>
    </w:p>
    <w:p>
      <w:pPr>
        <w:pStyle w:val="FirstParagraph"/>
      </w:pPr>
      <w:r>
        <w:t xml:space="preserve">Separate from Scan2Plan but flagged here because it’s directly connected:</w:t>
      </w:r>
      <w:r>
        <w:t xml:space="preserve"> </w:t>
      </w:r>
      <w:r>
        <w:rPr>
          <w:b/>
          <w:bCs/>
        </w:rPr>
        <w:t xml:space="preserve">Tuthill Design holds the insurance policy that covers all production work across the ecosystem.</w:t>
      </w:r>
    </w:p>
    <w:p>
      <w:pPr>
        <w:pStyle w:val="BodyText"/>
      </w:pPr>
      <w:r>
        <w:t xml:space="preserve">What</w:t>
      </w:r>
      <w:r>
        <w:t xml:space="preserve"> </w:t>
      </w:r>
      <w:r>
        <w:t xml:space="preserve">“production work”</w:t>
      </w:r>
      <w:r>
        <w:t xml:space="preserve"> </w:t>
      </w:r>
      <w:r>
        <w:t xml:space="preserve">covers (pending verification of actual policy language):</w:t>
      </w:r>
    </w:p>
    <w:p>
      <w:pPr>
        <w:pStyle w:val="Compact"/>
        <w:numPr>
          <w:ilvl w:val="0"/>
          <w:numId w:val="1002"/>
        </w:numPr>
      </w:pPr>
      <w:r>
        <w:t xml:space="preserve">Photography shoots — Chase Pierson Photography + Tuthill Design Photography</w:t>
      </w:r>
    </w:p>
    <w:p>
      <w:pPr>
        <w:pStyle w:val="Compact"/>
        <w:numPr>
          <w:ilvl w:val="0"/>
          <w:numId w:val="1002"/>
        </w:numPr>
      </w:pPr>
      <w:r>
        <w:t xml:space="preserve">Video shoots — Studio C Video productions for Big Muddy brands, partner clients, Scan2Plan</w:t>
      </w:r>
    </w:p>
    <w:p>
      <w:pPr>
        <w:pStyle w:val="Compact"/>
        <w:numPr>
          <w:ilvl w:val="0"/>
          <w:numId w:val="1002"/>
        </w:numPr>
      </w:pPr>
      <w:r>
        <w:t xml:space="preserve">On-location work across any of the 14 Big Muddy domains’ content production</w:t>
      </w:r>
    </w:p>
    <w:p>
      <w:pPr>
        <w:pStyle w:val="Compact"/>
        <w:numPr>
          <w:ilvl w:val="0"/>
          <w:numId w:val="1002"/>
        </w:numPr>
      </w:pPr>
      <w:r>
        <w:t xml:space="preserve">Blues Room show documentation</w:t>
      </w:r>
    </w:p>
    <w:p>
      <w:pPr>
        <w:pStyle w:val="Compact"/>
        <w:numPr>
          <w:ilvl w:val="0"/>
          <w:numId w:val="1002"/>
        </w:numPr>
      </w:pPr>
      <w:r>
        <w:t xml:space="preserve">Big Muddy Touring road operations —</w:t>
      </w:r>
      <w:r>
        <w:t xml:space="preserve"> </w:t>
      </w:r>
      <w:r>
        <w:rPr>
          <w:b/>
          <w:bCs/>
        </w:rPr>
        <w:t xml:space="preserve">likely NOT covered by the same policy</w:t>
      </w:r>
      <w:r>
        <w:t xml:space="preserve"> </w:t>
      </w:r>
      <w:r>
        <w:t xml:space="preserve">(road liability is usually a separate auto + cargo rider); verify with insurance dept before assuming</w:t>
      </w:r>
    </w:p>
    <w:p>
      <w:pPr>
        <w:pStyle w:val="Compact"/>
        <w:numPr>
          <w:ilvl w:val="0"/>
          <w:numId w:val="1002"/>
        </w:numPr>
      </w:pPr>
      <w:r>
        <w:t xml:space="preserve">Inn operations —</w:t>
      </w:r>
      <w:r>
        <w:t xml:space="preserve"> </w:t>
      </w:r>
      <w:r>
        <w:rPr>
          <w:b/>
          <w:bCs/>
        </w:rPr>
        <w:t xml:space="preserve">NOT covered by Tuthill’s production policy</w:t>
      </w:r>
      <w:r>
        <w:t xml:space="preserve">; Inn has its own hospitality / general liability coverage</w:t>
      </w:r>
    </w:p>
    <w:p>
      <w:pPr>
        <w:pStyle w:val="FirstParagraph"/>
      </w:pPr>
      <w:r>
        <w:rPr>
          <w:b/>
          <w:bCs/>
        </w:rPr>
        <w:t xml:space="preserve">Action for the Insurance &amp; Risk Management department:</w:t>
      </w:r>
    </w:p>
    <w:p>
      <w:pPr>
        <w:pStyle w:val="Compact"/>
        <w:numPr>
          <w:ilvl w:val="0"/>
          <w:numId w:val="1003"/>
        </w:numPr>
      </w:pPr>
      <w:r>
        <w:t xml:space="preserve">Get the actual Tuthill Design production policy document + declarations page</w:t>
      </w:r>
    </w:p>
    <w:p>
      <w:pPr>
        <w:pStyle w:val="Compact"/>
        <w:numPr>
          <w:ilvl w:val="0"/>
          <w:numId w:val="1003"/>
        </w:numPr>
      </w:pPr>
      <w:r>
        <w:t xml:space="preserve">Read the</w:t>
      </w:r>
      <w:r>
        <w:t xml:space="preserve"> </w:t>
      </w:r>
      <w:r>
        <w:t xml:space="preserve">“covered activities”</w:t>
      </w:r>
      <w:r>
        <w:t xml:space="preserve"> </w:t>
      </w:r>
      <w:r>
        <w:t xml:space="preserve">+</w:t>
      </w:r>
      <w:r>
        <w:t xml:space="preserve"> </w:t>
      </w:r>
      <w:r>
        <w:t xml:space="preserve">“covered insureds”</w:t>
      </w:r>
      <w:r>
        <w:t xml:space="preserve"> </w:t>
      </w:r>
      <w:r>
        <w:t xml:space="preserve">language carefully</w:t>
      </w:r>
    </w:p>
    <w:p>
      <w:pPr>
        <w:pStyle w:val="Compact"/>
        <w:numPr>
          <w:ilvl w:val="0"/>
          <w:numId w:val="1003"/>
        </w:numPr>
      </w:pPr>
      <w:r>
        <w:t xml:space="preserve">Confirm it covers: Chase shooting for CPP, Chase shooting for Tuthill Photography, Elijah shooting for Studio C, all three shooting for Scan2Plan</w:t>
      </w:r>
    </w:p>
    <w:p>
      <w:pPr>
        <w:pStyle w:val="Compact"/>
        <w:numPr>
          <w:ilvl w:val="0"/>
          <w:numId w:val="1003"/>
        </w:numPr>
      </w:pPr>
      <w:r>
        <w:t xml:space="preserve">Confirm whether it covers the people (named insureds) or the entity (Tuthill) — matters for Scan2Plan work where Chase might be the actual shooter but Tuthill is the billing entity</w:t>
      </w:r>
    </w:p>
    <w:p>
      <w:pPr>
        <w:pStyle w:val="Compact"/>
        <w:numPr>
          <w:ilvl w:val="0"/>
          <w:numId w:val="1003"/>
        </w:numPr>
      </w:pPr>
      <w:r>
        <w:t xml:space="preserve">If gaps exist, plan for a rider or a unified policy at the next renewal — which aligns with the anchor task already assigned to that department (</w:t>
      </w:r>
      <w:r>
        <w:t xml:space="preserve">“exploring a unified policy covering all operating entities”</w:t>
      </w:r>
      <w:r>
        <w:t xml:space="preserve">)</w:t>
      </w:r>
    </w:p>
    <w:p>
      <w:r>
        <w:pict>
          <v:rect style="width:0;height:1.5pt" o:hralign="center" o:hrstd="t" o:hr="t"/>
        </w:pict>
      </w:r>
    </w:p>
    <w:bookmarkEnd w:id="13"/>
    <w:bookmarkStart w:id="14" w:name="what-this-changes-in-other-docs"/>
    <w:p>
      <w:pPr>
        <w:pStyle w:val="Heading2"/>
      </w:pPr>
      <w:r>
        <w:t xml:space="preserve">6. What this changes in other docs</w:t>
      </w:r>
    </w:p>
    <w:p>
      <w:pPr>
        <w:pStyle w:val="Compact"/>
        <w:numPr>
          <w:ilvl w:val="0"/>
          <w:numId w:val="1004"/>
        </w:numPr>
      </w:pPr>
      <w:r>
        <w:rPr>
          <w:b/>
          <w:bCs/>
        </w:rPr>
        <w:t xml:space="preserve">THE_THESIS.md §break-even</w:t>
      </w:r>
      <w:r>
        <w:t xml:space="preserve"> </w:t>
      </w:r>
      <w:r>
        <w:t xml:space="preserve">— the</w:t>
      </w:r>
      <w:r>
        <w:t xml:space="preserve"> </w:t>
      </w:r>
      <w:r>
        <w:t xml:space="preserve">“$18k Scan2Plan royalty offset to Chase’s personal cost draw”</w:t>
      </w:r>
      <w:r>
        <w:t xml:space="preserve"> </w:t>
      </w:r>
      <w:r>
        <w:t xml:space="preserve">framing gets a note explaining the underlying mechanics: Scan2Plan is now a Tuthill account; Chase’s</w:t>
      </w:r>
      <w:r>
        <w:t xml:space="preserve"> </w:t>
      </w:r>
      <w:r>
        <w:t xml:space="preserve">“$18k”</w:t>
      </w:r>
      <w:r>
        <w:t xml:space="preserve"> </w:t>
      </w:r>
      <w:r>
        <w:t xml:space="preserve">is effectively his expected distribution from Tuthill on that account. The offset behavior holds if Tuthill distributes on a roughly timely basis (annually or quarterly).</w:t>
      </w:r>
    </w:p>
    <w:p>
      <w:pPr>
        <w:pStyle w:val="Compact"/>
        <w:numPr>
          <w:ilvl w:val="0"/>
          <w:numId w:val="1004"/>
        </w:numPr>
      </w:pPr>
      <w:r>
        <w:rPr>
          <w:b/>
          <w:bCs/>
        </w:rPr>
        <w:t xml:space="preserve">docs/partners/tuthill-photography-scope-2026-04-20.md</w:t>
      </w:r>
      <w:r>
        <w:t xml:space="preserve"> </w:t>
      </w:r>
      <w:r>
        <w:t xml:space="preserve">— the scope doc is Photography-focused; add a brief note that Tuthill Design also holds the Scan2Plan account (a broader fact about Tuthill’s client base).</w:t>
      </w:r>
    </w:p>
    <w:p>
      <w:pPr>
        <w:pStyle w:val="Compact"/>
        <w:numPr>
          <w:ilvl w:val="0"/>
          <w:numId w:val="1004"/>
        </w:numPr>
      </w:pPr>
      <w:r>
        <w:rPr>
          <w:b/>
          <w:bCs/>
        </w:rPr>
        <w:t xml:space="preserve">docs/partners/inn-mbt-investment-history-2026-04-20.md</w:t>
      </w:r>
      <w:r>
        <w:t xml:space="preserve"> </w:t>
      </w:r>
      <w:r>
        <w:t xml:space="preserve">— flag the $26k A/R as an ecosystem-level receivable sitting on Tuthill’s books (not the Inn’s, not MBT’s, but material to the ecosystem’s financial health).</w:t>
      </w:r>
    </w:p>
    <w:p>
      <w:pPr>
        <w:pStyle w:val="Compact"/>
        <w:numPr>
          <w:ilvl w:val="0"/>
          <w:numId w:val="1004"/>
        </w:numPr>
      </w:pPr>
      <w:r>
        <w:rPr>
          <w:b/>
          <w:bCs/>
        </w:rPr>
        <w:t xml:space="preserve">Insurance department doc (if/when created)</w:t>
      </w:r>
      <w:r>
        <w:t xml:space="preserve"> </w:t>
      </w:r>
      <w:r>
        <w:t xml:space="preserve">— Tuthill’s production policy is the anchor document; document what it covers and what it doesn’t.</w:t>
      </w:r>
    </w:p>
    <w:p>
      <w:r>
        <w:pict>
          <v:rect style="width:0;height:1.5pt" o:hralign="center" o:hrstd="t" o:hr="t"/>
        </w:pict>
      </w:r>
    </w:p>
    <w:bookmarkEnd w:id="14"/>
    <w:bookmarkStart w:id="15" w:name="action-items"/>
    <w:p>
      <w:pPr>
        <w:pStyle w:val="Heading2"/>
      </w:pPr>
      <w:r>
        <w:t xml:space="preserve">7. Action 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Owner</w:t>
            </w:r>
          </w:p>
        </w:tc>
        <w:tc>
          <w:tcPr/>
          <w:p>
            <w:pPr>
              <w:pStyle w:val="Compact"/>
            </w:pPr>
            <w:r>
              <w:t xml:space="preserve">By when</w:t>
            </w:r>
          </w:p>
        </w:tc>
      </w:tr>
      <w:tr>
        <w:tc>
          <w:tcPr/>
          <w:p>
            <w:pPr>
              <w:pStyle w:val="Compact"/>
            </w:pPr>
            <w:r>
              <w:t xml:space="preserve">Retroactively assign the $26k Scan2Plan receivable from Chase-personal to Tuthill Design (written instrument if needed)</w:t>
            </w:r>
          </w:p>
        </w:tc>
        <w:tc>
          <w:tcPr/>
          <w:p>
            <w:pPr>
              <w:pStyle w:val="Compact"/>
            </w:pPr>
            <w:r>
              <w:t xml:space="preserve">Chase + counsel</w:t>
            </w:r>
          </w:p>
        </w:tc>
        <w:tc>
          <w:tcPr/>
          <w:p>
            <w:pPr>
              <w:pStyle w:val="Compact"/>
            </w:pPr>
            <w:r>
              <w:t xml:space="preserve">Next counsel engagement</w:t>
            </w:r>
          </w:p>
        </w:tc>
      </w:tr>
      <w:tr>
        <w:tc>
          <w:tcPr/>
          <w:p>
            <w:pPr>
              <w:pStyle w:val="Compact"/>
            </w:pPr>
            <w:r>
              <w:t xml:space="preserve">Update Scan2Plan’s vendor record so future payments route to Tuthill Design</w:t>
            </w:r>
          </w:p>
        </w:tc>
        <w:tc>
          <w:tcPr/>
          <w:p>
            <w:pPr>
              <w:pStyle w:val="Compact"/>
            </w:pPr>
            <w:r>
              <w:t xml:space="preserve">Chase / Miles</w:t>
            </w:r>
          </w:p>
        </w:tc>
        <w:tc>
          <w:tcPr/>
          <w:p>
            <w:pPr>
              <w:pStyle w:val="Compact"/>
            </w:pPr>
            <w:r>
              <w:t xml:space="preserve">Before first post-restructure payment</w:t>
            </w:r>
          </w:p>
        </w:tc>
      </w:tr>
      <w:tr>
        <w:tc>
          <w:tcPr/>
          <w:p>
            <w:pPr>
              <w:pStyle w:val="Compact"/>
            </w:pPr>
            <w:r>
              <w:t xml:space="preserve">Document Tuthill’s distribution policy for Scan2Plan revenue across the three principals</w:t>
            </w:r>
          </w:p>
        </w:tc>
        <w:tc>
          <w:tcPr/>
          <w:p>
            <w:pPr>
              <w:pStyle w:val="Compact"/>
            </w:pPr>
            <w:r>
              <w:t xml:space="preserve">Miles + Chase (Elijah in loop)</w:t>
            </w:r>
          </w:p>
        </w:tc>
        <w:tc>
          <w:tcPr/>
          <w:p>
            <w:pPr>
              <w:pStyle w:val="Compact"/>
            </w:pPr>
            <w:r>
              <w:t xml:space="preserve">Before first post-restructure payment</w:t>
            </w:r>
          </w:p>
        </w:tc>
      </w:tr>
      <w:tr>
        <w:tc>
          <w:tcPr/>
          <w:p>
            <w:pPr>
              <w:pStyle w:val="Compact"/>
            </w:pPr>
            <w:r>
              <w:t xml:space="preserve">Pull Tuthill’s production insurance policy and confirm covered activities</w:t>
            </w:r>
          </w:p>
        </w:tc>
        <w:tc>
          <w:tcPr/>
          <w:p>
            <w:pPr>
              <w:pStyle w:val="Compact"/>
            </w:pPr>
            <w:r>
              <w:t xml:space="preserve">Insurance &amp; Risk Management dept</w:t>
            </w:r>
          </w:p>
        </w:tc>
        <w:tc>
          <w:tcPr/>
          <w:p>
            <w:pPr>
              <w:pStyle w:val="Compact"/>
            </w:pPr>
            <w:r>
              <w:t xml:space="preserve">Next 30 days</w:t>
            </w:r>
          </w:p>
        </w:tc>
      </w:tr>
      <w:tr>
        <w:tc>
          <w:tcPr/>
          <w:p>
            <w:pPr>
              <w:pStyle w:val="Compact"/>
            </w:pPr>
            <w:r>
              <w:t xml:space="preserve">Reconcile historical royalty income — was any of the $26k already declared as Chase-personal income? Correct if so.</w:t>
            </w:r>
          </w:p>
        </w:tc>
        <w:tc>
          <w:tcPr/>
          <w:p>
            <w:pPr>
              <w:pStyle w:val="Compact"/>
            </w:pPr>
            <w:r>
              <w:t xml:space="preserve">Chase + accountant</w:t>
            </w:r>
          </w:p>
        </w:tc>
        <w:tc>
          <w:tcPr/>
          <w:p>
            <w:pPr>
              <w:pStyle w:val="Compact"/>
            </w:pPr>
            <w:r>
              <w:t xml:space="preserve">Next accountant engagement</w:t>
            </w:r>
          </w:p>
        </w:tc>
      </w:tr>
      <w:tr>
        <w:tc>
          <w:tcPr/>
          <w:p>
            <w:pPr>
              <w:pStyle w:val="Compact"/>
            </w:pPr>
            <w:r>
              <w:t xml:space="preserve">Update</w:t>
            </w:r>
            <w:r>
              <w:t xml:space="preserve"> </w:t>
            </w:r>
            <w:r>
              <w:rPr>
                <w:rStyle w:val="VerbatimChar"/>
              </w:rPr>
              <w:t xml:space="preserve">tax-db/chase_finance.db</w:t>
            </w:r>
            <w:r>
              <w:t xml:space="preserve"> </w:t>
            </w:r>
            <w:r>
              <w:t xml:space="preserve">opportunities table to mark Scan2Plan as a Tuthill account, not a Chase-direct relationship</w:t>
            </w:r>
          </w:p>
        </w:tc>
        <w:tc>
          <w:tcPr/>
          <w:p>
            <w:pPr>
              <w:pStyle w:val="Compact"/>
            </w:pPr>
            <w:r>
              <w:t xml:space="preserve">Chase</w:t>
            </w:r>
          </w:p>
        </w:tc>
        <w:tc>
          <w:tcPr/>
          <w:p>
            <w:pPr>
              <w:pStyle w:val="Compact"/>
            </w:pPr>
            <w:r>
              <w:t xml:space="preserve">When next running the finance db refresh</w:t>
            </w:r>
          </w:p>
        </w:tc>
      </w:tr>
    </w:tbl>
    <w:p>
      <w:r>
        <w:pict>
          <v:rect style="width:0;height:1.5pt" o:hralign="center" o:hrstd="t" o:hr="t"/>
        </w:pict>
      </w:r>
    </w:p>
    <w:p>
      <w:pPr>
        <w:pStyle w:val="FirstParagraph"/>
      </w:pPr>
      <w:r>
        <w:rPr>
          <w:i/>
          <w:iCs/>
        </w:rPr>
        <w:t xml:space="preserve">End of account record.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2026-04-20T23:09:47Z</dcterms:created>
  <dcterms:modified xsi:type="dcterms:W3CDTF">2026-04-20T23:09:47Z</dcterms:modified>
</cp:coreProperties>
</file>

<file path=docProps/custom.xml><?xml version="1.0" encoding="utf-8"?>
<Properties xmlns="http://schemas.openxmlformats.org/officeDocument/2006/custom-properties" xmlns:vt="http://schemas.openxmlformats.org/officeDocument/2006/docPropsVTypes"/>
</file>