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inn-mbt-platform-investment-history"/>
    <w:p>
      <w:pPr>
        <w:pStyle w:val="Heading1"/>
      </w:pPr>
      <w:r>
        <w:t xml:space="preserve">Inn → MBT Platform Investment History</w:t>
      </w:r>
    </w:p>
    <w:p>
      <w:pPr>
        <w:pStyle w:val="FirstParagraph"/>
      </w:pPr>
      <w:r>
        <w:rPr>
          <w:b/>
          <w:bCs/>
        </w:rPr>
        <w:t xml:space="preserve">From:</w:t>
      </w:r>
      <w:r>
        <w:t xml:space="preserve"> </w:t>
      </w:r>
      <w:r>
        <w:t xml:space="preserve">Tracy Alderson-Allen + Amy Allen (Big Muddy Inn / Big Muddy Natchez LLC)</w:t>
      </w:r>
      <w:r>
        <w:t xml:space="preserve"> </w:t>
      </w:r>
      <w:r>
        <w:rPr>
          <w:b/>
          <w:bCs/>
        </w:rPr>
        <w:t xml:space="preserve">To:</w:t>
      </w:r>
      <w:r>
        <w:t xml:space="preserve"> </w:t>
      </w:r>
      <w:r>
        <w:t xml:space="preserve">MBT (Measurably Better Things LLC) platform account</w:t>
      </w:r>
      <w:r>
        <w:t xml:space="preserve"> </w:t>
      </w:r>
      <w:r>
        <w:rPr>
          <w:b/>
          <w:bCs/>
        </w:rPr>
        <w:t xml:space="preserve">Prepared by:</w:t>
      </w:r>
      <w:r>
        <w:t xml:space="preserve"> </w:t>
      </w:r>
      <w:r>
        <w:t xml:space="preserve">Chase Pierson</w:t>
      </w:r>
      <w:r>
        <w:t xml:space="preserve"> </w:t>
      </w:r>
      <w:r>
        <w:rPr>
          <w:b/>
          <w:bCs/>
        </w:rPr>
        <w:t xml:space="preserve">Date captured:</w:t>
      </w:r>
      <w:r>
        <w:t xml:space="preserve"> </w:t>
      </w:r>
      <w:r>
        <w:t xml:space="preserve">April 20, 2026</w:t>
      </w:r>
      <w:r>
        <w:t xml:space="preserve"> </w:t>
      </w:r>
      <w:r>
        <w:rPr>
          <w:b/>
          <w:bCs/>
        </w:rPr>
        <w:t xml:space="preserve">Status:</w:t>
      </w:r>
      <w:r>
        <w:t xml:space="preserve"> </w:t>
      </w:r>
      <w:r>
        <w:t xml:space="preserve">Internal — for partner + counsel reference. NOT public.</w:t>
      </w:r>
    </w:p>
    <w:p>
      <w:r>
        <w:pict>
          <v:rect style="width:0;height:1.5pt" o:hralign="center" o:hrstd="t" o:hr="t"/>
        </w:pict>
      </w:r>
    </w:p>
    <w:bookmarkStart w:id="9" w:name="the-contributions-to-date"/>
    <w:p>
      <w:pPr>
        <w:pStyle w:val="Heading2"/>
      </w:pPr>
      <w:r>
        <w:t xml:space="preserve">The contributions to date</w:t>
      </w:r>
    </w:p>
    <w:p>
      <w:pPr>
        <w:pStyle w:val="FirstParagraph"/>
      </w:pPr>
      <w:r>
        <w:t xml:space="preserve">Payments that have flowed from Tracy and Amy into Chase’s personal / MBT account. All of these pre-date the formal April-1 retainer structure. Some are platform investment; one (the December $2,500) is re-characterized below as a pass-through from a third party.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Month</w:t>
            </w:r>
          </w:p>
        </w:tc>
        <w:tc>
          <w:tcPr/>
          <w:p>
            <w:pPr>
              <w:pStyle w:val="Compact"/>
            </w:pPr>
            <w:r>
              <w:t xml:space="preserve">Amount</w:t>
            </w:r>
          </w:p>
        </w:tc>
        <w:tc>
          <w:tcPr/>
          <w:p>
            <w:pPr>
              <w:pStyle w:val="Compact"/>
            </w:pPr>
            <w:r>
              <w:t xml:space="preserve">Form</w:t>
            </w:r>
          </w:p>
        </w:tc>
        <w:tc>
          <w:tcPr/>
          <w:p>
            <w:pPr>
              <w:pStyle w:val="Compact"/>
            </w:pPr>
            <w:r>
              <w:t xml:space="preserve">Characterization</w:t>
            </w:r>
          </w:p>
        </w:tc>
      </w:tr>
      <w:tr>
        <w:tc>
          <w:tcPr/>
          <w:p>
            <w:pPr>
              <w:pStyle w:val="Compact"/>
            </w:pPr>
            <w:r>
              <w:rPr>
                <w:b/>
                <w:bCs/>
              </w:rPr>
              <w:t xml:space="preserve">December 2025</w:t>
            </w:r>
          </w:p>
        </w:tc>
        <w:tc>
          <w:tcPr/>
          <w:p>
            <w:pPr>
              <w:pStyle w:val="Compact"/>
            </w:pPr>
            <w:r>
              <w:rPr>
                <w:b/>
                <w:bCs/>
              </w:rPr>
              <w:t xml:space="preserve">$2,500</w:t>
            </w:r>
          </w:p>
        </w:tc>
        <w:tc>
          <w:tcPr/>
          <w:p>
            <w:pPr>
              <w:pStyle w:val="Compact"/>
            </w:pPr>
            <w:r>
              <w:t xml:space="preserve">Transfer to Chase</w:t>
            </w:r>
          </w:p>
        </w:tc>
        <w:tc>
          <w:tcPr/>
          <w:p>
            <w:pPr>
              <w:pStyle w:val="Compact"/>
            </w:pPr>
            <w:r>
              <w:rPr>
                <w:b/>
                <w:bCs/>
              </w:rPr>
              <w:t xml:space="preserve">NOT Tracy+Amy investment.</w:t>
            </w:r>
            <w:r>
              <w:t xml:space="preserve"> </w:t>
            </w:r>
            <w:r>
              <w:t xml:space="preserve">Re-characterized 2026-04-20 PM: this was payment from</w:t>
            </w:r>
            <w:r>
              <w:t xml:space="preserve"> </w:t>
            </w:r>
            <w:r>
              <w:rPr>
                <w:b/>
                <w:bCs/>
              </w:rPr>
              <w:t xml:space="preserve">Arden</w:t>
            </w:r>
            <w:r>
              <w:t xml:space="preserve"> </w:t>
            </w:r>
            <w:r>
              <w:t xml:space="preserve">(December, routed through Tracy+Amy to Chase). Added to the separate Arden-owes-Tracy+Amy ledger; it does NOT count toward the Tracy+Amy platform-investment running total below.</w:t>
            </w:r>
          </w:p>
        </w:tc>
      </w:tr>
      <w:tr>
        <w:tc>
          <w:tcPr/>
          <w:p>
            <w:pPr>
              <w:pStyle w:val="Compact"/>
            </w:pPr>
            <w:r>
              <w:t xml:space="preserve">January 2026</w:t>
            </w:r>
          </w:p>
        </w:tc>
        <w:tc>
          <w:tcPr/>
          <w:p>
            <w:pPr>
              <w:pStyle w:val="Compact"/>
            </w:pPr>
            <w:r>
              <w:t xml:space="preserve">$4,000</w:t>
            </w:r>
          </w:p>
        </w:tc>
        <w:tc>
          <w:tcPr/>
          <w:p>
            <w:pPr>
              <w:pStyle w:val="Compact"/>
            </w:pPr>
            <w:r>
              <w:t xml:space="preserve">Transfer to Chase / MBT account</w:t>
            </w:r>
          </w:p>
        </w:tc>
        <w:tc>
          <w:tcPr/>
          <w:p>
            <w:pPr>
              <w:pStyle w:val="Compact"/>
            </w:pPr>
            <w:r>
              <w:t xml:space="preserve">Platform investment — covered the early Big Muddy brand + platform work as it was being built</w:t>
            </w:r>
          </w:p>
        </w:tc>
      </w:tr>
      <w:tr>
        <w:tc>
          <w:tcPr/>
          <w:p>
            <w:pPr>
              <w:pStyle w:val="Compact"/>
            </w:pPr>
            <w:r>
              <w:t xml:space="preserve">February 2026</w:t>
            </w:r>
          </w:p>
        </w:tc>
        <w:tc>
          <w:tcPr/>
          <w:p>
            <w:pPr>
              <w:pStyle w:val="Compact"/>
            </w:pPr>
            <w:r>
              <w:t xml:space="preserve">$2,000</w:t>
            </w:r>
          </w:p>
        </w:tc>
        <w:tc>
          <w:tcPr/>
          <w:p>
            <w:pPr>
              <w:pStyle w:val="Compact"/>
            </w:pPr>
            <w:r>
              <w:t xml:space="preserve">Transfer to Chase / MBT account</w:t>
            </w:r>
          </w:p>
        </w:tc>
        <w:tc>
          <w:tcPr/>
          <w:p>
            <w:pPr>
              <w:pStyle w:val="Compact"/>
            </w:pPr>
            <w:r>
              <w:t xml:space="preserve">Continued platform investment</w:t>
            </w:r>
          </w:p>
        </w:tc>
      </w:tr>
      <w:tr>
        <w:tc>
          <w:tcPr/>
          <w:p>
            <w:pPr>
              <w:pStyle w:val="Compact"/>
            </w:pPr>
            <w:r>
              <w:t xml:space="preserve">March 2026</w:t>
            </w:r>
          </w:p>
        </w:tc>
        <w:tc>
          <w:tcPr/>
          <w:p>
            <w:pPr>
              <w:pStyle w:val="Compact"/>
            </w:pPr>
            <w:r>
              <w:t xml:space="preserve">(to verify with bank record)</w:t>
            </w:r>
          </w:p>
        </w:tc>
        <w:tc>
          <w:tcPr/>
          <w:p>
            <w:pPr>
              <w:pStyle w:val="Compact"/>
            </w:pPr>
            <w:r>
              <w:t xml:space="preserve">—</w:t>
            </w:r>
          </w:p>
        </w:tc>
        <w:tc>
          <w:tcPr/>
          <w:p>
            <w:pPr>
              <w:pStyle w:val="Compact"/>
            </w:pPr>
            <w:r>
              <w:t xml:space="preserve">Counted against the</w:t>
            </w:r>
            <w:r>
              <w:t xml:space="preserve"> </w:t>
            </w:r>
            <w:r>
              <w:t xml:space="preserve">“first three months ≈ $2k/mo average”</w:t>
            </w:r>
            <w:r>
              <w:t xml:space="preserve"> </w:t>
            </w:r>
            <w:r>
              <w:t xml:space="preserve">framing Chase uses</w:t>
            </w:r>
          </w:p>
        </w:tc>
      </w:tr>
      <w:tr>
        <w:tc>
          <w:tcPr/>
          <w:p>
            <w:pPr>
              <w:pStyle w:val="Compact"/>
            </w:pPr>
            <w:r>
              <w:rPr>
                <w:b/>
                <w:bCs/>
              </w:rPr>
              <w:t xml:space="preserve">Tracy+Amy investment running total through March 2026</w:t>
            </w:r>
          </w:p>
        </w:tc>
        <w:tc>
          <w:tcPr/>
          <w:p>
            <w:pPr>
              <w:pStyle w:val="Compact"/>
            </w:pPr>
            <w:r>
              <w:rPr>
                <w:b/>
                <w:bCs/>
              </w:rPr>
              <w:t xml:space="preserve">~$6,000</w:t>
            </w:r>
          </w:p>
        </w:tc>
        <w:tc>
          <w:tcPr/>
          <w:p>
            <w:pPr>
              <w:pStyle w:val="Compact"/>
            </w:pPr>
            <w:r>
              <w:t xml:space="preserve">—</w:t>
            </w:r>
          </w:p>
        </w:tc>
        <w:tc>
          <w:tcPr/>
          <w:p>
            <w:pPr>
              <w:pStyle w:val="Compact"/>
            </w:pPr>
            <w:r>
              <w:t xml:space="preserve">Treated as investment capital in the MBT platform account</w:t>
            </w:r>
          </w:p>
        </w:tc>
      </w:tr>
    </w:tbl>
    <w:p>
      <w:pPr>
        <w:pStyle w:val="BodyText"/>
      </w:pPr>
      <w:r>
        <w:rPr>
          <w:b/>
          <w:bCs/>
        </w:rPr>
        <w:t xml:space="preserve">Chase’s summary framing:</w:t>
      </w:r>
      <w:r>
        <w:t xml:space="preserve"> </w:t>
      </w:r>
      <w:r>
        <w:t xml:space="preserve">“The first three months were essentially $2,000 a month, and then we’re going to $1,000 a month starting April 1.”</w:t>
      </w:r>
    </w:p>
    <w:p>
      <w:pPr>
        <w:pStyle w:val="BodyText"/>
      </w:pPr>
      <w:r>
        <w:rPr>
          <w:b/>
          <w:bCs/>
        </w:rPr>
        <w:t xml:space="preserve">About the December $2,500 — Arden pass-through:</w:t>
      </w:r>
      <w:r>
        <w:t xml:space="preserve"> </w:t>
      </w:r>
      <w:r>
        <w:t xml:space="preserve">This payment has been reclassified. It wasn’t Tracy+Amy investing their own money in the platform — they were passing through money Arden owed them. From a bookkeeping perspective:</w:t>
      </w:r>
      <w:r>
        <w:t xml:space="preserve"> </w:t>
      </w:r>
      <w:r>
        <w:t xml:space="preserve">- The $2,500 lands in Chase’s account as expected, no change there</w:t>
      </w:r>
      <w:r>
        <w:t xml:space="preserve"> </w:t>
      </w:r>
      <w:r>
        <w:t xml:space="preserve">- It comes OFF the</w:t>
      </w:r>
      <w:r>
        <w:t xml:space="preserve"> </w:t>
      </w:r>
      <w:r>
        <w:t xml:space="preserve">“Tracy+Amy investment in MBT”</w:t>
      </w:r>
      <w:r>
        <w:t xml:space="preserve"> </w:t>
      </w:r>
      <w:r>
        <w:t xml:space="preserve">running total</w:t>
      </w:r>
      <w:r>
        <w:t xml:space="preserve"> </w:t>
      </w:r>
      <w:r>
        <w:t xml:space="preserve">- It goes ON the</w:t>
      </w:r>
      <w:r>
        <w:t xml:space="preserve"> </w:t>
      </w:r>
      <w:r>
        <w:t xml:space="preserve">“amount Arden owes Tracy+Amy”</w:t>
      </w:r>
      <w:r>
        <w:t xml:space="preserve"> </w:t>
      </w:r>
      <w:r>
        <w:t xml:space="preserve">running total (Arden’s balance with the Inn increases by the $2,500 that was transferred through instead of paid directly)</w:t>
      </w:r>
      <w:r>
        <w:t xml:space="preserve"> </w:t>
      </w:r>
      <w:r>
        <w:t xml:space="preserve">- Net effect: Arden paid Chase via Tracy+Amy; Tracy+Amy’s own investment in MBT is unchanged by this transfer</w:t>
      </w:r>
    </w:p>
    <w:p>
      <w:r>
        <w:pict>
          <v:rect style="width:0;height:1.5pt" o:hralign="center" o:hrstd="t" o:hr="t"/>
        </w:pict>
      </w:r>
    </w:p>
    <w:bookmarkEnd w:id="9"/>
    <w:bookmarkStart w:id="10" w:name="april-1-2026-onward-formalized-structure"/>
    <w:p>
      <w:pPr>
        <w:pStyle w:val="Heading2"/>
      </w:pPr>
      <w:r>
        <w:t xml:space="preserve">April 1, 2026 onward — formalized structure</w:t>
      </w:r>
    </w:p>
    <w:p>
      <w:pPr>
        <w:pStyle w:val="FirstParagraph"/>
      </w:pPr>
      <w:r>
        <w:t xml:space="preserve">Starting</w:t>
      </w:r>
      <w:r>
        <w:t xml:space="preserve"> </w:t>
      </w:r>
      <w:r>
        <w:rPr>
          <w:b/>
          <w:bCs/>
        </w:rPr>
        <w:t xml:space="preserve">April 1, 2026</w:t>
      </w:r>
      <w:r>
        <w:t xml:space="preserve">, the Inn’s payment into the MBT platform account formalizes at</w:t>
      </w:r>
      <w:r>
        <w:t xml:space="preserve"> </w:t>
      </w:r>
      <w:r>
        <w:rPr>
          <w:b/>
          <w:bCs/>
        </w:rPr>
        <w:t xml:space="preserve">$1,000/month</w:t>
      </w:r>
      <w:r>
        <w:t xml:space="preserve">. This aligns with the</w:t>
      </w:r>
      <w:r>
        <w:t xml:space="preserve"> </w:t>
      </w:r>
      <w:r>
        <w:t xml:space="preserve">“setup phase done, steady state begins”</w:t>
      </w:r>
      <w:r>
        <w:t xml:space="preserve"> </w:t>
      </w:r>
      <w:r>
        <w:t xml:space="preserve">moment.</w:t>
      </w:r>
    </w:p>
    <w:p>
      <w:pPr>
        <w:pStyle w:val="BodyText"/>
      </w:pPr>
      <w:r>
        <w:t xml:space="preserve">The $1k/month covers:</w:t>
      </w:r>
      <w:r>
        <w:t xml:space="preserve"> </w:t>
      </w:r>
      <w:r>
        <w:t xml:space="preserve">- Shared Sanity CMS, Vercel hosting, Neon database, GCS photo library</w:t>
      </w:r>
      <w:r>
        <w:t xml:space="preserve"> </w:t>
      </w:r>
      <w:r>
        <w:t xml:space="preserve">- The nine-module platform code that runs the Inn’s direct-booking flow, Magazine publishing workflow, Touring + Blues Room booking, private-event inquiry pipeline, etc.</w:t>
      </w:r>
      <w:r>
        <w:t xml:space="preserve"> </w:t>
      </w:r>
      <w:r>
        <w:t xml:space="preserve">- Ongoing AI agent infrastructure (Cos, Patch, Delta Dawn, Gemini stack)</w:t>
      </w:r>
      <w:r>
        <w:t xml:space="preserve"> </w:t>
      </w:r>
      <w:r>
        <w:t xml:space="preserve">- The Hospitality Coordinator + Housekeeping contractor coordination surface</w:t>
      </w:r>
      <w:r>
        <w:t xml:space="preserve"> </w:t>
      </w:r>
      <w:r>
        <w:t xml:space="preserve">- Email deliverability (Resend domain verification + flows)</w:t>
      </w:r>
      <w:r>
        <w:t xml:space="preserve"> </w:t>
      </w:r>
      <w:r>
        <w:t xml:space="preserve">- The directory + CRM stack for Tracy’s biz dev</w:t>
      </w:r>
    </w:p>
    <w:p>
      <w:pPr>
        <w:pStyle w:val="BodyText"/>
      </w:pPr>
      <w:r>
        <w:t xml:space="preserve">It does NOT cover:</w:t>
      </w:r>
      <w:r>
        <w:t xml:space="preserve"> </w:t>
      </w:r>
      <w:r>
        <w:t xml:space="preserve">- The Studio C retainer (that’s a separate $1k/mo MBT → Studio C)</w:t>
      </w:r>
      <w:r>
        <w:t xml:space="preserve"> </w:t>
      </w:r>
      <w:r>
        <w:t xml:space="preserve">- The Tuthill Design retainer (separate $1k/mo MBT → Tuthill)</w:t>
      </w:r>
      <w:r>
        <w:t xml:space="preserve"> </w:t>
      </w:r>
      <w:r>
        <w:t xml:space="preserve">- Third-party paid services the Inn subscribes to directly (Cloudbeds, Stripe fees)</w:t>
      </w:r>
    </w:p>
    <w:p>
      <w:r>
        <w:pict>
          <v:rect style="width:0;height:1.5pt" o:hralign="center" o:hrstd="t" o:hr="t"/>
        </w:pict>
      </w:r>
    </w:p>
    <w:bookmarkEnd w:id="10"/>
    <w:bookmarkStart w:id="11" w:name="Xe941dbffa6449e04930652bf10323e0a1190c9b"/>
    <w:p>
      <w:pPr>
        <w:pStyle w:val="Heading2"/>
      </w:pPr>
      <w:r>
        <w:t xml:space="preserve">Characterization — investment vs. fee-for-service</w:t>
      </w:r>
    </w:p>
    <w:p>
      <w:pPr>
        <w:pStyle w:val="FirstParagraph"/>
      </w:pPr>
      <w:r>
        <w:rPr>
          <w:b/>
          <w:bCs/>
        </w:rPr>
        <w:t xml:space="preserve">Important for bookkeeping and entity-structure purposes:</w:t>
      </w:r>
      <w:r>
        <w:t xml:space="preserve"> </w:t>
      </w:r>
      <w:r>
        <w:t xml:space="preserve">Chase has been explicit that Tracy and Amy’s contributions through this period should be treated as</w:t>
      </w:r>
      <w:r>
        <w:t xml:space="preserve"> </w:t>
      </w:r>
      <w:r>
        <w:rPr>
          <w:b/>
          <w:bCs/>
        </w:rPr>
        <w:t xml:space="preserve">investment in the MBT platform account</w:t>
      </w:r>
      <w:r>
        <w:t xml:space="preserve">, not as arms-length fee-for-service revenue.</w:t>
      </w:r>
    </w:p>
    <w:p>
      <w:pPr>
        <w:pStyle w:val="BodyText"/>
      </w:pPr>
      <w:r>
        <w:t xml:space="preserve">This matters for two reasons:</w:t>
      </w:r>
    </w:p>
    <w:p>
      <w:pPr>
        <w:numPr>
          <w:ilvl w:val="0"/>
          <w:numId w:val="1001"/>
        </w:numPr>
      </w:pPr>
      <w:r>
        <w:rPr>
          <w:b/>
          <w:bCs/>
        </w:rPr>
        <w:t xml:space="preserve">Partner alignment.</w:t>
      </w:r>
      <w:r>
        <w:t xml:space="preserve"> </w:t>
      </w:r>
      <w:r>
        <w:t xml:space="preserve">Tracy and Amy are equity partners in the Big Muddy holding. Their early money wasn’t buying software-as-a-service — it was co-financing the platform build that all three partners benefit from. Treating it as investment respects that structure.</w:t>
      </w:r>
    </w:p>
    <w:p>
      <w:pPr>
        <w:numPr>
          <w:ilvl w:val="0"/>
          <w:numId w:val="1001"/>
        </w:numPr>
      </w:pPr>
      <w:r>
        <w:rPr>
          <w:b/>
          <w:bCs/>
        </w:rPr>
        <w:t xml:space="preserve">Capital structure question for counsel.</w:t>
      </w:r>
      <w:r>
        <w:t xml:space="preserve"> </w:t>
      </w:r>
      <w:r>
        <w:t xml:space="preserve">The historical $6k+ and the ongoing $1k/mo are candidates for being structured as:</w:t>
      </w:r>
    </w:p>
    <w:p>
      <w:pPr>
        <w:pStyle w:val="Compact"/>
        <w:numPr>
          <w:ilvl w:val="1"/>
          <w:numId w:val="1002"/>
        </w:numPr>
      </w:pPr>
      <w:r>
        <w:rPr>
          <w:b/>
          <w:bCs/>
        </w:rPr>
        <w:t xml:space="preserve">Capital contribution to MBT</w:t>
      </w:r>
      <w:r>
        <w:t xml:space="preserve"> </w:t>
      </w:r>
      <w:r>
        <w:t xml:space="preserve">— would grant Tracy and Amy some equity / distribution rights in MBT itself, not just in Big Muddy</w:t>
      </w:r>
    </w:p>
    <w:p>
      <w:pPr>
        <w:pStyle w:val="Compact"/>
        <w:numPr>
          <w:ilvl w:val="1"/>
          <w:numId w:val="1002"/>
        </w:numPr>
      </w:pPr>
      <w:r>
        <w:rPr>
          <w:b/>
          <w:bCs/>
        </w:rPr>
        <w:t xml:space="preserve">Intercompany loan from the Inn entity to MBT</w:t>
      </w:r>
      <w:r>
        <w:t xml:space="preserve"> </w:t>
      </w:r>
      <w:r>
        <w:t xml:space="preserve">— booked as receivable / payable, repaid out of Inn distributions over time</w:t>
      </w:r>
    </w:p>
    <w:p>
      <w:pPr>
        <w:pStyle w:val="Compact"/>
        <w:numPr>
          <w:ilvl w:val="1"/>
          <w:numId w:val="1002"/>
        </w:numPr>
      </w:pPr>
      <w:r>
        <w:rPr>
          <w:b/>
          <w:bCs/>
        </w:rPr>
        <w:t xml:space="preserve">Fee-for-service platform-subscription revenue to MBT</w:t>
      </w:r>
      <w:r>
        <w:t xml:space="preserve"> </w:t>
      </w:r>
      <w:r>
        <w:t xml:space="preserve">— simplest bookkeeping; no equity implications</w:t>
      </w:r>
    </w:p>
    <w:p>
      <w:pPr>
        <w:pStyle w:val="Compact"/>
        <w:numPr>
          <w:ilvl w:val="1"/>
          <w:numId w:val="1002"/>
        </w:numPr>
      </w:pPr>
      <w:r>
        <w:rPr>
          <w:b/>
          <w:bCs/>
        </w:rPr>
        <w:t xml:space="preserve">Hybrid:</w:t>
      </w:r>
      <w:r>
        <w:t xml:space="preserve"> </w:t>
      </w:r>
      <w:r>
        <w:t xml:space="preserve">the historical $6k as contribution / loan; the April-onward $1k/mo as subscription</w:t>
      </w:r>
    </w:p>
    <w:p>
      <w:pPr>
        <w:pStyle w:val="FirstParagraph"/>
      </w:pPr>
      <w:r>
        <w:t xml:space="preserve">Chase’s stated intent is investment. The exact legal form is a counsel question that should be resolved during the same review that handles the FarleyPierson LLC closure and the CPP-as-DBA-of-MBT decision (see</w:t>
      </w:r>
      <w:r>
        <w:t xml:space="preserve"> </w:t>
      </w:r>
      <w:r>
        <w:rPr>
          <w:rStyle w:val="VerbatimChar"/>
        </w:rPr>
        <w:t xml:space="preserve">docs/partners/tuthill-photography-scope-2026-04-20.md</w:t>
      </w:r>
      <w:r>
        <w:t xml:space="preserve"> </w:t>
      </w:r>
      <w:r>
        <w:t xml:space="preserve">§10).</w:t>
      </w:r>
    </w:p>
    <w:p>
      <w:r>
        <w:pict>
          <v:rect style="width:0;height:1.5pt" o:hralign="center" o:hrstd="t" o:hr="t"/>
        </w:pict>
      </w:r>
    </w:p>
    <w:bookmarkEnd w:id="11"/>
    <w:bookmarkStart w:id="12" w:name="why-this-is-in-a-separate-doc"/>
    <w:p>
      <w:pPr>
        <w:pStyle w:val="Heading2"/>
      </w:pPr>
      <w:r>
        <w:t xml:space="preserve">Why this is in a separate doc</w:t>
      </w:r>
    </w:p>
    <w:p>
      <w:pPr>
        <w:pStyle w:val="FirstParagraph"/>
      </w:pPr>
      <w:r>
        <w:t xml:space="preserve">Two reasons:</w:t>
      </w:r>
    </w:p>
    <w:p>
      <w:pPr>
        <w:numPr>
          <w:ilvl w:val="0"/>
          <w:numId w:val="1003"/>
        </w:numPr>
      </w:pPr>
      <w:r>
        <w:rPr>
          <w:b/>
          <w:bCs/>
        </w:rPr>
        <w:t xml:space="preserve">Privacy.</w:t>
      </w:r>
      <w:r>
        <w:t xml:space="preserve"> </w:t>
      </w:r>
      <w:r>
        <w:t xml:space="preserve">This is partner-specific financial history. Not suitable for the public /story page, the partner-studios-pitch, or any document that goes outside the three-partner circle. Lives in</w:t>
      </w:r>
      <w:r>
        <w:t xml:space="preserve"> </w:t>
      </w:r>
      <w:r>
        <w:rPr>
          <w:rStyle w:val="VerbatimChar"/>
        </w:rPr>
        <w:t xml:space="preserve">docs/partners/</w:t>
      </w:r>
      <w:r>
        <w:t xml:space="preserve"> </w:t>
      </w:r>
      <w:r>
        <w:t xml:space="preserve">alongside the other private operational docs.</w:t>
      </w:r>
    </w:p>
    <w:p>
      <w:pPr>
        <w:numPr>
          <w:ilvl w:val="0"/>
          <w:numId w:val="1003"/>
        </w:numPr>
      </w:pPr>
      <w:r>
        <w:rPr>
          <w:b/>
          <w:bCs/>
        </w:rPr>
        <w:t xml:space="preserve">Auditability.</w:t>
      </w:r>
      <w:r>
        <w:t xml:space="preserve"> </w:t>
      </w:r>
      <w:r>
        <w:t xml:space="preserve">If Tracy or Amy want to see how their contributions were tracked and characterized, this doc is the single place to point them to. If counsel needs to see the investment history to shape the capital-structure decision, same.</w:t>
      </w:r>
    </w:p>
    <w:p>
      <w:r>
        <w:pict>
          <v:rect style="width:0;height:1.5pt" o:hralign="center" o:hrstd="t" o:hr="t"/>
        </w:pict>
      </w:r>
    </w:p>
    <w:bookmarkEnd w:id="12"/>
    <w:bookmarkStart w:id="13" w:name="X1f3a6586570be93463c1700d19fadb908e0f2e4"/>
    <w:p>
      <w:pPr>
        <w:pStyle w:val="Heading2"/>
      </w:pPr>
      <w:r>
        <w:t xml:space="preserve">Chase’s personal-account outlays since leaving Natchez</w:t>
      </w:r>
    </w:p>
    <w:p>
      <w:pPr>
        <w:pStyle w:val="FirstParagraph"/>
      </w:pPr>
      <w:r>
        <w:t xml:space="preserve">Chase has been spending from his personal account for ecosystem work since he was last physically in Natchez. These need to be recognized from an accounting standpoint as</w:t>
      </w:r>
      <w:r>
        <w:t xml:space="preserve"> </w:t>
      </w:r>
      <w:r>
        <w:rPr>
          <w:b/>
          <w:bCs/>
        </w:rPr>
        <w:t xml:space="preserve">ecosystem expenses with Chase as creditor</w:t>
      </w:r>
      <w:r>
        <w:t xml:space="preserve">, with any revenue that came in through the same personal account treated as</w:t>
      </w:r>
      <w:r>
        <w:t xml:space="preserve"> </w:t>
      </w:r>
      <w:r>
        <w:rPr>
          <w:b/>
          <w:bCs/>
        </w:rPr>
        <w:t xml:space="preserve">ecosystem income</w:t>
      </w:r>
      <w:r>
        <w:t xml:space="preserve"> </w:t>
      </w:r>
      <w:r>
        <w:t xml:space="preserve">(not Chase’s personal income).</w:t>
      </w:r>
    </w:p>
    <w:p>
      <w:pPr>
        <w:pStyle w:val="BodyText"/>
      </w:pPr>
      <w:r>
        <w:rPr>
          <w:b/>
          <w:bCs/>
        </w:rPr>
        <w:t xml:space="preserve">Framing per Chase 2026-04-20:</w:t>
      </w:r>
      <w:r>
        <w:t xml:space="preserve"> </w:t>
      </w:r>
      <w:r>
        <w:t xml:space="preserve">“Everything that I’ve done since I’ve been gone as an expense. This is the income that I generated from it.”</w:t>
      </w:r>
    </w:p>
    <w:p>
      <w:pPr>
        <w:pStyle w:val="BodyText"/>
      </w:pPr>
      <w:r>
        <w:t xml:space="preserve">Concretely what this means:</w:t>
      </w:r>
      <w:r>
        <w:t xml:space="preserve"> </w:t>
      </w:r>
      <w:r>
        <w:t xml:space="preserve">- Every dollar Chase paid out of his personal account for ecosystem purposes (software subscriptions, travel, shipping, equipment, contractor payments, hosting, domains, Sprinter-wrap deposits, anything) = an expense owed back to Chase by the ecosystem</w:t>
      </w:r>
      <w:r>
        <w:t xml:space="preserve"> </w:t>
      </w:r>
      <w:r>
        <w:t xml:space="preserve">- Every dollar that came into Chase’s personal account from ecosystem work (photography invoices, consulting fees, platform services billed under Chase’s name because the MBT account wasn’t set up yet) = ecosystem revenue, not Chase personal income</w:t>
      </w:r>
      <w:r>
        <w:t xml:space="preserve"> </w:t>
      </w:r>
      <w:r>
        <w:t xml:space="preserve">- Net-out at the end of the period: if expenses &gt; revenues, the ecosystem owes Chase. If revenues &gt; expenses, Chase owes the ecosystem (or it’s offset against his distributions).</w:t>
      </w:r>
    </w:p>
    <w:p>
      <w:pPr>
        <w:pStyle w:val="BodyText"/>
      </w:pPr>
      <w:r>
        <w:t xml:space="preserve">This bookkeeping true-up is separate from the Tracy+Amy investment tracking above. The two ledgers don’t touch each other — one is partners investing in the platform, the other is Chase’s personal-account pass-through activity being properly reclassified.</w:t>
      </w:r>
    </w:p>
    <w:p>
      <w:r>
        <w:pict>
          <v:rect style="width:0;height:1.5pt" o:hralign="center" o:hrstd="t" o:hr="t"/>
        </w:pict>
      </w:r>
    </w:p>
    <w:bookmarkEnd w:id="13"/>
    <w:bookmarkStart w:id="14" w:name="X51d8a713c18d3345f6810f98a4c8f5867f477d2"/>
    <w:p>
      <w:pPr>
        <w:pStyle w:val="Heading2"/>
      </w:pPr>
      <w:r>
        <w:t xml:space="preserve">Financial data locations — where the records live</w:t>
      </w:r>
    </w:p>
    <w:p>
      <w:pPr>
        <w:pStyle w:val="FirstParagraph"/>
      </w:pPr>
      <w:r>
        <w:t xml:space="preserve">Everything Chase has mentioned exists in one of these three places. Accountant / counsel should be pointed here for the full true-up:</w:t>
      </w:r>
    </w:p>
    <w:p>
      <w:pPr>
        <w:pStyle w:val="BodyText"/>
      </w:pPr>
      <w:r>
        <w:rPr>
          <w:b/>
          <w:bCs/>
        </w:rPr>
        <w:t xml:space="preserve">In this repo</w:t>
      </w:r>
      <w:r>
        <w:t xml:space="preserve"> </w:t>
      </w:r>
      <w:r>
        <w:t xml:space="preserve">(already imported, git-tracked):</w:t>
      </w:r>
      <w:r>
        <w:t xml:space="preserve"> </w:t>
      </w:r>
      <w:r>
        <w:t xml:space="preserve">-</w:t>
      </w:r>
      <w:r>
        <w:t xml:space="preserve"> </w:t>
      </w:r>
      <w:r>
        <w:rPr>
          <w:rStyle w:val="VerbatimChar"/>
        </w:rPr>
        <w:t xml:space="preserve">tax-db/chase_finance.db</w:t>
      </w:r>
      <w:r>
        <w:t xml:space="preserve"> </w:t>
      </w:r>
      <w:r>
        <w:t xml:space="preserve">— SQLite master database (per CLAUDE.md: 15+ tables, 49 opportunities, $1.4M pipeline)</w:t>
      </w:r>
      <w:r>
        <w:t xml:space="preserve"> </w:t>
      </w:r>
      <w:r>
        <w:t xml:space="preserve">-</w:t>
      </w:r>
      <w:r>
        <w:t xml:space="preserve"> </w:t>
      </w:r>
      <w:r>
        <w:rPr>
          <w:rStyle w:val="VerbatimChar"/>
        </w:rPr>
        <w:t xml:space="preserve">tax-db/reports/finance-report.md</w:t>
      </w:r>
      <w:r>
        <w:t xml:space="preserve"> </w:t>
      </w:r>
      <w:r>
        <w:t xml:space="preserve">— prior synthesis report</w:t>
      </w:r>
      <w:r>
        <w:t xml:space="preserve"> </w:t>
      </w:r>
      <w:r>
        <w:t xml:space="preserve">-</w:t>
      </w:r>
      <w:r>
        <w:t xml:space="preserve"> </w:t>
      </w:r>
      <w:r>
        <w:rPr>
          <w:rStyle w:val="VerbatimChar"/>
        </w:rPr>
        <w:t xml:space="preserve">tax-db/sofi-checking.csv</w:t>
      </w:r>
      <w:r>
        <w:t xml:space="preserve"> </w:t>
      </w:r>
      <w:r>
        <w:t xml:space="preserve">— Chase’s SoFi checking account export</w:t>
      </w:r>
      <w:r>
        <w:t xml:space="preserve"> </w:t>
      </w:r>
      <w:r>
        <w:t xml:space="preserve">-</w:t>
      </w:r>
      <w:r>
        <w:t xml:space="preserve"> </w:t>
      </w:r>
      <w:r>
        <w:rPr>
          <w:rStyle w:val="VerbatimChar"/>
        </w:rPr>
        <w:t xml:space="preserve">tax-db/sofi_all_statements.csv</w:t>
      </w:r>
      <w:r>
        <w:t xml:space="preserve"> </w:t>
      </w:r>
      <w:r>
        <w:t xml:space="preserve">— all SoFi statements</w:t>
      </w:r>
      <w:r>
        <w:t xml:space="preserve"> </w:t>
      </w:r>
      <w:r>
        <w:t xml:space="preserve">-</w:t>
      </w:r>
      <w:r>
        <w:t xml:space="preserve"> </w:t>
      </w:r>
      <w:r>
        <w:rPr>
          <w:rStyle w:val="VerbatimChar"/>
        </w:rPr>
        <w:t xml:space="preserve">tax-db/found_2025_jan_apr.csv</w:t>
      </w:r>
      <w:r>
        <w:t xml:space="preserve"> </w:t>
      </w:r>
      <w:r>
        <w:t xml:space="preserve">— Found.com banking, Jan–Apr 2025</w:t>
      </w:r>
      <w:r>
        <w:t xml:space="preserve"> </w:t>
      </w:r>
      <w:r>
        <w:t xml:space="preserve">-</w:t>
      </w:r>
      <w:r>
        <w:t xml:space="preserve"> </w:t>
      </w:r>
      <w:r>
        <w:rPr>
          <w:rStyle w:val="VerbatimChar"/>
        </w:rPr>
        <w:t xml:space="preserve">tax-db/found_2025_may_aug.csv</w:t>
      </w:r>
      <w:r>
        <w:t xml:space="preserve"> </w:t>
      </w:r>
      <w:r>
        <w:t xml:space="preserve">— Found.com banking, May–Aug 2025</w:t>
      </w:r>
      <w:r>
        <w:t xml:space="preserve"> </w:t>
      </w:r>
      <w:r>
        <w:t xml:space="preserve">-</w:t>
      </w:r>
      <w:r>
        <w:t xml:space="preserve"> </w:t>
      </w:r>
      <w:r>
        <w:rPr>
          <w:rStyle w:val="VerbatimChar"/>
        </w:rPr>
        <w:t xml:space="preserve">tax-db/found_2025_sep_nov.csv</w:t>
      </w:r>
      <w:r>
        <w:t xml:space="preserve"> </w:t>
      </w:r>
      <w:r>
        <w:t xml:space="preserve">— Found.com banking, Sep–Nov 2025</w:t>
      </w:r>
      <w:r>
        <w:t xml:space="preserve"> </w:t>
      </w:r>
      <w:r>
        <w:t xml:space="preserve">-</w:t>
      </w:r>
      <w:r>
        <w:t xml:space="preserve"> </w:t>
      </w:r>
      <w:r>
        <w:rPr>
          <w:rStyle w:val="VerbatimChar"/>
        </w:rPr>
        <w:t xml:space="preserve">tax-db/tax-returns/found 2023-24.csv</w:t>
      </w:r>
      <w:r>
        <w:t xml:space="preserve"> </w:t>
      </w:r>
      <w:r>
        <w:t xml:space="preserve">— older Found data for prior year</w:t>
      </w:r>
      <w:r>
        <w:t xml:space="preserve"> </w:t>
      </w:r>
      <w:r>
        <w:t xml:space="preserve">-</w:t>
      </w:r>
      <w:r>
        <w:t xml:space="preserve"> </w:t>
      </w:r>
      <w:r>
        <w:rPr>
          <w:rStyle w:val="VerbatimChar"/>
        </w:rPr>
        <w:t xml:space="preserve">tax-db/tax-returns/found 2023-24 personal removed.csv</w:t>
      </w:r>
      <w:r>
        <w:t xml:space="preserve"> </w:t>
      </w:r>
      <w:r>
        <w:t xml:space="preserve">— same with personal filtered out</w:t>
      </w:r>
      <w:r>
        <w:t xml:space="preserve"> </w:t>
      </w:r>
      <w:r>
        <w:t xml:space="preserve">-</w:t>
      </w:r>
      <w:r>
        <w:t xml:space="preserve"> </w:t>
      </w:r>
      <w:r>
        <w:rPr>
          <w:rStyle w:val="VerbatimChar"/>
        </w:rPr>
        <w:t xml:space="preserve">tax-db/Financial-Records/Chase_s Taxes 2024-25/</w:t>
      </w:r>
      <w:r>
        <w:t xml:space="preserve"> </w:t>
      </w:r>
      <w:r>
        <w:t xml:space="preserve">— tax prep folder</w:t>
      </w:r>
    </w:p>
    <w:p>
      <w:pPr>
        <w:pStyle w:val="BodyText"/>
      </w:pPr>
      <w:r>
        <w:rPr>
          <w:b/>
          <w:bCs/>
        </w:rPr>
        <w:t xml:space="preserve">On Chase’s local machine</w:t>
      </w:r>
      <w:r>
        <w:t xml:space="preserve"> </w:t>
      </w:r>
      <w:r>
        <w:t xml:space="preserve">(per CLAUDE.md, under</w:t>
      </w:r>
      <w:r>
        <w:t xml:space="preserve"> </w:t>
      </w:r>
      <w:r>
        <w:rPr>
          <w:rStyle w:val="VerbatimChar"/>
        </w:rPr>
        <w:t xml:space="preserve">~/tax-db/</w:t>
      </w:r>
      <w:r>
        <w:t xml:space="preserve"> </w:t>
      </w:r>
      <w:r>
        <w:t xml:space="preserve">— note: may or may not be in the repo tax-db/ depending on sync state):</w:t>
      </w:r>
      <w:r>
        <w:t xml:space="preserve"> </w:t>
      </w:r>
      <w:r>
        <w:t xml:space="preserve">-</w:t>
      </w:r>
      <w:r>
        <w:t xml:space="preserve"> </w:t>
      </w:r>
      <w:r>
        <w:rPr>
          <w:rStyle w:val="VerbatimChar"/>
        </w:rPr>
        <w:t xml:space="preserve">ENTITY_REGISTRY.md</w:t>
      </w:r>
      <w:r>
        <w:t xml:space="preserve"> </w:t>
      </w:r>
      <w:r>
        <w:t xml:space="preserve">— all entities, EINs, formation docs</w:t>
      </w:r>
      <w:r>
        <w:t xml:space="preserve"> </w:t>
      </w:r>
      <w:r>
        <w:t xml:space="preserve">-</w:t>
      </w:r>
      <w:r>
        <w:t xml:space="preserve"> </w:t>
      </w:r>
      <w:r>
        <w:rPr>
          <w:rStyle w:val="VerbatimChar"/>
        </w:rPr>
        <w:t xml:space="preserve">REPORT_FOR_TRACY.md</w:t>
      </w:r>
      <w:r>
        <w:t xml:space="preserve"> </w:t>
      </w:r>
      <w:r>
        <w:t xml:space="preserve">— prior Senate-style tax audit report</w:t>
      </w:r>
      <w:r>
        <w:t xml:space="preserve"> </w:t>
      </w:r>
      <w:r>
        <w:t xml:space="preserve">-</w:t>
      </w:r>
      <w:r>
        <w:t xml:space="preserve"> </w:t>
      </w:r>
      <w:r>
        <w:rPr>
          <w:rStyle w:val="VerbatimChar"/>
        </w:rPr>
        <w:t xml:space="preserve">PRODUCT_GAP_ANALYSIS.md</w:t>
      </w:r>
      <w:r>
        <w:t xml:space="preserve"> </w:t>
      </w:r>
      <w:r>
        <w:t xml:space="preserve">— honest matrix of what MBT replaces vs integrates vs doesn’t have</w:t>
      </w:r>
      <w:r>
        <w:t xml:space="preserve"> </w:t>
      </w:r>
      <w:r>
        <w:t xml:space="preserve">-</w:t>
      </w:r>
      <w:r>
        <w:t xml:space="preserve"> </w:t>
      </w:r>
      <w:r>
        <w:rPr>
          <w:rStyle w:val="VerbatimChar"/>
        </w:rPr>
        <w:t xml:space="preserve">ECOSYSTEM_PIPELINE.md</w:t>
      </w:r>
      <w:r>
        <w:t xml:space="preserve"> </w:t>
      </w:r>
      <w:r>
        <w:t xml:space="preserve">— full pipeline with ecosystem interconnections</w:t>
      </w:r>
    </w:p>
    <w:p>
      <w:pPr>
        <w:pStyle w:val="BodyText"/>
      </w:pPr>
      <w:r>
        <w:rPr>
          <w:b/>
          <w:bCs/>
        </w:rPr>
        <w:t xml:space="preserve">In Chase’s Google Drive</w:t>
      </w:r>
      <w:r>
        <w:t xml:space="preserve"> </w:t>
      </w:r>
      <w:r>
        <w:t xml:space="preserve">(per Chase 2026-04-20):</w:t>
      </w:r>
      <w:r>
        <w:t xml:space="preserve"> </w:t>
      </w:r>
      <w:r>
        <w:t xml:space="preserve">“Everything should be in my Google Drive too.”</w:t>
      </w:r>
      <w:r>
        <w:t xml:space="preserve"> </w:t>
      </w:r>
      <w:r>
        <w:t xml:space="preserve">The Drive copies are likely the most recent / human-readable versions. When the accountant engages, the Drive folder is probably the right entry point.</w:t>
      </w:r>
    </w:p>
    <w:p>
      <w:pPr>
        <w:pStyle w:val="BodyText"/>
      </w:pPr>
      <w:r>
        <w:rPr>
          <w:b/>
          <w:bCs/>
        </w:rPr>
        <w:t xml:space="preserve">QuickBooks:</w:t>
      </w:r>
      <w:r>
        <w:t xml:space="preserve"> </w:t>
      </w:r>
      <w:r>
        <w:t xml:space="preserve">Per Chase 2026-04-20, QuickBooks also holds Inn-specific records. The QuickBooks data is what seeded the $125k Inn cost basis in the break-even math. Accountant should reconcile the QuickBooks Inn P&amp;L against the</w:t>
      </w:r>
      <w:r>
        <w:t xml:space="preserve"> </w:t>
      </w:r>
      <w:r>
        <w:rPr>
          <w:rStyle w:val="VerbatimChar"/>
        </w:rPr>
        <w:t xml:space="preserve">tax-db/*.csv</w:t>
      </w:r>
      <w:r>
        <w:t xml:space="preserve"> </w:t>
      </w:r>
      <w:r>
        <w:t xml:space="preserve">Chase-personal records to get a unified picture.</w:t>
      </w:r>
    </w:p>
    <w:p>
      <w:pPr>
        <w:pStyle w:val="BodyText"/>
      </w:pPr>
      <w:r>
        <w:rPr>
          <w:b/>
          <w:bCs/>
        </w:rPr>
        <w:t xml:space="preserve">Action for the accountant engagement:</w:t>
      </w:r>
      <w:r>
        <w:t xml:space="preserve"> </w:t>
      </w:r>
      <w:r>
        <w:t xml:space="preserve">run the Found.com 2025 + SoFi exports + QuickBooks Inn records through a single reconciliation pass and produce:</w:t>
      </w:r>
      <w:r>
        <w:t xml:space="preserve"> </w:t>
      </w:r>
      <w:r>
        <w:t xml:space="preserve">1. True Chase-personal-account ecosystem-expense total since the last time he was in Natchez</w:t>
      </w:r>
      <w:r>
        <w:t xml:space="preserve"> </w:t>
      </w:r>
      <w:r>
        <w:t xml:space="preserve">2. True Chase-personal-account ecosystem-income total same period</w:t>
      </w:r>
      <w:r>
        <w:t xml:space="preserve"> </w:t>
      </w:r>
      <w:r>
        <w:t xml:space="preserve">3. Net position (what the ecosystem owes Chase, or vice versa)</w:t>
      </w:r>
      <w:r>
        <w:t xml:space="preserve"> </w:t>
      </w:r>
      <w:r>
        <w:t xml:space="preserve">4. Reclassification entries for the December $2,500 Arden pass-through + the Jan $4k / Feb $2k / Mar ? platform investment payments</w:t>
      </w:r>
    </w:p>
    <w:p>
      <w:r>
        <w:pict>
          <v:rect style="width:0;height:1.5pt" o:hralign="center" o:hrstd="t" o:hr="t"/>
        </w:pict>
      </w:r>
    </w:p>
    <w:bookmarkEnd w:id="14"/>
    <w:bookmarkStart w:id="15" w:name="action-items"/>
    <w:p>
      <w:pPr>
        <w:pStyle w:val="Heading2"/>
      </w:pPr>
      <w:r>
        <w:t xml:space="preserve">Action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Owner</w:t>
            </w:r>
          </w:p>
        </w:tc>
        <w:tc>
          <w:tcPr/>
          <w:p>
            <w:pPr>
              <w:pStyle w:val="Compact"/>
            </w:pPr>
            <w:r>
              <w:t xml:space="preserve">By when</w:t>
            </w:r>
          </w:p>
        </w:tc>
      </w:tr>
      <w:tr>
        <w:tc>
          <w:tcPr/>
          <w:p>
            <w:pPr>
              <w:pStyle w:val="Compact"/>
            </w:pPr>
            <w:r>
              <w:t xml:space="preserve">Verify March 2026 bank record to confirm the</w:t>
            </w:r>
            <w:r>
              <w:t xml:space="preserve"> </w:t>
            </w:r>
            <w:r>
              <w:t xml:space="preserve">“~$6k total”</w:t>
            </w:r>
            <w:r>
              <w:t xml:space="preserve"> </w:t>
            </w:r>
            <w:r>
              <w:t xml:space="preserve">and</w:t>
            </w:r>
            <w:r>
              <w:t xml:space="preserve"> </w:t>
            </w:r>
            <w:r>
              <w:t xml:space="preserve">“≈$2k/mo first three months”</w:t>
            </w:r>
            <w:r>
              <w:t xml:space="preserve"> </w:t>
            </w:r>
            <w:r>
              <w:t xml:space="preserve">framing</w:t>
            </w:r>
          </w:p>
        </w:tc>
        <w:tc>
          <w:tcPr/>
          <w:p>
            <w:pPr>
              <w:pStyle w:val="Compact"/>
            </w:pPr>
            <w:r>
              <w:t xml:space="preserve">Chase</w:t>
            </w:r>
          </w:p>
        </w:tc>
        <w:tc>
          <w:tcPr/>
          <w:p>
            <w:pPr>
              <w:pStyle w:val="Compact"/>
            </w:pPr>
            <w:r>
              <w:t xml:space="preserve">Before the Tracy+Amy meeting</w:t>
            </w:r>
          </w:p>
        </w:tc>
      </w:tr>
      <w:tr>
        <w:tc>
          <w:tcPr/>
          <w:p>
            <w:pPr>
              <w:pStyle w:val="Compact"/>
            </w:pPr>
            <w:r>
              <w:t xml:space="preserve">Confirm with Tracy and Amy that they want these contributions characterized as platform investment (not fee-for-service)</w:t>
            </w:r>
          </w:p>
        </w:tc>
        <w:tc>
          <w:tcPr/>
          <w:p>
            <w:pPr>
              <w:pStyle w:val="Compact"/>
            </w:pPr>
            <w:r>
              <w:t xml:space="preserve">Chase</w:t>
            </w:r>
          </w:p>
        </w:tc>
        <w:tc>
          <w:tcPr/>
          <w:p>
            <w:pPr>
              <w:pStyle w:val="Compact"/>
            </w:pPr>
            <w:r>
              <w:t xml:space="preserve">In the meeting</w:t>
            </w:r>
          </w:p>
        </w:tc>
      </w:tr>
      <w:tr>
        <w:tc>
          <w:tcPr/>
          <w:p>
            <w:pPr>
              <w:pStyle w:val="Compact"/>
            </w:pPr>
            <w:r>
              <w:t xml:space="preserve">Confirm the December $2,500 re-characterization as an Arden pass-through (update the Arden-owes-Inn ledger)</w:t>
            </w:r>
          </w:p>
        </w:tc>
        <w:tc>
          <w:tcPr/>
          <w:p>
            <w:pPr>
              <w:pStyle w:val="Compact"/>
            </w:pPr>
            <w:r>
              <w:t xml:space="preserve">Tracy + Amy</w:t>
            </w:r>
          </w:p>
        </w:tc>
        <w:tc>
          <w:tcPr/>
          <w:p>
            <w:pPr>
              <w:pStyle w:val="Compact"/>
            </w:pPr>
            <w:r>
              <w:t xml:space="preserve">After the meeting</w:t>
            </w:r>
          </w:p>
        </w:tc>
      </w:tr>
      <w:tr>
        <w:tc>
          <w:tcPr/>
          <w:p>
            <w:pPr>
              <w:pStyle w:val="Compact"/>
            </w:pPr>
            <w:r>
              <w:t xml:space="preserve">Point accountant at</w:t>
            </w:r>
            <w:r>
              <w:t xml:space="preserve"> </w:t>
            </w:r>
            <w:r>
              <w:rPr>
                <w:rStyle w:val="VerbatimChar"/>
              </w:rPr>
              <w:t xml:space="preserve">tax-db/</w:t>
            </w:r>
            <w:r>
              <w:t xml:space="preserve"> </w:t>
            </w:r>
            <w:r>
              <w:t xml:space="preserve">+ QuickBooks + Google Drive for the unified true-up</w:t>
            </w:r>
          </w:p>
        </w:tc>
        <w:tc>
          <w:tcPr/>
          <w:p>
            <w:pPr>
              <w:pStyle w:val="Compact"/>
            </w:pPr>
            <w:r>
              <w:t xml:space="preserve">Chase</w:t>
            </w:r>
          </w:p>
        </w:tc>
        <w:tc>
          <w:tcPr/>
          <w:p>
            <w:pPr>
              <w:pStyle w:val="Compact"/>
            </w:pPr>
            <w:r>
              <w:t xml:space="preserve">When accountant is engaged</w:t>
            </w:r>
          </w:p>
        </w:tc>
      </w:tr>
      <w:tr>
        <w:tc>
          <w:tcPr/>
          <w:p>
            <w:pPr>
              <w:pStyle w:val="Compact"/>
            </w:pPr>
            <w:r>
              <w:t xml:space="preserve">Send this doc to counsel alongside the FarleyPierson + CPP-DBA question bundle</w:t>
            </w:r>
          </w:p>
        </w:tc>
        <w:tc>
          <w:tcPr/>
          <w:p>
            <w:pPr>
              <w:pStyle w:val="Compact"/>
            </w:pPr>
            <w:r>
              <w:t xml:space="preserve">Chase</w:t>
            </w:r>
          </w:p>
        </w:tc>
        <w:tc>
          <w:tcPr/>
          <w:p>
            <w:pPr>
              <w:pStyle w:val="Compact"/>
            </w:pPr>
            <w:r>
              <w:t xml:space="preserve">Same counsel engagement that handles the entity-structure decisions</w:t>
            </w:r>
          </w:p>
        </w:tc>
      </w:tr>
      <w:tr>
        <w:tc>
          <w:tcPr/>
          <w:p>
            <w:pPr>
              <w:pStyle w:val="Compact"/>
            </w:pPr>
            <w:r>
              <w:t xml:space="preserve">Decide final legal form: capital contribution vs. intercompany loan vs. subscription revenue</w:t>
            </w:r>
          </w:p>
        </w:tc>
        <w:tc>
          <w:tcPr/>
          <w:p>
            <w:pPr>
              <w:pStyle w:val="Compact"/>
            </w:pPr>
            <w:r>
              <w:t xml:space="preserve">Chase + counsel + Tracy + Amy</w:t>
            </w:r>
          </w:p>
        </w:tc>
        <w:tc>
          <w:tcPr/>
          <w:p>
            <w:pPr>
              <w:pStyle w:val="Compact"/>
            </w:pPr>
            <w:r>
              <w:t xml:space="preserve">Before May 31 cash-flow checkpoint</w:t>
            </w:r>
          </w:p>
        </w:tc>
      </w:tr>
    </w:tbl>
    <w:p>
      <w:r>
        <w:pict>
          <v:rect style="width:0;height:1.5pt" o:hralign="center" o:hrstd="t" o:hr="t"/>
        </w:pict>
      </w:r>
    </w:p>
    <w:bookmarkEnd w:id="15"/>
    <w:bookmarkStart w:id="16" w:name="cross-reference"/>
    <w:p>
      <w:pPr>
        <w:pStyle w:val="Heading2"/>
      </w:pPr>
      <w:r>
        <w:t xml:space="preserve">Cross-reference</w:t>
      </w:r>
    </w:p>
    <w:p>
      <w:pPr>
        <w:pStyle w:val="FirstParagraph"/>
      </w:pPr>
      <w:r>
        <w:t xml:space="preserve">This doc is INTERNAL and not part of the public /story narrative. The break-even math in</w:t>
      </w:r>
      <w:r>
        <w:t xml:space="preserve"> </w:t>
      </w:r>
      <w:r>
        <w:rPr>
          <w:rStyle w:val="VerbatimChar"/>
        </w:rPr>
        <w:t xml:space="preserve">docs/THE_THESIS.md</w:t>
      </w:r>
      <w:r>
        <w:t xml:space="preserve"> </w:t>
      </w:r>
      <w:r>
        <w:t xml:space="preserve">and</w:t>
      </w:r>
      <w:r>
        <w:t xml:space="preserve"> </w:t>
      </w:r>
      <w:r>
        <w:rPr>
          <w:rStyle w:val="VerbatimChar"/>
        </w:rPr>
        <w:t xml:space="preserve">docs/90_DAY_PLAN.md</w:t>
      </w:r>
      <w:r>
        <w:t xml:space="preserve"> </w:t>
      </w:r>
      <w:r>
        <w:t xml:space="preserve">does NOT currently net the Inn→MBT $1k/mo payment against MBT’s cost basis — both lines exist on different sides of the ecosystem ledger. If counsel ultimately structures it as subscription revenue, bookkeeping can show it as a $12k/yr offset to MBT’s cost line; if structured as capital contribution, it sits on MBT’s equity side instead. Either way, the ecosystem-level break-even math holds — this is intra-ecosystem capital, not external revenue.</w:t>
      </w:r>
    </w:p>
    <w:p>
      <w:r>
        <w:pict>
          <v:rect style="width:0;height:1.5pt" o:hralign="center" o:hrstd="t" o:hr="t"/>
        </w:pict>
      </w:r>
    </w:p>
    <w:p>
      <w:pPr>
        <w:pStyle w:val="FirstParagraph"/>
      </w:pPr>
      <w:r>
        <w:rPr>
          <w:i/>
          <w:iCs/>
        </w:rPr>
        <w:t xml:space="preserve">End of history record.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2026-04-20T23:05:04Z</dcterms:created>
  <dcterms:modified xsi:type="dcterms:W3CDTF">2026-04-20T23:05:04Z</dcterms:modified>
</cp:coreProperties>
</file>

<file path=docProps/custom.xml><?xml version="1.0" encoding="utf-8"?>
<Properties xmlns="http://schemas.openxmlformats.org/officeDocument/2006/custom-properties" xmlns:vt="http://schemas.openxmlformats.org/officeDocument/2006/docPropsVTypes"/>
</file>